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57A60" w14:textId="40D53118" w:rsidR="009E0F4A" w:rsidRDefault="002A3A56" w:rsidP="00824612">
      <w:pPr>
        <w:spacing w:after="0" w:line="240" w:lineRule="auto"/>
        <w:jc w:val="both"/>
      </w:pPr>
      <w:r>
        <w:tab/>
        <w:tab/>
        <w:tab/>
        <w:tab/>
        <w:tab/>
      </w:r>
    </w:p>
    <w:p w14:paraId="0AD4ABDD" w14:textId="7C076E23" w:rsidR="00AB23F0" w:rsidRDefault="00AB23F0" w:rsidP="00824612">
      <w:pPr>
        <w:spacing w:after="0" w:line="240" w:lineRule="auto"/>
        <w:jc w:val="both"/>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219"/>
        <w:gridCol w:w="990"/>
      </w:tblGrid>
      <w:tr w:rsidR="002453A7" w:rsidRPr="00BF5C77" w14:paraId="4B4F72BD" w14:textId="77777777" w:rsidTr="00C86194">
        <w:trPr>
          <w:trHeight w:val="473"/>
        </w:trPr>
        <w:tc>
          <w:tcPr>
            <w:tcW w:w="9219" w:type="dxa"/>
          </w:tcPr>
          <w:p w14:paraId="45517ECB" w14:textId="7321F257" w:rsidR="002453A7" w:rsidRPr="00A94872" w:rsidRDefault="00E0708B" w:rsidP="00433AFC">
            <w:pPr>
              <w:pStyle w:val="MDPI16affiliation"/>
              <w:spacing w:line="240" w:lineRule="auto"/>
              <w:ind w:left="-102" w:firstLine="0"/>
              <w:rPr>
                <w:rFonts w:ascii="Calibri" w:eastAsiaTheme="minorHAnsi" w:hAnsi="Calibri" w:cs="Calibri"/>
                <w:b/>
                <w:bCs/>
                <w:color w:val="83150E"/>
                <w:sz w:val="42"/>
                <w:szCs w:val="42"/>
                <w:lang w:eastAsia="en-US" w:bidi="ar-SA"/>
              </w:rPr>
            </w:pPr>
            <w:r>
              <w:rPr>
                <w:rFonts w:ascii="Calibri" w:eastAsiaTheme="minorHAnsi" w:hAnsi="Calibri" w:cs="Calibri"/>
                <w:b/>
                <w:bCs/>
                <w:color w:val="83150E"/>
                <w:sz w:val="42"/>
                <w:szCs w:val="42"/>
                <w:lang w:val="hr-HR" w:eastAsia="en-US" w:bidi="ar-SA"/>
              </w:rPr>
              <w:t xml:space="preserve">Do price limits delay price discovery? Overnight gaps after limit closes in Vietnam</w:t>
            </w:r>
          </w:p>
          <w:p w14:paraId="22537A96" w14:textId="2F490FFF" w:rsidR="00433AFC" w:rsidRPr="00351673" w:rsidRDefault="00433AFC" w:rsidP="00433AFC">
            <w:pPr>
              <w:pStyle w:val="MDPI16affiliation"/>
              <w:spacing w:line="240" w:lineRule="auto"/>
              <w:ind w:left="0" w:firstLine="0"/>
              <w:jc w:val="both"/>
              <w:rPr>
                <w:rFonts w:ascii="Calibri" w:eastAsiaTheme="minorHAnsi" w:hAnsi="Calibri" w:cs="Calibri"/>
                <w:b/>
                <w:color w:val="auto"/>
                <w:sz w:val="20"/>
                <w:szCs w:val="20"/>
                <w:lang w:val="en-GB" w:eastAsia="en-US" w:bidi="ar-SA"/>
              </w:rPr>
            </w:pPr>
          </w:p>
        </w:tc>
        <w:tc>
          <w:tcPr>
            <w:tcW w:w="990" w:type="dxa"/>
          </w:tcPr>
          <w:p w14:paraId="485EF5CE" w14:textId="77777777" w:rsidR="003458E8" w:rsidRPr="0078120D" w:rsidRDefault="003458E8" w:rsidP="00824612">
            <w:pPr>
              <w:spacing w:after="0" w:line="240" w:lineRule="auto"/>
              <w:rPr>
                <w:sz w:val="6"/>
                <w:szCs w:val="6"/>
                <w:lang w:val="en-US"/>
              </w:rPr>
            </w:pPr>
          </w:p>
          <w:p w14:paraId="779286EF" w14:textId="77777777" w:rsidR="002453A7" w:rsidRPr="00BF5C77" w:rsidRDefault="002453A7" w:rsidP="00824612">
            <w:pPr>
              <w:spacing w:after="0" w:line="240" w:lineRule="auto"/>
              <w:rPr>
                <w:lang w:val="en-US"/>
              </w:rPr>
            </w:pPr>
            <w:r>
              <w:rPr>
                <w:rFonts w:ascii="Times New Roman" w:hAnsi="Times New Roman"/>
                <w:b/>
                <w:bCs/>
                <w:noProof/>
                <w:sz w:val="30"/>
                <w:szCs w:val="30"/>
                <w:lang w:eastAsia="pt-BR"/>
              </w:rPr>
              <w:drawing>
                <wp:inline distT="0" distB="0" distL="0" distR="0" wp14:anchorId="773FD8B4" wp14:editId="4EB44F23">
                  <wp:extent cx="527323" cy="527323"/>
                  <wp:effectExtent l="0" t="0" r="6350" b="6350"/>
                  <wp:docPr id="19" name="Imagem 19" descr="C:\Users\Elite705g3Mini\OneDrive\Malque\Multi\CrossMark.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C:\Users\Elite705g3Mini\OneDrive\Malque\Multi\CrossMark.png">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5399" cy="535399"/>
                          </a:xfrm>
                          <a:prstGeom prst="rect">
                            <a:avLst/>
                          </a:prstGeom>
                          <a:noFill/>
                          <a:ln>
                            <a:noFill/>
                          </a:ln>
                        </pic:spPr>
                      </pic:pic>
                    </a:graphicData>
                  </a:graphic>
                </wp:inline>
              </w:drawing>
            </w:r>
          </w:p>
        </w:tc>
      </w:tr>
      <w:tr w:rsidR="00D42C05" w:rsidRPr="00A94872" w14:paraId="68F92C2C" w14:textId="2F9D941C" w:rsidTr="00A94872">
        <w:tc>
          <w:tcPr>
            <w:tcW w:w="9219" w:type="dxa"/>
            <w:tcBorders>
              <w:bottom w:val="double" w:sz="4" w:space="0" w:color="83150E"/>
            </w:tcBorders>
          </w:tcPr>
          <w:p w14:paraId="42203760" w14:textId="7B2D08D5" w:rsidR="00247A1B" w:rsidRPr="002C15DB" w:rsidRDefault="00E0708B" w:rsidP="00E0708B">
            <w:pPr>
              <w:spacing w:after="0"/>
              <w:ind w:left="-102"/>
              <w:rPr>
                <w:rFonts w:asciiTheme="minorHAnsi" w:hAnsiTheme="minorHAnsi" w:cstheme="minorHAnsi"/>
                <w:b/>
                <w:sz w:val="4"/>
                <w:szCs w:val="4"/>
                <w:lang w:val="en-US"/>
              </w:rPr>
            </w:pPr>
            <w:r>
              <w:rPr>
                <w:rFonts w:asciiTheme="minorHAnsi" w:hAnsiTheme="minorHAnsi" w:cstheme="minorHAnsi"/>
                <w:b/>
                <w:bCs/>
                <w:lang w:val="hr-HR"/>
              </w:rPr>
              <w:t xml:space="preserve">Nguyen Thanh Binh</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1" name="Imagem 34" descr="C:\Users\Elite705g3Mini\OneDrive\Malque\orcid.png">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5"/>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Van Trung</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2" name="Imagem 34" descr="C:\Users\Elite705g3Mini\OneDrive\Malque\orcid.png">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6"/>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color w:val="BFBFBF" w:themeColor="background1" w:themeShade="BF"/>
                <w:vertAlign w:val="superscript"/>
                <w:lang w:val="en-US"/>
              </w:rPr>
              <w:t xml:space="preserve"> </w:t>
            </w:r>
            <w:r>
              <w:rPr>
                <w:noProof/>
              </w:rPr>
              <w:drawing>
                <wp:inline distT="0" distB="0" distL="0" distR="0" wp14:anchorId="26500C72" wp14:editId="742073D6">
                  <wp:extent cx="127635" cy="94615"/>
                  <wp:effectExtent l="0" t="0" r="5715" b="635"/>
                  <wp:docPr id="2009629073" name="Gráfico 35" descr="Envelop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Envelope">
                            <a:hlinkClick r:id="rId27"/>
                          </pic:cNvPr>
                          <pic:cNvPicPr>
                            <a:picLocks noChangeAspect="1"/>
                          </pic:cNvPicPr>
                        </pic:nvPicPr>
                        <pic:blipFill rotWithShape="1">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rcRect l="6249" t="17361" r="5556" b="17361"/>
                          <a:stretch/>
                        </pic:blipFill>
                        <pic:spPr bwMode="auto">
                          <a:xfrm>
                            <a:off x="0" y="0"/>
                            <a:ext cx="127635" cy="94615"/>
                          </a:xfrm>
                          <a:prstGeom prst="rect">
                            <a:avLst/>
                          </a:prstGeom>
                          <a:ln>
                            <a:noFill/>
                          </a:ln>
                          <a:extLst>
                            <a:ext uri="{53640926-AAD7-44D8-BBD7-CCE9431645EC}">
                              <a14:shadowObscured xmlns:a14="http://schemas.microsoft.com/office/drawing/2010/main"/>
                            </a:ext>
                          </a:extLst>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Ha Hong Hanh</w:t>
            </w:r>
            <w:r>
              <w:rPr>
                <w:rFonts w:asciiTheme="minorHAnsi" w:hAnsiTheme="minorHAnsi" w:cstheme="minorHAnsi"/>
                <w:b/>
                <w:color w:val="943634" w:themeColor="accent2" w:themeShade="BF"/>
                <w:vertAlign w:val="superscript"/>
                <w:lang w:val="en-US"/>
              </w:rPr>
              <w:t>b</w:t>
            </w:r>
            <w:r>
              <w:rPr>
                <w:noProof/>
              </w:rPr>
              <w:drawing>
                <wp:inline distT="0" distB="0" distL="0" distR="0" wp14:anchorId="24DEB3B2" wp14:editId="76D0B5A7">
                  <wp:extent cx="99695" cy="98425"/>
                  <wp:effectExtent l="0" t="0" r="0" b="0"/>
                  <wp:docPr id="2009629074" name="Imagem 34" descr="C:\Users\Elite705g3Mini\OneDrive\Malque\orcid.png">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8"/>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r>
              <w:rPr>
                <w:rFonts w:asciiTheme="minorHAnsi" w:hAnsiTheme="minorHAnsi" w:cstheme="minorHAnsi"/>
                <w:b/>
                <w:lang w:val="en-US"/>
              </w:rPr>
              <w:t xml:space="preserve"> |</w:t>
            </w:r>
            <w:r>
              <w:rPr>
                <w:rFonts w:asciiTheme="minorHAnsi" w:hAnsiTheme="minorHAnsi" w:cstheme="minorHAnsi"/>
                <w:b/>
                <w:bCs/>
                <w:lang w:val="hr-HR"/>
              </w:rPr>
              <w:t xml:space="preserve"> Nguyen Bach Diep</w:t>
            </w:r>
            <w:r>
              <w:rPr>
                <w:rFonts w:asciiTheme="minorHAnsi" w:hAnsiTheme="minorHAnsi" w:cstheme="minorHAnsi"/>
                <w:b/>
                <w:color w:val="943634" w:themeColor="accent2" w:themeShade="BF"/>
                <w:vertAlign w:val="superscript"/>
                <w:lang w:val="en-US"/>
              </w:rPr>
              <w:t>a</w:t>
            </w:r>
            <w:r>
              <w:rPr>
                <w:noProof/>
              </w:rPr>
              <w:drawing>
                <wp:inline distT="0" distB="0" distL="0" distR="0" wp14:anchorId="24DEB3B2" wp14:editId="76D0B5A7">
                  <wp:extent cx="99695" cy="98425"/>
                  <wp:effectExtent l="0" t="0" r="0" b="0"/>
                  <wp:docPr id="2009629075" name="Imagem 34" descr="C:\Users\Elite705g3Mini\OneDrive\Malque\orcid.pn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C:\Users\Elite705g3Mini\OneDrive\Malque\orcid.png">
                            <a:hlinkClick r:id="rId29"/>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9695" cy="98425"/>
                          </a:xfrm>
                          <a:prstGeom prst="rect">
                            <a:avLst/>
                          </a:prstGeom>
                          <a:noFill/>
                          <a:ln>
                            <a:noFill/>
                          </a:ln>
                        </pic:spPr>
                      </pic:pic>
                    </a:graphicData>
                  </a:graphic>
                </wp:inline>
              </w:drawing>
            </w:r>
          </w:p>
        </w:tc>
        <w:tc>
          <w:tcPr>
            <w:tcW w:w="990" w:type="dxa"/>
            <w:tcBorders>
              <w:bottom w:val="double" w:sz="4" w:space="0" w:color="83150E"/>
            </w:tcBorders>
          </w:tcPr>
          <w:p w14:paraId="1D994E0A" w14:textId="77777777" w:rsidR="00D42C05" w:rsidRPr="002C15DB" w:rsidRDefault="00D42C05" w:rsidP="00824612">
            <w:pPr>
              <w:spacing w:after="0" w:line="240" w:lineRule="auto"/>
              <w:rPr>
                <w:rFonts w:asciiTheme="minorHAnsi" w:hAnsiTheme="minorHAnsi" w:cstheme="minorHAnsi"/>
                <w:sz w:val="8"/>
                <w:szCs w:val="8"/>
                <w:lang w:val="en-US"/>
              </w:rPr>
            </w:pPr>
          </w:p>
          <w:p w14:paraId="4B47D3E8" w14:textId="77777777" w:rsidR="00D42C05" w:rsidRPr="002C15DB" w:rsidRDefault="00D42C05" w:rsidP="00C86194">
            <w:pPr>
              <w:spacing w:after="0" w:line="240" w:lineRule="auto"/>
              <w:ind w:left="-102"/>
              <w:jc w:val="right"/>
              <w:rPr>
                <w:rFonts w:asciiTheme="minorHAnsi" w:hAnsiTheme="minorHAnsi" w:cstheme="minorHAnsi"/>
                <w:sz w:val="8"/>
                <w:szCs w:val="8"/>
                <w:lang w:val="en-US"/>
              </w:rPr>
            </w:pPr>
          </w:p>
        </w:tc>
      </w:tr>
      <w:tr w:rsidR="00D42C05" w:rsidRPr="00A94872" w14:paraId="5DF52BDD" w14:textId="549ED092" w:rsidTr="00A94872">
        <w:tc>
          <w:tcPr>
            <w:tcW w:w="9219" w:type="dxa"/>
            <w:tcBorders>
              <w:top w:val="double" w:sz="4" w:space="0" w:color="83150E"/>
            </w:tcBorders>
          </w:tcPr>
          <w:p w14:paraId="3C71346E"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c>
          <w:tcPr>
            <w:tcW w:w="990" w:type="dxa"/>
            <w:tcBorders>
              <w:top w:val="double" w:sz="4" w:space="0" w:color="83150E"/>
            </w:tcBorders>
          </w:tcPr>
          <w:p w14:paraId="6BB44AA7" w14:textId="77777777" w:rsidR="00D42C05" w:rsidRPr="002C15DB" w:rsidRDefault="00D42C05" w:rsidP="00824612">
            <w:pPr>
              <w:spacing w:after="0" w:line="240" w:lineRule="auto"/>
              <w:ind w:left="-103"/>
              <w:jc w:val="both"/>
              <w:rPr>
                <w:rFonts w:asciiTheme="minorHAnsi" w:hAnsiTheme="minorHAnsi" w:cstheme="minorHAnsi"/>
                <w:sz w:val="12"/>
                <w:szCs w:val="12"/>
                <w:lang w:val="en-US"/>
              </w:rPr>
            </w:pPr>
          </w:p>
        </w:tc>
      </w:tr>
      <w:tr w:rsidR="00D42C05" w:rsidRPr="00A94872" w14:paraId="28D5582B" w14:textId="1893548E" w:rsidTr="00C86194">
        <w:tc>
          <w:tcPr>
            <w:tcW w:w="9219" w:type="dxa"/>
          </w:tcPr>
          <w:p w14:paraId="400F2739" w14:textId="491430DA" w:rsidR="00FB376B" w:rsidRPr="00FB376B" w:rsidRDefault="00CB5F40"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color w:val="943634" w:themeColor="accent2" w:themeShade="BF"/>
                <w:sz w:val="14"/>
                <w:szCs w:val="14"/>
                <w:vertAlign w:val="superscript"/>
                <w:lang w:val="en-US"/>
              </w:rPr>
              <w:t>a</w:t>
            </w:r>
            <w:r>
              <w:rPr>
                <w:rFonts w:asciiTheme="minorHAnsi" w:hAnsiTheme="minorHAnsi" w:cstheme="minorHAnsi"/>
                <w:bCs/>
                <w:iCs/>
                <w:color w:val="000000" w:themeColor="text1"/>
                <w:sz w:val="14"/>
                <w:szCs w:val="14"/>
                <w:lang w:val="hr-HR"/>
              </w:rPr>
              <w:t xml:space="preserve">Academy of Policy and Development, Nam An Khanh Urban Area, Hoai Duc District, Hanoi, Vietnam.</w:t>
            </w:r>
          </w:p>
          <w:p w14:paraId="20607C71" w14:textId="716A071D" w:rsidR="00FB376B" w:rsidRPr="00FB376B" w:rsidRDefault="00FB376B" w:rsidP="00FB376B">
            <w:pPr>
              <w:spacing w:after="0" w:line="240" w:lineRule="auto"/>
              <w:ind w:left="-103"/>
              <w:jc w:val="both"/>
              <w:rPr>
                <w:rFonts w:asciiTheme="minorHAnsi" w:hAnsiTheme="minorHAnsi" w:cstheme="minorHAnsi"/>
                <w:bCs/>
                <w:iCs/>
                <w:color w:val="000000" w:themeColor="text1"/>
                <w:sz w:val="14"/>
                <w:szCs w:val="14"/>
                <w:lang w:val="hr-HR"/>
              </w:rPr>
            </w:pPr>
            <w:r>
              <w:rPr>
                <w:rFonts w:asciiTheme="minorHAnsi" w:hAnsiTheme="minorHAnsi" w:cstheme="minorHAnsi"/>
                <w:b/>
                <w:bCs/>
                <w:iCs/>
                <w:color w:val="943634" w:themeColor="accent2" w:themeShade="BF"/>
                <w:sz w:val="14"/>
                <w:szCs w:val="14"/>
                <w:vertAlign w:val="superscript"/>
                <w:lang w:val="hr-HR"/>
              </w:rPr>
              <w:t>b</w:t>
            </w:r>
            <w:r>
              <w:rPr>
                <w:rFonts w:asciiTheme="minorHAnsi" w:hAnsiTheme="minorHAnsi" w:cstheme="minorHAnsi"/>
                <w:bCs/>
                <w:iCs/>
                <w:color w:val="000000" w:themeColor="text1"/>
                <w:sz w:val="14"/>
                <w:szCs w:val="14"/>
                <w:lang w:val="hr-HR"/>
              </w:rPr>
              <w:t xml:space="preserve">School of Accounting and Auditing, National Economics University, Hanoi, Vietnam.</w:t>
            </w:r>
          </w:p>
        </w:tc>
        <w:tc>
          <w:tcPr>
            <w:tcW w:w="990" w:type="dxa"/>
          </w:tcPr>
          <w:p w14:paraId="3D7A2492" w14:textId="77777777" w:rsidR="00D42C05" w:rsidRPr="002C15DB" w:rsidRDefault="00D42C05" w:rsidP="00824612">
            <w:pPr>
              <w:spacing w:after="0" w:line="240" w:lineRule="auto"/>
              <w:rPr>
                <w:rFonts w:asciiTheme="minorHAnsi" w:hAnsiTheme="minorHAnsi" w:cstheme="minorHAnsi"/>
                <w:bCs/>
                <w:i/>
                <w:sz w:val="14"/>
                <w:szCs w:val="14"/>
                <w:lang w:val="en-US"/>
              </w:rPr>
            </w:pPr>
          </w:p>
          <w:p w14:paraId="671F7937" w14:textId="77777777" w:rsidR="00D42C05" w:rsidRPr="002C15DB" w:rsidRDefault="00D42C05" w:rsidP="00824612">
            <w:pPr>
              <w:spacing w:after="0" w:line="240" w:lineRule="auto"/>
              <w:ind w:left="-102"/>
              <w:jc w:val="right"/>
              <w:rPr>
                <w:rFonts w:asciiTheme="minorHAnsi" w:hAnsiTheme="minorHAnsi" w:cstheme="minorHAnsi"/>
                <w:bCs/>
                <w:i/>
                <w:sz w:val="14"/>
                <w:szCs w:val="14"/>
                <w:lang w:val="en-US"/>
              </w:rPr>
            </w:pPr>
          </w:p>
        </w:tc>
      </w:tr>
    </w:tbl>
    <w:p w14:paraId="3A208D12" w14:textId="78A7A9F0" w:rsidR="002453A7" w:rsidRPr="0078120D" w:rsidRDefault="00D01EE6" w:rsidP="00824612">
      <w:pPr>
        <w:pageBreakBefore/>
        <w:spacing w:after="0" w:line="240" w:lineRule="auto"/>
        <w:rPr>
          <w:rFonts w:ascii="Times New Roman" w:hAnsi="Times New Roman"/>
          <w:sz w:val="4"/>
          <w:szCs w:val="4"/>
          <w:lang w:val="en-US"/>
        </w:rPr>
        <w:sectPr w:rsidR="002453A7" w:rsidRPr="0078120D" w:rsidSect="00C16F30">
          <w:headerReference w:type="default" r:id="rId15"/>
          <w:footerReference w:type="default" r:id="rId16"/>
          <w:headerReference w:type="first" r:id="rId17"/>
          <w:footerReference w:type="first" r:id="rId18"/>
          <w:pgSz w:w="11906" w:h="16838"/>
          <w:pgMar w:top="1134" w:right="851" w:bottom="1134" w:left="851" w:header="709" w:footer="709" w:gutter="0"/>
          <w:pgNumType w:start="1"/>
          <w:cols w:space="708"/>
          <w:titlePg/>
          <w:docGrid w:linePitch="360"/>
        </w:sectPr>
      </w:pPr>
      <w:r>
        <w:rPr>
          <w:rFonts w:ascii="Candara" w:hAnsi="Candara" w:cstheme="majorHAnsi"/>
          <w:noProof/>
          <w:szCs w:val="30"/>
          <w:lang w:eastAsia="pt-BR"/>
        </w:rPr>
        <mc:AlternateContent>
          <mc:Choice Requires="wps">
            <w:drawing>
              <wp:anchor distT="0" distB="0" distL="114300" distR="114300" simplePos="0" relativeHeight="251658240" behindDoc="0" locked="0" layoutInCell="1" allowOverlap="1" wp14:anchorId="2C608016" wp14:editId="34AE8FE1">
                <wp:simplePos x="0" y="0"/>
                <wp:positionH relativeFrom="margin">
                  <wp:align>left</wp:align>
                </wp:positionH>
                <wp:positionV relativeFrom="paragraph">
                  <wp:posOffset>45085</wp:posOffset>
                </wp:positionV>
                <wp:extent cx="6477000" cy="3352800"/>
                <wp:effectExtent l="0" t="0" r="12700" b="12700"/>
                <wp:wrapTopAndBottom/>
                <wp:docPr id="23" name="Caixa de texto 23"/>
                <wp:cNvGraphicFramePr/>
                <a:graphic xmlns:a="http://schemas.openxmlformats.org/drawingml/2006/main">
                  <a:graphicData uri="http://schemas.microsoft.com/office/word/2010/wordprocessingShape">
                    <wps:wsp>
                      <wps:cNvSpPr txBox="1"/>
                      <wps:spPr>
                        <a:xfrm>
                          <a:off x="0" y="0"/>
                          <a:ext cx="6477000" cy="3352800"/>
                        </a:xfrm>
                        <a:prstGeom prst="rect">
                          <a:avLst/>
                        </a:prstGeom>
                        <a:solidFill>
                          <a:schemeClr val="accent2">
                            <a:lumMod val="20000"/>
                            <a:lumOff val="80000"/>
                          </a:schemeClr>
                        </a:solidFill>
                        <a:ln w="6350">
                          <a:solidFill>
                            <a:srgbClr val="83150E"/>
                          </a:solidFill>
                        </a:ln>
                        <a:effectLst/>
                      </wps:spPr>
                      <wps:style>
                        <a:lnRef idx="0">
                          <a:schemeClr val="accent1"/>
                        </a:lnRef>
                        <a:fillRef idx="0">
                          <a:schemeClr val="accent1"/>
                        </a:fillRef>
                        <a:effectRef idx="0">
                          <a:schemeClr val="accent1"/>
                        </a:effectRef>
                        <a:fontRef idx="minor">
                          <a:schemeClr val="dk1"/>
                        </a:fontRef>
                      </wps:style>
                      <wps:txb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are meant to cool markets, but they may also delay price discovery. We examine what happens after a stock closes at its daily limit on the Ho Chi Minh Stock Exchange, a market dominated by individual investors that applies one 7% band and sets opening and closing prices by call auction. Using daily prices for 347 stocks from August 2024 to September 2026, we split the next-day abnormal return after limit closes into an overnight gap and an intraday return. We compare limit closes with stocks that rose or fell almost as far, and we test the limit effect together with a broad set of price- and volume-based characteristics under false discovery rate control. The limit tests survive this control, whereas none of the lower-powered characteristic tests does. After a ceiling close, the stock opens on average 2.2% above the market, and the following session gives back about 24% of this gap. The gap is 2.7 percentage points larger than after rises that stop short of the limit, and the difference remains when those stocks also closed at their daily high. An investor who buys at the next opening cannot capture the effect and loses 0.7% against the market by the fifth close. Floor closes are followed by a negative gap whose size depends on the benchmark. The ceiling gap appears in every calendar quarter and before the exchange changed its trading platform in 2025. The pattern is consistent with delayed price discovery, but news, investor attention, and auction overshooting may also contribute, and data on news and order books are needed to separate them. For market design, the results suggest that the opening auction absorbs much of the price adjustment that the 7% band postpones.</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608016" id="_x0000_t202" coordsize="21600,21600" o:spt="202" path="m,l,21600r21600,l21600,xe">
                <v:stroke joinstyle="miter"/>
                <v:path gradientshapeok="t" o:connecttype="rect"/>
              </v:shapetype>
              <v:shape id="Caixa de texto 23" o:spid="_x0000_s1026" type="#_x0000_t202" style="position:absolute;margin-left:0;margin-top:3.55pt;width:510pt;height:264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sxWdmwIAAM4FAAAOAAAAZHJzL2Uyb0RvYy54bWysVFtv0zAUfkfiP1h+Z0kvuxAtncrGENLY Jja0Z9exWwvHx9huk/LrOXaSthvwMMRLcnzu5zuX84u21mQjnFdgSjo6yikRhkOlzLKk3x6v351R 4gMzFdNgREm3wtOL2ds3540txBhWoCvhCDoxvmhsSVch2CLLPF+JmvkjsMKgUIKrWcCnW2aVYw16 r3U2zvOTrAFXWQdceI/cq05IZ8m/lIKHOym9CESXFHML6evSdxG/2eycFUvH7ErxPg32D1nUTBkM unN1xQIja6d+c1Ur7sCDDEcc6gykVFykGrCaUf6imocVsyLVguB4u4PJ/z+3/HbzYO8dCe0HaLGB EZDG+sIjM9bTSlfHP2ZKUI4QbnewiTYQjsyT6elpnqOIo2w8mkxO8IF+sr25dT58ElCTSJTUYV8S XGxz40OnOqjEaB60qq6V1ukRZ0Fcakc2DLvIOBcmjJO5XtdfoOr4OA1dWFYgG7vesc8GNmaTpip6 Srk9C6INabCSyXGeHD+Tebdc7MKfTUbH+ce+vAM1dK9NTFekqevL2kOZqLDVIupo81VIoqqE6F9r TM1IflE7aklE5DWGvf4+q9cYd3UMkcGEnXGtDLgOpuetqb4PKctOH3E+qDuSoV20/YgtoNri5Dno ltJbfq1wOm6YD/fM4RbiROFlCXf4kRqwPdBTlKzA/fwTP+rjcqCUkga3uqT+x5o5QYn+bHBt3o+m 03gG0mN6fDrGhzuULA4lZl1fAo7cCG+Y5YmM+kEPpHRQP+EBmseoKGKGY+yShoG8DN2twQPGxXye lHDxLQs35sHy6Dp2J87+Y/vEnO0XJOBu3cKw/6x4sSedbrQ0MF8HkCotUQS4Q7UHHo9GGvX+wMWr dPhOWvszPPsFAAD//wMAUEsDBBQABgAIAAAAIQDWYp9Z3wAAAAwBAAAPAAAAZHJzL2Rvd25yZXYu eG1sTI/bSsNAEIbvBd9hGcE7u0lbbEkzKVHxShCtPsA2OznY7GzIbtv49p1e6c3A8PMfvnw7uV6d aAydZ4R0loAirrztuEH4/np9WIMK0bA1vWdC+KUA2+L2JjeZ9Wf+pNMuNkpCOGQGoY1xyLQOVUvO hJkfiEWr/ehMlHdstB3NWcJdr+dJ8qid6VgaWjPQc0vVYXd0CD+trXV4eivL6n2ecr368OtDiXh/ N71s5JQbUJGm+OeAK4Psh0KG7f2RbVA9gtBEhFUK6iom0ghqj7BYLlLQRa7/QxQXAAAA//8DAFBL AQItABQABgAIAAAAIQC2gziS/gAAAOEBAAATAAAAAAAAAAAAAAAAAAAAAABbQ29udGVudF9UeXBl c10ueG1sUEsBAi0AFAAGAAgAAAAhADj9If/WAAAAlAEAAAsAAAAAAAAAAAAAAAAALwEAAF9yZWxz Ly5yZWxzUEsBAi0AFAAGAAgAAAAhAMizFZ2bAgAAzgUAAA4AAAAAAAAAAAAAAAAALgIAAGRycy9l Mm9Eb2MueG1sUEsBAi0AFAAGAAgAAAAhANZin1nfAAAADAEAAA8AAAAAAAAAAAAAAAAA9QQAAGRy cy9kb3ducmV2LnhtbFBLBQYAAAAABAAEAPMAAAABBgAAAAA= " fillcolor="#f2dbdb [661]" strokecolor="#83150e" strokeweight=".5pt">
                <v:textbox>
                  <w:txbxContent>
                    <w:p w14:paraId="6F763DD0" w14:textId="262E42C9" w:rsidR="007010C3" w:rsidRDefault="00A633A5" w:rsidP="001A2274">
                      <w:pPr>
                        <w:spacing w:after="0" w:line="240" w:lineRule="auto"/>
                        <w:ind w:right="-46"/>
                        <w:jc w:val="both"/>
                        <w:rPr>
                          <w:rFonts w:asciiTheme="minorHAnsi" w:hAnsiTheme="minorHAnsi" w:cstheme="minorHAnsi"/>
                          <w:color w:val="000000" w:themeColor="text1"/>
                          <w:sz w:val="20"/>
                          <w:szCs w:val="20"/>
                          <w:lang w:val="en-US"/>
                        </w:rPr>
                      </w:pPr>
                      <w:r>
                        <w:rPr>
                          <w:rFonts w:asciiTheme="minorHAnsi" w:hAnsiTheme="minorHAnsi" w:cstheme="minorHAnsi"/>
                          <w:b/>
                          <w:color w:val="000000" w:themeColor="text1"/>
                          <w:sz w:val="20"/>
                          <w:szCs w:val="20"/>
                          <w:lang w:val="en-US"/>
                        </w:rPr>
                        <w:t>Abstract</w:t>
                      </w:r>
                      <w:r>
                        <w:rPr>
                          <w:rFonts w:asciiTheme="minorHAnsi" w:hAnsiTheme="minorHAnsi" w:cstheme="minorHAnsi"/>
                          <w:color w:val="000000" w:themeColor="text1"/>
                          <w:sz w:val="20"/>
                          <w:szCs w:val="20"/>
                          <w:lang w:val="en-US"/>
                        </w:rPr>
                        <w:t xml:space="preserve"> Daily price limits are meant to cool markets, but they may also delay price discovery. We examine what happens after a stock closes at its daily limit on the Ho Chi Minh Stock Exchange, a market dominated by individual investors that applies one 7% band and sets opening and closing prices by call auction. Using daily prices for 347 stocks from August 2024 to September 2026, we split the next-day abnormal return after limit closes into an overnight gap and an intraday return. We compare limit closes with stocks that rose or fell almost as far, and we test the limit effect together with a broad set of price- and volume-based characteristics under false discovery rate control. The limit tests survive this control, whereas none of the lower-powered characteristic tests does. After a ceiling close, the stock opens on average 2.2% above the market, and the following session gives back about 24% of this gap. The gap is 2.7 percentage points larger than after rises that stop short of the limit, and the difference remains when those stocks also closed at their daily high. An investor who buys at the next opening cannot capture the effect and loses 0.7% against the market by the fifth close. Floor closes are followed by a negative gap whose size depends on the benchmark. The ceiling gap appears in every calendar quarter and before the exchange changed its trading platform in 2025. The pattern is consistent with delayed price discovery, but news, investor attention, and auction overshooting may also contribute, and data on news and order books are needed to separate them. For market design, the results suggest that the opening auction absorbs much of the price adjustment that the 7% band postpones.</w:t>
                      </w:r>
                    </w:p>
                    <w:p w14:paraId="106004E8" w14:textId="77777777" w:rsidR="005705D6" w:rsidRPr="0078120D" w:rsidRDefault="005705D6" w:rsidP="00C85EFE">
                      <w:pPr>
                        <w:spacing w:after="0" w:line="240" w:lineRule="auto"/>
                        <w:jc w:val="both"/>
                        <w:rPr>
                          <w:rFonts w:asciiTheme="minorHAnsi" w:eastAsia="Times New Roman" w:hAnsiTheme="minorHAnsi" w:cstheme="minorHAnsi"/>
                          <w:sz w:val="8"/>
                          <w:szCs w:val="8"/>
                          <w:lang w:val="en-US" w:eastAsia="es-MX"/>
                        </w:rPr>
                      </w:pPr>
                    </w:p>
                    <w:p w14:paraId="4EA8DF3E" w14:textId="66CA68A7" w:rsidR="005705D6" w:rsidRPr="007B2E86" w:rsidRDefault="00A633A5" w:rsidP="002504A6">
                      <w:pPr>
                        <w:spacing w:after="0" w:line="240" w:lineRule="auto"/>
                        <w:ind w:right="-28"/>
                        <w:rPr>
                          <w:rFonts w:cstheme="minorHAnsi"/>
                          <w:sz w:val="20"/>
                          <w:szCs w:val="20"/>
                          <w:lang w:val="en-US"/>
                        </w:rPr>
                      </w:pPr>
                      <w:r>
                        <w:rPr>
                          <w:rFonts w:asciiTheme="minorHAnsi" w:hAnsiTheme="minorHAnsi" w:cstheme="minorHAnsi"/>
                          <w:b/>
                          <w:iCs/>
                          <w:color w:val="000000" w:themeColor="text1"/>
                          <w:sz w:val="20"/>
                          <w:szCs w:val="20"/>
                          <w:lang w:val="en-US"/>
                        </w:rPr>
                        <w:t>Keywords</w:t>
                      </w:r>
                      <w:r>
                        <w:rPr>
                          <w:rFonts w:asciiTheme="minorHAnsi" w:hAnsiTheme="minorHAnsi" w:cstheme="minorHAnsi"/>
                          <w:b/>
                          <w:iCs/>
                          <w:color w:val="000000" w:themeColor="text1"/>
                          <w:sz w:val="20"/>
                          <w:szCs w:val="20"/>
                          <w:lang w:val="hr-HR"/>
                        </w:rPr>
                        <w:t>:</w:t>
                      </w:r>
                      <w:r>
                        <w:rPr>
                          <w:rFonts w:asciiTheme="minorHAnsi" w:hAnsiTheme="minorHAnsi" w:cstheme="minorHAnsi"/>
                          <w:iCs/>
                          <w:color w:val="000000" w:themeColor="text1"/>
                          <w:sz w:val="20"/>
                          <w:szCs w:val="20"/>
                          <w:lang w:val="hr-HR"/>
                        </w:rPr>
                        <w:t xml:space="preserve"> Market microstructure, Multiple testing, False discovery rate, Call auction, Emerging markets, Ho Chi Minh Stock Exchange.</w:t>
                      </w:r>
                    </w:p>
                  </w:txbxContent>
                </v:textbox>
                <w10:wrap type="topAndBottom" anchorx="margin"/>
              </v:shape>
            </w:pict>
          </mc:Fallback>
        </mc:AlternateConten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1. Introduction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daily price limit prevents stocks from moving beyond a fixed band within a single trading day. Exchanges in Tokyo, Taipei, Seoul, Shenzhen, and Ho Chi Minh City have used limits to cool markets after large shocks, and economists ask whether a limit protects prices or postpones adjustment.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Studies on band changes have documented effects on volatility, liquidity, and crash risk (Jia et al., 2024; Lien et al., 2019; Qi, 2023), and account-level data have shown that large investors buy on the limit day and sell on the next (Chen et al., 2019). For Vietnam, Le (2012) evaluated how narrower bands after 2008 affected stock price risk, and Farber et al. (2006) documented clusters and sequences of limit hits in the early years of the market. In Taiwan, which also had a 7% band, Huang et al. (2001) found that one-day up-limit closes gained 1.18% overnight in abnormal terms and gave back 0.77% in the next session. 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estimate the abnormal return after the ceiling and floor close on the HOSE, split it into an overnight gap and an intraday return, and test whether an outside buyer can capture it. We place the four limit tests in a family of 26 tests with 22 price- and volume-based characteristics and control the false discovery rate (FDR; Benjamini &amp; Hochberg, 1995; Harvey et al., 2016).</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study makes three contributions. First, we measure the overnight gap and the intraday return after limit closes, a split that Huang et al. (2001) applied to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1.1. Related literature and hypotheses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Theory.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Models predict protection or distortion depending on the source of the shock. Brennan (1986) rationalized limits in futures markets, Kodres and O’Brien (1994) showed that well-chosen limits can be Pareto superior when fundamental news drives prices because they partly insure traders against implementation risk, and Greenwald and Stein (1991) linked crashes to imperfect transactional mechanisms. Subrahmanyam (1994) showed that halts can advance trades in time and raise price variability. In the model of Chen et al. (2024), volatility rises as the price nears a circuit breaker, a magnet effect. A limit that only delays adjustment leaves a predictable next-day continuation, which the return after a limit close can reveal.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Classic evidence.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Kim and Rhee (1997) found support in Tokyo for three criticisms of limits: they spill volatility into later days, delay price discovery, and interfere with trading. Bildik and Gülay (2006) found the same result in Istanbul, with stronger evidence from price locks than from limit moves alone. Chen (1993) found that serial correlation decreases as the Taiwanese limit widens, which implies delayed adjustment under the narrower limit. Berkman and Lee (2002) examined volatility and trading activity around the revision of the Korean limit system. Huang et al. (2001) reported for Taiwan that the overnight overreaction after limit hits reverses the following day, the timing pattern we test. Cho et al. (2003) found a magnet effect: prices accelerate toward the upper limit in five-minute Taiwanese datasets. Kim and Limpaphayom (2000) showed that small, volatile, and high-volume stocks hit limits more often, whereas Deb et al. (2013) argued that rigid limits in Tokyo can disrupt price discovery and liquidity provision.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Band changes and investor-level data.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After ChiNext widened its band from 10% to 20% in August 2020, Qi (2023) confirmed delayed price discovery, volatility spillover, and trading interference, stronger at the lower limit and with no magnet effect. Zhang et al. (2022) found higher liquidity, volatility, and probability of informed trading, and Jia et al. (2024) found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a stronger long-run reversal (Chen et al., 2019). Stocks with large limit exposures attract attention and earn lower future returns, especially where retail investors hold many shares (Lin et al., 2023), and stocks with frequent upper-limit hits also earn lower future returns (Zeng et al., 2024). Liang and Hu (2025) forecast limit hits.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Overnight and intraday returns.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Kelly and Clark (2011) showed that overnight and intraday returns differ for index funds. In U.S. stocks, positive overnight returns are followed by intraday reversals, concentrated among stocks with recent retail attention (Berkman et al., 2012). Aboody et al. (2018) tied overnight persistence to sentiment, Lou et al. (2019) found overnight and intraday continuation with an offsetting cross-period reversal, Akbas et al. (2022) found that persistent positive-overnight and negative-daytime patterns predict higher returns, Bogousslavsky (2021) linked the split to margin and lending costs, and Lu et al. (2023) linked it to market makers who absorb retail imbalances near the open. In China, overnight returns are negative on average, which Qiao and Dam (2020) linked to the T+1 rule that bars selling shares on the day of purchase; the lottery-like anomaly arises mainly overnight (Gu et al., 2025); day-night anomalies concentrate at the open and close (Qiu et al., 2025); and small retail investors show weak stock selection (Jones et al., 2025).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Multiple testing and weekly regressions.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Harvey et al. (2016) argued that a new factor needs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above 3.0, and Harvey and Liu (2020) tied the hurdle to a chosen FDR. Chordia et al. (2020) put multiple-testing thresholds for cross-sectional regressions near 3.4, and Hou et al. (2020) found that with microcaps mitigated, 65% of 452 anomalies fail the single-test hurdle of 1.96. Petersen (2009) compared standard-error estimators for panel data, which motivates our alternative clusters, and Gutierrez and Kelley (2008) studied weekly returns, the frequency of our regressions. For Vietnam, Huang et al. (2023) found a size effect and an earnings-to-price effect.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Gap and hypotheses.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These studies compared band regimes, sorted stocks by limit exposure, or split overnight and intraday returns for all stocks. Huang et al. (2001) linked limit hits to the overnight-intraday timing in Taiwan. The present study measures this split against benchmarks on the HOSE, places the limit tests in a family that controls for multiple testing, and uses the 2025 platform change. If a limit delays price discovery, a ceiling close predicts a positive next-day abnormal return, and a floor close predicts a negative one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If the opening auction absorbs blocked demand, the effect concentrates in the overnight gap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If the limit itself drives the gap, the gap after a limit close exceeds the gap after moves of a similar size that stop short of the limit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If the gap already contains the blocked demand, an investor who buys at the next open cannot earn the continuation; the abnormal return from the next open to the fifth close is then zero or negative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limit effect that survives the screen applied to all 22 characteristics is more credible than a single large estimate.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2. Materials and Methods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2.1. Data and institutional setting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Data source.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September 24,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September 23, 2026, and we used the 519 trading days from August 21, 2024. Prices are in thousand dong. The vendor does not document corporate-action adjustment, and the files contain no market capitalization, order book, investor type, or news.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Institutional setting.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HOSE sets a daily price limit of 7% around the reference price, the previous close on normal trading days (Ho Chi Minh City Securities Corporation [HSC], 2025). On May 5, 2025, the HOSE moved to the trading platform of the Korea Exchange (KRX). The band remained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2.2. Research design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Returns and 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stock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i</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trading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O</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H</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L</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are the close, open, high, and low prices, and the close-to-close return is</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(1)</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ceiling event has a return (Equation (1)) of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0.065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H</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whereas a floor event has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−0.065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L</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The event window runs from day 61, when a 60-day volume history exists, to five days before the sample end. The market return weights stocks by dollar volume,</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Sup>
                  <m:e>
                    <m:r>
                      <m:t>R</m:t>
                    </m:r>
                  </m:e>
                  <m:sub>
                    <m:r>
                      <m:t>d</m:t>
                    </m:r>
                  </m:sub>
                  <m:sup>
                    <m:r>
                      <m:rPr>
                        <m:nor/>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(2)</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j</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run over stocks with a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and a full 60-day history,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V̄</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mean dollar volume of stock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j</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over the 60 trading days through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Exact hits.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 exact hit is an event whose close equals the limit price (within 10</w:t>
      </w:r>
      <w:r>
        <w:rPr>
          <w:rFonts w:asciiTheme="minorHAnsi" w:eastAsia="Georgia" w:hAnsiTheme="minorHAnsi" w:cstheme="minorHAnsi"/>
          <w:color w:val="000000"/>
          <w:sz w:val="20"/>
          <w:szCs w:val="20"/>
          <w:bdr w:val="nil"/>
          <w:vertAlign w:val="superscript"/>
          <w:lang w:val="hr-HR" w:eastAsia="es-MX"/>
        </w:rPr>
        <w:t xml:space="preserve">−6</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thousand dong),</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Sup>
                  <m:e>
                    <m:r>
                      <m:t>P</m:t>
                    </m:r>
                  </m:e>
                  <m:sub>
                    <m:r>
                      <m:t>i</m:t>
                    </m:r>
                    <m:r>
                      <m:rPr>
                        <m:sty m:val="p"/>
                      </m:rPr>
                      <m:t>,</m:t>
                    </m:r>
                    <m:r>
                      <m:t>d</m:t>
                    </m:r>
                  </m:sub>
                  <m:sup>
                    <m:r>
                      <m:rPr>
                        <m:nor/>
                      </m:rPr>
                      <m:t>ceiling</m:t>
                    </m:r>
                  </m:sup>
                </m:sSubSup>
                <m:r>
                  <m:rPr>
                    <m:sty m:val="p"/>
                  </m:rPr>
                  <m:t>=</m:t>
                </m:r>
                <m:d>
                  <m:dPr>
                    <m:begChr m:val="⌊"/>
                    <m:sepChr m:val=""/>
                    <m:end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rPr>
                      <m:t>floor</m:t>
                    </m:r>
                  </m:sup>
                </m:sSubSup>
                <m:r>
                  <m:rPr>
                    <m:sty m:val="p"/>
                  </m:rPr>
                  <m:t>=</m:t>
                </m:r>
                <m:d>
                  <m:dPr>
                    <m:begChr m:val="⌈"/>
                    <m:sepChr m:val=""/>
                    <m:endChr m:val="⌉"/>
                    <m:grow/>
                  </m:dPr>
                  <m:e>
                    <m:f>
                      <m:fPr>
                        <m:type m:val="bar"/>
                      </m:fPr>
                      <m:num>
                        <m:r>
                          <m:t>0.93</m:t>
                        </m:r>
                        <m:r>
                          <m:t> </m:t>
                        </m:r>
                        <m:sSub>
                          <m:e>
                            <m:r>
                              <m:t>C</m:t>
                            </m:r>
                          </m:e>
                          <m:sub>
                            <m:r>
                              <m:t>i</m:t>
                            </m:r>
                            <m:r>
                              <m:rPr>
                                <m:sty m:val="p"/>
                              </m:rPr>
                              <m:t>,</m:t>
                            </m:r>
                            <m:r>
                              <m:t>d</m:t>
                            </m:r>
                            <m:r>
                              <m:rPr>
                                <m:sty m:val="p"/>
                              </m:rPr>
                              <m:t>−</m:t>
                            </m:r>
                            <m:r>
                              <m:t>1</m:t>
                            </m:r>
                          </m:sub>
                        </m:sSub>
                      </m:num>
                      <m:den>
                        <m:r>
                          <m:t>δ</m:t>
                        </m:r>
                      </m:den>
                    </m:f>
                  </m:e>
                </m:d>
                <m:r>
                  <m:t>δ</m:t>
                </m:r>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(3)</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 · ⌋ and ⌈ · ⌉ round down and up (after adding and subtracting 10</w:t>
      </w:r>
      <w:r>
        <w:rPr>
          <w:rFonts w:asciiTheme="minorHAnsi" w:eastAsia="Georgia" w:hAnsiTheme="minorHAnsi" w:cstheme="minorHAnsi"/>
          <w:color w:val="000000"/>
          <w:sz w:val="20"/>
          <w:szCs w:val="20"/>
          <w:bdr w:val="nil"/>
          <w:vertAlign w:val="superscript"/>
          <w:lang w:val="hr-HR" w:eastAsia="es-MX"/>
        </w:rPr>
        <w:t xml:space="preserve">−9</w:t>
      </w:r>
      <w:r>
        <w:rPr>
          <w:rFonts w:asciiTheme="minorHAnsi" w:eastAsia="Georgia" w:hAnsiTheme="minorHAnsi" w:cstheme="minorHAnsi"/>
          <w:color w:val="000000"/>
          <w:sz w:val="20"/>
          <w:szCs w:val="20"/>
          <w:bdr w:val="nil"/>
          <w:lang w:val="hr-HR" w:eastAsia="es-MX"/>
        </w:rPr>
        <w:t xml:space="preserve">, respectively, against floating-point error), and the tick δ is 0.01, 0.05, or 0.10 thousand dong for reference prices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below 10, from 10 to below 50, and from 50 upward. Other events are near hits (see Section 4.1, vendor price adjustment).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Outcomes.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abnormal return (AR)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and the cumulative abnormal return (CAR)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+ 5 are</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sepChr m:val=""/>
                        <m:endChr m:val=")"/>
                        <m:grow/>
                      </m:dPr>
                      <m:e>
                        <m:r>
                          <m:t>1</m:t>
                        </m:r>
                        <m:r>
                          <m:rPr>
                            <m:sty m:val="p"/>
                          </m:rPr>
                          <m:t>+</m:t>
                        </m:r>
                        <m:sSubSup>
                          <m:e>
                            <m:r>
                              <m:t>R</m:t>
                            </m:r>
                          </m:e>
                          <m:sub>
                            <m:r>
                              <m:t>d</m:t>
                            </m:r>
                            <m:r>
                              <m:rPr>
                                <m:sty m:val="p"/>
                              </m:rPr>
                              <m:t>+</m:t>
                            </m:r>
                            <m:r>
                              <m:t>k</m:t>
                            </m:r>
                          </m:sub>
                          <m:sup>
                            <m:r>
                              <m:rPr>
                                <m:nor/>
                              </m:rPr>
                              <m:t>mkt</m:t>
                            </m:r>
                          </m:sup>
                        </m:sSubSup>
                      </m:e>
                    </m:d>
                  </m:e>
                </m:nary>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(4)</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 each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color w:val="000000"/>
          <w:sz w:val="20"/>
          <w:szCs w:val="20"/>
          <w:bdr w:val="nil"/>
          <w:vertAlign w:val="superscript"/>
          <w:lang w:val="hr-HR" w:eastAsia="es-MX"/>
        </w:rPr>
        <w:t xml:space="preserve">mkt</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uses weights through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(Table 1).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return splits into the overnight gap and the intraday return,</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sepChr m:val=""/>
                    <m:endChr m:val=")"/>
                    <m:grow/>
                  </m:dPr>
                  <m:e>
                    <m:r>
                      <m:t>1</m:t>
                    </m:r>
                    <m:r>
                      <m:rPr>
                        <m:sty m:val="p"/>
                      </m:rPr>
                      <m:t>+</m:t>
                    </m:r>
                    <m:sSub>
                      <m:e>
                        <m:r>
                          <m:rPr>
                            <m:sty m:val="p"/>
                          </m:rPr>
                          <m:t>G</m:t>
                        </m:r>
                        <m:r>
                          <m:rPr>
                            <m:sty m:val="p"/>
                          </m:rPr>
                          <m:t>A</m:t>
                        </m:r>
                        <m:r>
                          <m:rPr>
                            <m:sty m:val="p"/>
                          </m:rPr>
                          <m:t>P</m:t>
                        </m:r>
                      </m:e>
                      <m:sub>
                        <m:r>
                          <m:t>i</m:t>
                        </m:r>
                        <m:r>
                          <m:rPr>
                            <m:sty m:val="p"/>
                          </m:rPr>
                          <m:t>,</m:t>
                        </m:r>
                        <m:r>
                          <m:t>d</m:t>
                        </m:r>
                      </m:sub>
                    </m:sSub>
                  </m:e>
                </m:d>
                <m:d>
                  <m:dPr>
                    <m:begChr m:val="("/>
                    <m:sepChr m:val=""/>
                    <m:end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(5)</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and abnormal values subtract the market counterpart of each component, the same-interval return across stocks weighted by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w</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known at the event close. A buyer at the next open earns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+5</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O</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less the buy-and-hold market return Σ</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w</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C</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+5</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O</w:t>
      </w:r>
      <w:r>
        <w:rPr>
          <w:rFonts w:asciiTheme="minorHAnsi" w:eastAsia="Georgia" w:hAnsiTheme="minorHAnsi" w:cstheme="minorHAnsi"/>
          <w:i/>
          <w:color w:val="000000"/>
          <w:sz w:val="20"/>
          <w:szCs w:val="20"/>
          <w:bdr w:val="nil"/>
          <w:vertAlign w:val="subscript"/>
          <w:lang w:val="hr-HR" w:eastAsia="es-MX"/>
        </w:rPr>
        <w:t xml:space="preserve">j</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The control benchmark is the equal-weighted mean same-interval return of control stocks (absolute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below 6.5%) in the event stock’s tercile of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V̄</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 that date; dates with fewer than 30 control stocks have no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Samples.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requires different data. Table 1 requires returns on all five days after the event (3,187 ceiling and 2,105 floor events). Tables 2 to 4 require the opening and closing prices of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(3,199 and 2,111 events), the open-to-day-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return also requires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closing price, and the control benchmark requires at least 30 control stocks on the date (3,100 and 2,047 events). Figure 2 uses event days up to the second-to-last trading day (3,220 ceiling events). No event was dropped for any other reason.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Inference.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events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e</w:t>
      </w:r>
      <w:r>
        <w:rPr>
          <w:rFonts w:asciiTheme="minorHAnsi" w:eastAsia="Georgia" w:hAnsiTheme="minorHAnsi" w:cstheme="minorHAnsi"/>
          <w:color w:val="000000"/>
          <w:sz w:val="20"/>
          <w:szCs w:val="20"/>
          <w:bdr w:val="nil"/>
          <w:lang w:val="hr-HR" w:eastAsia="es-MX"/>
        </w:rPr>
        <w:t xml:space="preserve">, each a stock-day pair, with outcome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and mean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vertAlign w:val="superscript"/>
          <w:lang w:val="hr-HR" w:eastAsia="es-MX"/>
        </w:rPr>
        <w:t xml:space="preserve">−1</w:t>
      </w:r>
      <w:r>
        <w:rPr>
          <w:rFonts w:asciiTheme="minorHAnsi" w:eastAsia="Georgia" w:hAnsiTheme="minorHAnsi" w:cstheme="minorHAnsi"/>
          <w:color w:val="000000"/>
          <w:sz w:val="20"/>
          <w:szCs w:val="20"/>
          <w:bdr w:val="nil"/>
          <w:lang w:val="hr-HR" w:eastAsia="es-MX"/>
        </w:rPr>
        <w:t xml:space="preserve">Σ</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the cluster-robust variance is</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acc>
                  <m:accPr>
                    <m:chr m:val="̂"/>
                  </m:accPr>
                  <m:e>
                    <m:r>
                      <m:rPr>
                        <m:sty m:val="p"/>
                      </m:rPr>
                      <m:t>Var</m:t>
                    </m:r>
                  </m:e>
                </m:acc>
                <m:d>
                  <m:dPr>
                    <m:begChr m:val="("/>
                    <m:sepChr m:val=""/>
                    <m:end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sepChr m:val=""/>
                            <m:endChr m:val=")"/>
                            <m:grow/>
                          </m:dPr>
                          <m:e>
                            <m:nary>
                              <m:naryPr>
                                <m:chr m:val="∑"/>
                                <m:limLoc m:val="undOvr"/>
                                <m:subHide m:val="off"/>
                                <m:supHide m:val="on"/>
                              </m:naryPr>
                              <m:sub>
                                <m:r>
                                  <m:t>e</m:t>
                                </m:r>
                                <m:r>
                                  <m:rPr>
                                    <m:sty m:val="p"/>
                                  </m:rPr>
                                  <m:t>∈</m:t>
                                </m:r>
                                <m:r>
                                  <m:t>g</m:t>
                                </m:r>
                              </m:sub>
                              <m:sup>
                                <m:r>
                                  <m:t>​</m:t>
                                </m:r>
                              </m:sup>
                              <m:e>
                                <m:d>
                                  <m:dPr>
                                    <m:begChr m:val="("/>
                                    <m:sepChr m:val=""/>
                                    <m:endChr m:val=")"/>
                                    <m:grow/>
                                  </m:dPr>
                                  <m:e>
                                    <m:sSub>
                                      <m:e>
                                        <m:r>
                                          <m:t>y</m:t>
                                        </m:r>
                                      </m:e>
                                      <m:sub>
                                        <m:r>
                                          <m:t>e</m:t>
                                        </m:r>
                                      </m:sub>
                                    </m:sSub>
                                    <m:r>
                                      <m:rPr>
                                        <m:sty m:val="p"/>
                                      </m:rPr>
                                      <m:t>−</m:t>
                                    </m:r>
                                    <m:bar>
                                      <m:barPr>
                                        <m:pos m:val="top"/>
                                      </m:barPr>
                                      <m:e>
                                        <m:r>
                                          <m:t>y</m:t>
                                        </m:r>
                                      </m:e>
                                    </m:bar>
                                  </m:e>
                                </m:d>
                              </m:e>
                            </m:nary>
                          </m:e>
                        </m:d>
                      </m:e>
                      <m:sup>
                        <m:r>
                          <m:t>2</m:t>
                        </m:r>
                      </m:sup>
                    </m:sSup>
                  </m:e>
                </m:nary>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(6)</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where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indexes clusters: event dates, calendar weeks (ISO 8601), or blocks of ten consecutive trading days.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the four event tests use Equation (6) with event-date clusters, omit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and take a normal reference. Table 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include the factor and use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degrees of freedom. The family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keep the convention of the first computation of the planned tests; the analysis plan specified date-clustered standard errors but not the reference distribution, and we did not change the convention after seeing the results, so that the multiplicity control is not tuned to them. Table 1 adds the small-sample factor and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as a more conservative check. Under these settings, the four event tests still survive a Bonferroni correction in families of up to 683 tests with date clusters and 125 with calendar-week clusters (Section 3), so the choice does not change any conclusion. Two-way clustering by date and stock follows Cameron et al. (2011), without the factor and with the variance bounded below at 10</w:t>
      </w:r>
      <w:r>
        <w:rPr>
          <w:rFonts w:asciiTheme="minorHAnsi" w:eastAsia="Georgia" w:hAnsiTheme="minorHAnsi" w:cstheme="minorHAnsi"/>
          <w:color w:val="000000"/>
          <w:sz w:val="20"/>
          <w:szCs w:val="20"/>
          <w:bdr w:val="nil"/>
          <w:vertAlign w:val="superscript"/>
          <w:lang w:val="hr-HR" w:eastAsia="es-MX"/>
        </w:rPr>
        <w:t xml:space="preserve">−12</w:t>
      </w:r>
      <w:r>
        <w:rPr>
          <w:rFonts w:asciiTheme="minorHAnsi" w:eastAsia="Georgia" w:hAnsiTheme="minorHAnsi" w:cstheme="minorHAnsi"/>
          <w:color w:val="000000"/>
          <w:sz w:val="20"/>
          <w:szCs w:val="20"/>
          <w:bdr w:val="nil"/>
          <w:lang w:val="hr-HR" w:eastAsia="es-MX"/>
        </w:rPr>
        <w:t xml:space="preserve">. Table 3 reports β̂ from</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α + β</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u</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where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for limit closes and 0 for the comparison moves, α is the intercept, and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u</w:t>
      </w:r>
      <w:r>
        <w:rPr>
          <w:rFonts w:asciiTheme="minorHAnsi" w:eastAsia="Georgia" w:hAnsiTheme="minorHAnsi" w:cstheme="minorHAnsi"/>
          <w:i/>
          <w:color w:val="000000"/>
          <w:sz w:val="20"/>
          <w:szCs w:val="20"/>
          <w:bdr w:val="nil"/>
          <w:vertAlign w:val="subscript"/>
          <w:lang w:val="hr-HR" w:eastAsia="es-MX"/>
        </w:rPr>
        <w:t xml:space="preserve">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error, with date-clustered HC1 standard errors (R package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sandwich</w:t>
      </w:r>
      <w:r>
        <w:rPr>
          <w:rFonts w:asciiTheme="minorHAnsi" w:eastAsia="Georgia" w:hAnsiTheme="minorHAnsi" w:cstheme="minorHAnsi"/>
          <w:color w:val="000000"/>
          <w:sz w:val="20"/>
          <w:szCs w:val="20"/>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Characteristics.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form cross-sections on trading days 120 (so that every lookback is complete), 125, and so on to 510:</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79 formation weeks τ (five-trading-day periods, not the calendar weeks used for clustering), each followed by a non-overlapping five-day holding period. Each week, we rank-normalize each characteristic</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x</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across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stocks with complete data (all 115 days of the longest lookback, trades on at least 50 of the last 60 days, and next-five-day returns) 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z</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Φ</w:t>
      </w:r>
      <w:r>
        <w:rPr>
          <w:rFonts w:asciiTheme="minorHAnsi" w:eastAsia="Georgia" w:hAnsiTheme="minorHAnsi" w:cstheme="minorHAnsi"/>
          <w:color w:val="000000"/>
          <w:sz w:val="20"/>
          <w:szCs w:val="20"/>
          <w:bdr w:val="nil"/>
          <w:vertAlign w:val="superscript"/>
          <w:lang w:val="hr-HR" w:eastAsia="es-MX"/>
        </w:rPr>
        <w:t xml:space="preserve">−1</w:t>
      </w:r>
      <w:r>
        <w:rPr>
          <w:rFonts w:asciiTheme="minorHAnsi" w:eastAsia="Georgia" w:hAnsiTheme="minorHAnsi" w:cstheme="minorHAnsi"/>
          <w:color w:val="000000"/>
          <w:sz w:val="20"/>
          <w:szCs w:val="20"/>
          <w:bdr w:val="nil"/>
          <w:lang w:val="hr-HR" w:eastAsia="es-MX"/>
        </w:rPr>
        <w:t xml:space="preserve">((rank(</w:t>
      </w:r>
      <w:r>
        <w:rPr>
          <w:rFonts w:asciiTheme="minorHAnsi" w:eastAsia="Georgia" w:hAnsiTheme="minorHAnsi" w:cstheme="minorHAnsi"/>
          <w:i/>
          <w:color w:val="000000"/>
          <w:sz w:val="20"/>
          <w:szCs w:val="20"/>
          <w:bdr w:val="nil"/>
          <w:lang w:val="hr-HR" w:eastAsia="es-MX"/>
        </w:rPr>
        <w:t xml:space="preserve">x</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− 0.5)/</w:t>
      </w:r>
      <w:r>
        <w:rPr>
          <w:rFonts w:asciiTheme="minorHAnsi" w:eastAsia="Georgia" w:hAnsiTheme="minorHAnsi" w:cstheme="minorHAnsi"/>
          <w:i/>
          <w:color w:val="000000"/>
          <w:sz w:val="20"/>
          <w:szCs w:val="20"/>
          <w:bdr w:val="nil"/>
          <w:lang w:val="hr-HR" w:eastAsia="es-MX"/>
        </w:rPr>
        <w:t xml:space="preserve">n</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with ties at average ranks and Φ</w:t>
      </w:r>
      <w:r>
        <w:rPr>
          <w:rFonts w:asciiTheme="minorHAnsi" w:eastAsia="Georgia" w:hAnsiTheme="minorHAnsi" w:cstheme="minorHAnsi"/>
          <w:color w:val="000000"/>
          <w:sz w:val="20"/>
          <w:szCs w:val="20"/>
          <w:bdr w:val="nil"/>
          <w:vertAlign w:val="super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inverse standard normal distribution function. The outcome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y</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the stock’s compounded return over the next five trading days minus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V̄</w:t>
      </w:r>
      <w:r>
        <w:rPr>
          <w:rFonts w:asciiTheme="minorHAnsi" w:eastAsia="Georgia" w:hAnsiTheme="minorHAnsi" w:cstheme="minorHAnsi"/>
          <w:color w:val="000000"/>
          <w:sz w:val="20"/>
          <w:szCs w:val="20"/>
          <w:bdr w:val="nil"/>
          <w:lang w:val="hr-HR" w:eastAsia="es-MX"/>
        </w:rPr>
        <w:t xml:space="preserve">-weighted average five-day return of these stocks. The Fama and MacBeth (1973) regressions are</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(7)</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 a weekly intercept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a</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slope γ</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and residual ε</w:t>
      </w:r>
      <w:r>
        <w:rPr>
          <w:rFonts w:asciiTheme="minorHAnsi" w:eastAsia="Georgia" w:hAnsiTheme="minorHAnsi" w:cstheme="minorHAnsi"/>
          <w:i/>
          <w:color w:val="000000"/>
          <w:sz w:val="20"/>
          <w:szCs w:val="20"/>
          <w:bdr w:val="nil"/>
          <w:vertAlign w:val="subscript"/>
          <w:lang w:val="hr-HR" w:eastAsia="es-MX"/>
        </w:rPr>
        <w:t xml:space="preserve">i</w:t>
      </w:r>
      <w:r>
        <w:rPr>
          <w:rFonts w:asciiTheme="minorHAnsi" w:eastAsia="Georgia" w:hAnsiTheme="minorHAnsi" w:cstheme="minorHAnsi"/>
          <w:color w:val="000000"/>
          <w:sz w:val="20"/>
          <w:szCs w:val="20"/>
          <w:bdr w:val="nil"/>
          <w:vertAlign w:val="subscript"/>
          <w:lang w:val="hr-HR" w:eastAsia="es-MX"/>
        </w:rPr>
        <w:t xml:space="preserve">,τ</w:t>
      </w:r>
      <w:r>
        <w:rPr>
          <w:rFonts w:asciiTheme="minorHAnsi" w:eastAsia="Georgia" w:hAnsiTheme="minorHAnsi" w:cstheme="minorHAnsi"/>
          <w:color w:val="000000"/>
          <w:sz w:val="20"/>
          <w:szCs w:val="20"/>
          <w:bdr w:val="nil"/>
          <w:lang w:val="hr-HR" w:eastAsia="es-MX"/>
        </w:rPr>
        <w:t xml:space="preserve">.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 of γ̂ uses Newey and West’s (1987) standard errors (four lags, Bartlett weights, and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Multiplicity and survival.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The family has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m</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26 tests: 22 characteristics and the ceiling and floor tests at the two horizons of Equation (4). With</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ordered as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 ≤</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i/>
          <w:color w:val="000000"/>
          <w:sz w:val="20"/>
          <w:szCs w:val="20"/>
          <w:bdr w:val="nil"/>
          <w:vertAlign w:val="subscript"/>
          <w:lang w:val="hr-HR" w:eastAsia="es-MX"/>
        </w:rPr>
        <w:t xml:space="preserve">m</w:t>
      </w:r>
      <w:r>
        <w:rPr>
          <w:rFonts w:asciiTheme="minorHAnsi" w:eastAsia="Georgia" w:hAnsiTheme="minorHAnsi" w:cstheme="minorHAnsi"/>
          <w:color w:val="000000"/>
          <w:sz w:val="20"/>
          <w:szCs w:val="20"/>
          <w:bdr w:val="nil"/>
          <w:vertAlign w:val="subscript"/>
          <w:lang w:val="hr-HR" w:eastAsia="es-MX"/>
        </w:rPr>
        <w:t xml:space="preserve">)</w:t>
      </w:r>
      <w:r>
        <w:rPr>
          <w:rFonts w:asciiTheme="minorHAnsi" w:eastAsia="Georgia" w:hAnsiTheme="minorHAnsi" w:cstheme="minorHAnsi"/>
          <w:color w:val="000000"/>
          <w:sz w:val="20"/>
          <w:szCs w:val="20"/>
          <w:bdr w:val="nil"/>
          <w:lang w:val="hr-HR" w:eastAsia="es-MX"/>
        </w:rPr>
        <w:t xml:space="preserve">, the Benjamini–Hochberg (BH)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at rank</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r</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w:t>
      </w:r>
    </w:p>
    <w:tbl>
      <w:tblPr>
        <w:tblW w:type="pct" w:w="5000"/>
        <w:tblBorders>
          <w:top w:val="nil"/>
          <w:left w:val="nil"/>
          <w:bottom w:val="nil"/>
          <w:right w:val="nil"/>
          <w:insideH w:val="nil"/>
          <w:insideV w:val="nil"/>
        </w:tblBorders>
        <w:tblLayout w:type="fixed"/>
      </w:tblPr>
      <w:tblGrid>
        <w:gridCol w:w="9100"/>
        <w:gridCol w:w="1100"/>
      </w:tblGrid>
      <w:tr>
        <w:trPr>
          <w:cantSplit/>
        </w:trPr>
        <w:tc>
          <w:tcPr>
            <w:tcW w:type="dxa" w:w="9100"/>
            <w:vAlign w:val="center"/>
          </w:tcPr>
          <w:p>
            <w:pPr>
              <w:spacing w:before="60" w:after="60"/>
              <w:jc w:val="center"/>
            </w:pPr>
            <m:oMathPara>
              <m:oMathParaPr>
                <m:jc m:val="center"/>
              </m:oMathParaPr>
              <m:oMath>
                <m:sSub>
                  <m:e>
                    <m:acc>
                      <m:accPr>
                        <m:chr m:val="̃"/>
                      </m:accPr>
                      <m:e>
                        <m:r>
                          <m:t>p</m:t>
                        </m:r>
                      </m:e>
                    </m:acc>
                  </m:e>
                  <m:sub>
                    <m:d>
                      <m:dPr>
                        <m:begChr m:val="("/>
                        <m:sepChr m:val=""/>
                        <m:endChr m:val=")"/>
                        <m:grow/>
                      </m:dPr>
                      <m:e>
                        <m:r>
                          <m:t>r</m:t>
                        </m:r>
                      </m:e>
                    </m:d>
                  </m:sub>
                </m:sSub>
                <m:r>
                  <m:rPr>
                    <m:sty m:val="p"/>
                  </m:rPr>
                  <m:t>=</m:t>
                </m:r>
                <m:limLow>
                  <m:e>
                    <m:r>
                      <m:rPr>
                        <m:sty m:val="p"/>
                      </m:rPr>
                      <m:t>min</m:t>
                    </m:r>
                  </m:e>
                  <m:lim>
                    <m:r>
                      <m:t>s</m:t>
                    </m:r>
                    <m:r>
                      <m:rPr>
                        <m:sty m:val="p"/>
                      </m:rPr>
                      <m:t>≥</m:t>
                    </m:r>
                    <m:r>
                      <m:t>r</m:t>
                    </m:r>
                  </m:lim>
                </m:limLow>
                <m:d>
                  <m:dPr>
                    <m:begChr m:val="{"/>
                    <m:sepChr m:val=""/>
                    <m:endChr m:val="}"/>
                    <m:grow/>
                  </m:dPr>
                  <m:e>
                    <m:r>
                      <m:rPr>
                        <m:sty m:val="p"/>
                      </m:rPr>
                      <m:t>min</m:t>
                    </m:r>
                    <m:r>
                      <m:t>​</m:t>
                    </m:r>
                    <m:d>
                      <m:dPr>
                        <m:begChr m:val="("/>
                        <m:sepChr m:val=""/>
                        <m:endChr m:val=")"/>
                        <m:grow/>
                      </m:dPr>
                      <m:e>
                        <m:r>
                          <m:t>1</m:t>
                        </m:r>
                        <m:r>
                          <m:rPr>
                            <m:sty m:val="p"/>
                          </m:rPr>
                          <m:t>,</m:t>
                        </m:r>
                        <m:f>
                          <m:fPr>
                            <m:type m:val="bar"/>
                          </m:fPr>
                          <m:num>
                            <m:r>
                              <m:t>m</m:t>
                            </m:r>
                          </m:num>
                          <m:den>
                            <m:r>
                              <m:t>s</m:t>
                            </m:r>
                          </m:den>
                        </m:f>
                        <m:r>
                          <m:t> </m:t>
                        </m:r>
                        <m:sSub>
                          <m:e>
                            <m:r>
                              <m:t>p</m:t>
                            </m:r>
                          </m:e>
                          <m:sub>
                            <m:d>
                              <m:dPr>
                                <m:begChr m:val="("/>
                                <m:sepChr m:val=""/>
                                <m:endChr m:val=")"/>
                                <m:grow/>
                              </m:dPr>
                              <m:e>
                                <m:r>
                                  <m:t>s</m:t>
                                </m:r>
                              </m:e>
                            </m:d>
                          </m:sub>
                        </m:sSub>
                      </m:e>
                    </m:d>
                  </m:e>
                </m:d>
              </m:oMath>
            </m:oMathPara>
          </w:p>
        </w:tc>
        <w:tc>
          <w:tcPr>
            <w:tcW w:type="dxa" w:w="1100"/>
            <w:vAlign w:val="center"/>
          </w:tcPr>
          <w:p>
            <w:pPr>
              <w:jc w:val="right"/>
            </w:pPr>
            <w:r>
              <w:rPr>
                <w:rFonts w:asciiTheme="minorHAnsi" w:eastAsia="Georgia" w:hAnsiTheme="minorHAnsi" w:cstheme="minorHAnsi"/>
                <w:color w:val="000000"/>
                <w:sz w:val="20"/>
                <w:szCs w:val="20"/>
                <w:bdr w:val="nil"/>
                <w:lang w:val="hr-HR" w:eastAsia="es-MX"/>
              </w:rPr>
              <w:t xml:space="preserve">(8)</w:t>
            </w:r>
          </w:p>
        </w:tc>
      </w:tr>
    </w:tbl>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also report Holm’s (1979) adjustments and the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hurdle of Harvey et al. (2016). A test survives if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&lt; 0.05, which controls the FDR at 5%; if its signs agree in the discovery half (the first 39 weeks or events up to the median event date) and the confirmation half; and if its confirmation-half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Analysis plan.</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(not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i/>
          <w:color w:val="000000"/>
          <w:sz w:val="20"/>
          <w:szCs w:val="20"/>
          <w:bdr w:val="nil"/>
          <w:lang w:val="hr-HR" w:eastAsia="es-MX"/>
        </w:rPr>
        <w:t xml:space="preserve">Software and code.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One R 4.3.3 script (packages sandwich, lmtest, and ggplot2) reproduces every number, table, and figure; code, data, and output tables are public (Section 6.5).</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3. Results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event sample contains 3,187 ceiling events on 446 dates and 2,105 floor events on 319 dates.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1 plots the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-statistics of the 22 slopes γ̂ in Equation (7): none reaches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3 in any sample or 1.96 in the full sample, and none survives the BH control. The largest full-sample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1.45, for 3-month and idiosyncratic momentum (confirmation-half</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1.17 and 1.14). After the 25-basis-point cost, 18 of the 22 long–short quintile spreads are negative. With 79 weekly cross-sections, the MDE at 80% power is 0.12 to 0.31 percentage points per week per standard deviation; therefore, the null excludes only large effects. With eight Newey–West lags, the largest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is 1.79, and dropping the least liquid 20% of stocks leaves it at 1.62.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Without market capitalization or accounting data, we cannot test the size and earnings-to-price effects that Huang et al. (2023) found in Vietnam; therefore, our null result does not contradict theirs. A short sample, which leaves a premium of a tenth of a percentage point per week below the MDE, and limits that censor the highs and lows of range-based characteristics can each produce the null, and we draw no conclusion about market efficiency.</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1 presents the results of the event tests. Ceiling closes earn a market-adjusted return of 1.66%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and 1.45%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+1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and floor closes earn −0.71% and −1.76%. All four tests survive the BH control (Equation (8);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of at most 0.0004), maintain their signs in both halves, and exceed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 1.96 in the confirmation half. Clustering by calendar week or 10-day block, with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leaves all four significant. The floor five-day test clears the confirmation criterion by the smallest margin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−2.22 with week clusters), and all four tests survive the rule reapplied with week-clustered statistics.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For ceilings, the five-day result comes from the first day: over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the ceiling return is −0.24%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−1.53). After floor closes,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add −1.10%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−2.91), but the confirmation-half week-clustered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−1.14. With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as the second horizon, the ceiling test would fail, and the floor test would fail the confirmation criterion. Ceiling closes carry a one-day effect, whereas floor closes carry a one-day effect plus some later drift. These tests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limit closes predict the next day’s abnormal return, whereas none of the 22 characteristics passes the same screen at its weekly horizon.</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2 decomposes the next-day return, as in Equation (5). After a ceiling close, the overnight gap is 2.24% (two-way-clustered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 and the intraday return is −0.54%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−3.5): the session reverses about 24% of the gap, and the close-to-close effect is positive because the gap exceeds the giveback. The effect occurs in the opening auction, as H</w:t>
      </w:r>
      <w:r>
        <w:rPr>
          <w:rFonts w:asciiTheme="minorHAnsi" w:eastAsia="Georgia" w:hAnsiTheme="minorHAnsi" w:cstheme="minorHAnsi"/>
          <w:color w:val="000000"/>
          <w:sz w:val="20"/>
          <w:szCs w:val="20"/>
          <w:bdr w:val="nil"/>
          <w:vertAlign w:val="subscript"/>
          <w:lang w:val="hr-HR" w:eastAsia="es-MX"/>
        </w:rPr>
        <w:t xml:space="preserve">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predicts. A stock that closes at its ceiling may carry unfilled buy orders into the night; those orders and any overnight news would set the opening price, and the intraday reversal suggests that part of that price reflects transient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After a floor close, the gap is −0.97%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−4.6). The intraday return is a weak reversal of 0.30%.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holds for exact limit hits (2.79%) and for the first day of a streak of exact hits (2.39%). Near hits show a smaller gap (1.67%) and no significant intraday return. However, their median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return is 6.89%, almost the same as the 6.90% of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appears in both halves of the sample and on days locked at one price from open to close. It also appears in each tercile of the 60-day average dollar volume; in the most liquid tercile it is 1.52%. Against same-date controls, the ceiling gap is 2.70%.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also not significant in the least liquid tercile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−2.7) and −0.53% against same-date controls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−1.8), which supports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−1.7), which is not significant at the 5% level.</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Figure 2 plots the three next-day measures against the size of the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move. Inside the band, the close-to-close relation is negative, a short-term reversal. At the limit, the relation breaks, and the overnight gap jumps up at the ceiling and down at the floor.</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3 quantifies the break. Ceiling closers have a gap 2.66 percentage points larger than stocks that rose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14.0). Their intraday return is 0.31 points lower. Floor closers have a gap 1.59 points lower than stocks that fell 5% to 6.5%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−9.7).</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 rule requires a close at the day’s high (low), we repeat the comparison with stocks that also closed at their high (low). The ceiling gap is then 3.14 points larger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14.5), and the floor gap is 1.81 points lower. A strong close therefore does not explain the contrast, which supports H</w:t>
      </w:r>
      <w:r>
        <w:rPr>
          <w:rFonts w:asciiTheme="minorHAnsi" w:eastAsia="Georgia" w:hAnsiTheme="minorHAnsi" w:cstheme="minorHAnsi"/>
          <w:color w:val="000000"/>
          <w:sz w:val="20"/>
          <w:szCs w:val="20"/>
          <w:bdr w:val="nil"/>
          <w:vertAlign w:val="subscript"/>
          <w:lang w:val="hr-HR" w:eastAsia="es-MX"/>
        </w:rPr>
        <w:t xml:space="preserve">3</w:t>
      </w:r>
      <w:r>
        <w:rPr>
          <w:rFonts w:asciiTheme="minorHAnsi" w:eastAsia="Georgia" w:hAnsiTheme="minorHAnsi" w:cstheme="minorHAnsi"/>
          <w:color w:val="000000"/>
          <w:sz w:val="20"/>
          <w:szCs w:val="20"/>
          <w:bdr w:val="nil"/>
          <w:lang w:val="hr-HR" w:eastAsia="es-MX"/>
        </w:rPr>
        <w:t xml:space="preserve">. The comparison is an association around a rule-based threshold, not a regression-discontinuity design, and stocks that reach the limit may differ in news content.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Three readings fit the pattern, and our data do not separate them: (1) demand or supply that the limit blocked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volume relative to its prior 60-day mean (1.97%, 2.16%, and 2.63%) and of the prior 20-day return (1.41%, 2.18%, and 3.16%), which fits readings (1) and (2) alike, and stays positive and significant in the lowest tercile of each proxy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break at the limit</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is a description and delayed price discovery one hypothesis. Testing the magnet effect (Chen et al., 2024; Cho et al., 2003) requires intraday prices, which we lack.</w:t>
      </w:r>
    </w:p>
    <w:p w14:paraId="0ED581F1" w14:textId="3CA2130A" w:rsidR="00CF7DCB" w:rsidRDefault="007010C3" w:rsidP="007010C3">
      <w:pPr>
        <w:keepNext/>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Table 4 splits the events on May 5, 2025, when the HOSE moved to the KRX platform.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ceiling gap, followed by an intraday reversal, appears in both periods: 1.65% before and 2.49%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The floor gap is more negative after the move, at −0.42% before and −1.37% after (difference</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After the move, the intraday return after floor closes turns positive (0.64%). The floor drift from the next open to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exists only before the move (−1.73% before and −0.15% after).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change coincides with a different market period. The post-change sample accounts for 71% of the ceiling events and 58% of the floor events. Before the change, neither the ceiling close-to-close return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1.0) nor the floor gap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−1.9) is significant at the 5% level. The full-sample significance of these two measures therefore rests mainly on post-change events. We cannot attribute the differences between the periods to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Because the events are unbalanced in time, Table 5 reports them by calendar quarter. The ceiling gap is positive and significant in each of the eight quarters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from 2.5 to 16.8). The floor gap is negative in every quarter and significant at the 5% level in seven of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We also move the break date to the first trading day of each month from January 2025 to April 2026. These placebo dates give ceiling-gap differences between −0.45 and 0.72 percentage points, all with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of at most 1.4. The split at May 5, 2025, gives the largest difference, 0.85 points, but it is not significant either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1.6). For floors, the difference is positive at the four placebo dates before the platform change and negative at 11 of the 11 later ones. The split at May 5, 2025, gives −0.95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−3.2), close to the placebo dates that follow it. Table 5 shows no trend in the floor gap, but the floor gap is weak in 2025-Q2 (−0.34%), the quarter with the most floor events (802). The placebo dates therefore cannot separate a break at the platform change from a shift specific to that quarter.</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difference-in-differences regression compares limit closes with 5–6.5% movers that also closed at the extreme (repository table C31). For ceilings, the excess gap was 2.91 percentage points before the change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6.2) and changed by 0.38 points after it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0.8). For floors, the excess gap was −1.62 points before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−6.6) and changed by −0.49 points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−1.5). The break at the limit is therefore present before the change and does not depend on the post-change period, although the significance of the raw ceiling close-to-close return and of the raw floor gap does (Table 4). These comparisons describe timing, not an effect of the auction rules.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To bound the effect of a wider search, let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be the largest event-test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computed with the factor</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w:t>
      </w:r>
      <w:r>
        <w:rPr>
          <w:rFonts w:asciiTheme="minorHAnsi" w:eastAsia="Georgia" w:hAnsiTheme="minorHAnsi" w:cstheme="minorHAnsi"/>
          <w:i/>
          <w:color w:val="000000"/>
          <w:sz w:val="20"/>
          <w:szCs w:val="20"/>
          <w:bdr w:val="nil"/>
          <w:lang w:val="hr-HR" w:eastAsia="es-MX"/>
        </w:rPr>
        <w:t xml:space="preserve">G</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− 1) and a</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reference. All four event tests survive a Bonferroni correction at 5% in families of up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m</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 0.05 /</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 tests: 683 with date clusters and 125 with calendar-week clusters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vertAlign w:val="subscript"/>
          <w:lang w:val="hr-HR" w:eastAsia="es-MX"/>
        </w:rPr>
        <w:t xml:space="preserve">max</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+2 to</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+5 outcomes, and week-clustered event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-values; the largest adjusted</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p</w:t>
      </w:r>
      <w:r>
        <w:rPr>
          <w:rFonts w:asciiTheme="minorHAnsi" w:eastAsia="Georgia" w:hAnsiTheme="minorHAnsi" w:cstheme="minorHAnsi"/>
          <w:color w:val="000000"/>
          <w:sz w:val="20"/>
          <w:szCs w:val="20"/>
          <w:bdr w:val="nil"/>
          <w:lang w:val="hr-HR" w:eastAsia="es-MX"/>
        </w:rPr>
        <w:t xml:space="preserve">-value across these definitions is 0.0026 (repository table C32).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above 2.9); the floor gap ranges from −0.79% to −2.50%.</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results support H</w:t>
      </w:r>
      <w:r>
        <w:rPr>
          <w:rFonts w:asciiTheme="minorHAnsi" w:eastAsia="Georgia" w:hAnsiTheme="minorHAnsi" w:cstheme="minorHAnsi"/>
          <w:color w:val="000000"/>
          <w:sz w:val="20"/>
          <w:szCs w:val="20"/>
          <w:bdr w:val="nil"/>
          <w:vertAlign w:val="subscript"/>
          <w:lang w:val="hr-HR" w:eastAsia="es-MX"/>
        </w:rPr>
        <w:t xml:space="preserve">1</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to H</w:t>
      </w:r>
      <w:r>
        <w:rPr>
          <w:rFonts w:asciiTheme="minorHAnsi" w:eastAsia="Georgia" w:hAnsiTheme="minorHAnsi" w:cstheme="minorHAnsi"/>
          <w:color w:val="000000"/>
          <w:sz w:val="20"/>
          <w:szCs w:val="20"/>
          <w:bdr w:val="nil"/>
          <w:vertAlign w:val="subscript"/>
          <w:lang w:val="hr-HR" w:eastAsia="es-MX"/>
        </w:rPr>
        <w:t xml:space="preserve">4</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for ceilings; the floor effect depends on the benchmark and its drift appears only before the 2025 platform change.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4. Discussion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Our ceiling gap is larger than the 1.18% that Huang et al. (2001) reported for Taiwan, and the following session reverses a smaller share of it (about 24% against about two thirds). Our decomposition also adds timing to the evidence of Kim and Rhee (1997): on the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earlier studies measure different outcomes and horizons, so Table 6 compares signs, timing, and mechanisms rather than magnitudes.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A 7% band leaves room for a large overnight gap, so the opening auction may do much of the adjustment that a wider band would allow on day</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i/>
          <w:color w:val="000000"/>
          <w:sz w:val="20"/>
          <w:szCs w:val="20"/>
          <w:bdr w:val="nil"/>
          <w:lang w:val="hr-HR" w:eastAsia="es-MX"/>
        </w:rPr>
        <w:t xml:space="preserve">d</w:t>
      </w:r>
      <w:r>
        <w:rPr>
          <w:rFonts w:asciiTheme="minorHAnsi" w:eastAsia="Georgia" w:hAnsiTheme="minorHAnsi" w:cstheme="minorHAnsi"/>
          <w:color w:val="000000"/>
          <w:sz w:val="20"/>
          <w:szCs w:val="20"/>
          <w:bdr w:val="nil"/>
          <w:lang w:val="hr-HR" w:eastAsia="es-MX"/>
        </w:rPr>
        <w:t xml:space="preserve">. The floor results after at-the-open orders lost priority (Table 4) fit auction design shaping how the opening absorbs overnight pressure, but the market period changed at the same time; a band change on the HOSE, like the ChiNext widening that Qi (2023) studied, would give a natural experiment.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volume and prior-return results also fit an attention channel in which the limit amplifies demand: a stock at its ceiling may appear on screens and rankings the next morning, and a queue at the limit may signal excess demand.</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4.1. Limitations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(i) 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largest and smallest daily returns, move frequency, and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5. Conclusions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12C44A1" w14:textId="63AF8891" w:rsidR="00A454A2" w:rsidRPr="002E1F2D" w:rsidRDefault="00A454A2" w:rsidP="00A454A2">
      <w:pPr>
        <w:spacing w:after="0" w:line="240" w:lineRule="auto"/>
        <w:ind w:right="-2"/>
        <w:jc w:val="both"/>
        <w:rPr>
          <w:rFonts w:asciiTheme="minorHAnsi" w:hAnsiTheme="minorHAnsi" w:cstheme="minorHAnsi"/>
          <w:b/>
          <w:bCs/>
          <w:sz w:val="20"/>
          <w:szCs w:val="20"/>
          <w:lang w:val="en-US"/>
        </w:rPr>
      </w:pPr>
      <w:r>
        <w:rPr>
          <w:rFonts w:asciiTheme="minorHAnsi" w:hAnsiTheme="minorHAnsi" w:cstheme="minorHAnsi"/>
          <w:b/>
          <w:bCs/>
          <w:sz w:val="20"/>
          <w:szCs w:val="20"/>
          <w:lang w:val="en-US"/>
        </w:rPr>
        <w:t xml:space="preserve">6. Declarations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6.1. Ethical considerations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Not applicable. The study uses public market prices and involves no human or animal participants.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6.2. Use of artificial intelligence (AI)</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6.3. Conflict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authors declare no conflicts of interest.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6.4. Funding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This research did not receive any financial support.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6.5. Data availability</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The price files (vnstock 4.0.4, source VCI, retrieved on September 24, 2026), the R code, and the output tables are available at</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https://github.com/trungcandygit/black_litterman_2</w:t>
      </w:r>
      <w:r>
        <w:rPr>
          <w:rFonts w:asciiTheme="minorHAnsi" w:eastAsia="Georgia" w:hAnsiTheme="minorHAnsi" w:cstheme="minorHAnsi"/>
          <w:color w:val="000000"/>
          <w:sz w:val="20"/>
          <w:szCs w:val="20"/>
          <w:bdr w:val="nil"/>
          <w:lang w:val="hr-HR" w:eastAsia="es-MX"/>
        </w:rPr>
        <w:t xml:space="preserve"> </w:t>
      </w:r>
      <w:r>
        <w:rPr>
          <w:rFonts w:asciiTheme="minorHAnsi" w:eastAsia="Georgia" w:hAnsiTheme="minorHAnsi" w:cstheme="minorHAnsi"/>
          <w:color w:val="000000"/>
          <w:sz w:val="20"/>
          <w:szCs w:val="20"/>
          <w:bdr w:val="nil"/>
          <w:lang w:val="hr-HR" w:eastAsia="es-MX"/>
        </w:rPr>
        <w:t xml:space="preserve">(folders data/raw and paper2).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795C951F" w14:textId="7518CD68" w:rsidR="00EE28C4" w:rsidRPr="00A454A2" w:rsidRDefault="00A454A2" w:rsidP="00EE28C4">
      <w:pPr>
        <w:spacing w:after="0" w:line="240" w:lineRule="auto"/>
        <w:ind w:right="-2"/>
        <w:jc w:val="both"/>
        <w:rPr>
          <w:rFonts w:asciiTheme="minorHAnsi" w:hAnsiTheme="minorHAnsi" w:cstheme="minorHAnsi"/>
          <w:bCs/>
          <w:i/>
          <w:iCs/>
          <w:sz w:val="20"/>
          <w:szCs w:val="20"/>
          <w:lang w:val="en-US"/>
        </w:rPr>
      </w:pPr>
      <w:r>
        <w:rPr>
          <w:rFonts w:asciiTheme="minorHAnsi" w:hAnsiTheme="minorHAnsi" w:cstheme="minorHAnsi"/>
          <w:bCs/>
          <w:i/>
          <w:iCs/>
          <w:sz w:val="20"/>
          <w:szCs w:val="20"/>
          <w:lang w:val="en-US"/>
        </w:rPr>
        <w:t xml:space="preserve">6.6. Author contributions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color w:val="000000"/>
          <w:sz w:val="20"/>
          <w:szCs w:val="20"/>
          <w:bdr w:val="nil"/>
          <w:lang w:val="hr-HR" w:eastAsia="es-MX"/>
        </w:rP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5B549203" w14:textId="56725701" w:rsidR="000F1A86" w:rsidRDefault="000F1A86" w:rsidP="00824612">
      <w:pPr>
        <w:spacing w:after="0" w:line="240" w:lineRule="auto"/>
        <w:jc w:val="both"/>
        <w:rPr>
          <w:rFonts w:asciiTheme="minorHAnsi" w:eastAsia="Arial" w:hAnsiTheme="minorHAnsi" w:cstheme="minorHAnsi"/>
          <w:b/>
          <w:color w:val="000000" w:themeColor="text1"/>
          <w:sz w:val="20"/>
          <w:szCs w:val="20"/>
          <w:lang w:val="en-US"/>
        </w:rPr>
      </w:pPr>
      <w:r>
        <w:rPr>
          <w:rFonts w:asciiTheme="minorHAnsi" w:eastAsia="Arial" w:hAnsiTheme="minorHAnsi" w:cstheme="minorHAnsi"/>
          <w:b/>
          <w:color w:val="000000" w:themeColor="text1"/>
          <w:sz w:val="20"/>
          <w:szCs w:val="20"/>
          <w:lang w:val="en-US"/>
        </w:rPr>
        <w:t xml:space="preserve">References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Aboody, D., Even-Tov, O., Lehavy, R., &amp; Trueman, B. (2018). Overnight returns and firm-specific investor sentiment.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53</w:t>
      </w:r>
      <w:r>
        <w:rPr>
          <w:rFonts w:asciiTheme="minorHAnsi" w:hAnsiTheme="minorHAnsi" w:cstheme="minorHAnsi"/>
          <w:noProof/>
          <w:sz w:val="20"/>
          <w:szCs w:val="20"/>
          <w:lang w:val="hr-HR"/>
        </w:rPr>
        <w:t xml:space="preserve">(2), 485–505.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Akbas, F., Boehmer, E., Jiang, C., &amp; Koch, P. D. (2022). Overnight returns, daytime reversals, and future stock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145</w:t>
      </w:r>
      <w:r>
        <w:rPr>
          <w:rFonts w:asciiTheme="minorHAnsi" w:hAnsiTheme="minorHAnsi" w:cstheme="minorHAnsi"/>
          <w:noProof/>
          <w:sz w:val="20"/>
          <w:szCs w:val="20"/>
          <w:lang w:val="hr-HR"/>
        </w:rPr>
        <w:t xml:space="preserve">(3), 850–875.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https://doi.org/10.1016/j.jfineco.2021.09.019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Benjamini, Y., &amp; Hochberg, Y. (1995). Controlling the false discovery rate: A practical and powerful approach to multiple testing.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the Royal Statistical Society: Series B, 57</w:t>
      </w:r>
      <w:r>
        <w:rPr>
          <w:rFonts w:asciiTheme="minorHAnsi" w:hAnsiTheme="minorHAnsi" w:cstheme="minorHAnsi"/>
          <w:noProof/>
          <w:sz w:val="20"/>
          <w:szCs w:val="20"/>
          <w:lang w:val="hr-HR"/>
        </w:rPr>
        <w:t xml:space="preserve">(1), 289–300.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https://doi.org/10.1111/j.2517-6161.1995.tb02031.x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&amp; Lee, J. B. T. (2002). The effectiveness of price limits in an emerging market: Evidence from the Korean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10</w:t>
      </w:r>
      <w:r>
        <w:rPr>
          <w:rFonts w:asciiTheme="minorHAnsi" w:hAnsiTheme="minorHAnsi" w:cstheme="minorHAnsi"/>
          <w:noProof/>
          <w:sz w:val="20"/>
          <w:szCs w:val="20"/>
          <w:lang w:val="hr-HR"/>
        </w:rPr>
        <w:t xml:space="preserve">(5), 517–530.</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https://doi.org/10.1016/S0927-538X(02)00040-9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Berkman, H., Koch, P. D., Tuttle, L., &amp; Zhang, Y. J. (2012). Paying attention: Overnight returns and the hidden cost of buying at the open.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47</w:t>
      </w:r>
      <w:r>
        <w:rPr>
          <w:rFonts w:asciiTheme="minorHAnsi" w:hAnsiTheme="minorHAnsi" w:cstheme="minorHAnsi"/>
          <w:noProof/>
          <w:sz w:val="20"/>
          <w:szCs w:val="20"/>
          <w:lang w:val="hr-HR"/>
        </w:rPr>
        <w:t xml:space="preserve">(4), 715–741.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https://doi.org/10.1017/S0022109012000270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Bildik, R., &amp; Gülay, G. (2006). Are price limits effective? Evidence from the Istanbul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Research, 29</w:t>
      </w:r>
      <w:r>
        <w:rPr>
          <w:rFonts w:asciiTheme="minorHAnsi" w:hAnsiTheme="minorHAnsi" w:cstheme="minorHAnsi"/>
          <w:noProof/>
          <w:sz w:val="20"/>
          <w:szCs w:val="20"/>
          <w:lang w:val="hr-HR"/>
        </w:rPr>
        <w:t xml:space="preserve">(3), 383–403.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https://doi.org/10.1111/j.1475-6803.2006.00185.x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Bogousslavsky, V. (2021). The cross-section of intraday and overnight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141</w:t>
      </w:r>
      <w:r>
        <w:rPr>
          <w:rFonts w:asciiTheme="minorHAnsi" w:hAnsiTheme="minorHAnsi" w:cstheme="minorHAnsi"/>
          <w:noProof/>
          <w:sz w:val="20"/>
          <w:szCs w:val="20"/>
          <w:lang w:val="hr-HR"/>
        </w:rPr>
        <w:t xml:space="preserve">(1), 172–194.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Brennan, M. J. (1986). A theory of price limits in futures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16</w:t>
      </w:r>
      <w:r>
        <w:rPr>
          <w:rFonts w:asciiTheme="minorHAnsi" w:hAnsiTheme="minorHAnsi" w:cstheme="minorHAnsi"/>
          <w:noProof/>
          <w:sz w:val="20"/>
          <w:szCs w:val="20"/>
          <w:lang w:val="hr-HR"/>
        </w:rPr>
        <w:t xml:space="preserve">(2), 213–233.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https://doi.org/10.1016/0304-405X(86)90061-9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Cameron, A. C., Gelbach, J. B., &amp; Miller, D. L. (2011). Robust inference with multiway clustering.</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&amp; Economic Statistics, 29</w:t>
      </w:r>
      <w:r>
        <w:rPr>
          <w:rFonts w:asciiTheme="minorHAnsi" w:hAnsiTheme="minorHAnsi" w:cstheme="minorHAnsi"/>
          <w:noProof/>
          <w:sz w:val="20"/>
          <w:szCs w:val="20"/>
          <w:lang w:val="hr-HR"/>
        </w:rPr>
        <w:t xml:space="preserve">(2), 238–249.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https://doi.org/10.1198/jbes.2010.07136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H., Petukhov, A., Wang, J., &amp; Xing, H. (2024). The dark side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79</w:t>
      </w:r>
      <w:r>
        <w:rPr>
          <w:rFonts w:asciiTheme="minorHAnsi" w:hAnsiTheme="minorHAnsi" w:cstheme="minorHAnsi"/>
          <w:noProof/>
          <w:sz w:val="20"/>
          <w:szCs w:val="20"/>
          <w:lang w:val="hr-HR"/>
        </w:rPr>
        <w:t xml:space="preserve">(2), 1405–1455.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https://doi.org/10.1111/jofi.13310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T., Gao, Z., He, J., Jiang, W., &amp; Xiong, W. (2019). Daily price limits and destructive market behavior.</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Econometrics, 208</w:t>
      </w:r>
      <w:r>
        <w:rPr>
          <w:rFonts w:asciiTheme="minorHAnsi" w:hAnsiTheme="minorHAnsi" w:cstheme="minorHAnsi"/>
          <w:noProof/>
          <w:sz w:val="20"/>
          <w:szCs w:val="20"/>
          <w:lang w:val="hr-HR"/>
        </w:rPr>
        <w:t xml:space="preserve">(1), 249–264.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https://doi.org/10.1016/j.jeconom.2018.09.014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Chen, Y.-M. (1993). Price limits and stock market volatility in Taiwan.</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1</w:t>
      </w:r>
      <w:r>
        <w:rPr>
          <w:rFonts w:asciiTheme="minorHAnsi" w:hAnsiTheme="minorHAnsi" w:cstheme="minorHAnsi"/>
          <w:noProof/>
          <w:sz w:val="20"/>
          <w:szCs w:val="20"/>
          <w:lang w:val="hr-HR"/>
        </w:rPr>
        <w:t xml:space="preserve">(2), 139–153.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https://doi.org/10.1016/0927-538X(93)90005-3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 D. D., Russell, J., Tiao, G. C., &amp; Tsay, R. S. (2003). The magnet effect of price limits: Evidence from high-frequency data on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Empirical Finance, 10</w:t>
      </w:r>
      <w:r>
        <w:rPr>
          <w:rFonts w:asciiTheme="minorHAnsi" w:hAnsiTheme="minorHAnsi" w:cstheme="minorHAnsi"/>
          <w:noProof/>
          <w:sz w:val="20"/>
          <w:szCs w:val="20"/>
          <w:lang w:val="hr-HR"/>
        </w:rPr>
        <w:t xml:space="preserve">(1–2), 133–168.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https://doi.org/10.1016/S0927-5398(02)00024-5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Chordia, T., Goyal, A., &amp; Saretto, A. (2020). Anomalies and false rejections.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2134–2179.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Deb, S. S., Kalev, P. S., &amp; Marisetty, V. B. (2013). Flexible price limits: The case of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International Financial Markets, Institutions and Money, 24</w:t>
      </w:r>
      <w:r>
        <w:rPr>
          <w:rFonts w:asciiTheme="minorHAnsi" w:hAnsiTheme="minorHAnsi" w:cstheme="minorHAnsi"/>
          <w:noProof/>
          <w:sz w:val="20"/>
          <w:szCs w:val="20"/>
          <w:lang w:val="hr-HR"/>
        </w:rPr>
        <w:t xml:space="preserve">, 66–84.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Fama, E. F., &amp; MacBeth, J. D. (1973). Risk, return, and equilibrium: Empirical tests.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Political Economy, 81</w:t>
      </w:r>
      <w:r>
        <w:rPr>
          <w:rFonts w:asciiTheme="minorHAnsi" w:hAnsiTheme="minorHAnsi" w:cstheme="minorHAnsi"/>
          <w:noProof/>
          <w:sz w:val="20"/>
          <w:szCs w:val="20"/>
          <w:lang w:val="hr-HR"/>
        </w:rPr>
        <w:t xml:space="preserve">(3), 607–636.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https://doi.org/10.1086/260061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Farber, A., Nguyen, V. N., &amp; Vuong, Q. H. (2006).</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Policy impacts on Vietnam stock market: A case of anomalies and disequilibria 2000–2006</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(CEB Working Paper No. 06/005). Université Libre de Bruxelles.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https://ideas.repec.org/p/sol/wpaper/06-005.html</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Greenwald, B. C., &amp; Stein, J. C. (1991). Transactional risk, market crashes, and the role of circuit breakers.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Business, 64</w:t>
      </w:r>
      <w:r>
        <w:rPr>
          <w:rFonts w:asciiTheme="minorHAnsi" w:hAnsiTheme="minorHAnsi" w:cstheme="minorHAnsi"/>
          <w:noProof/>
          <w:sz w:val="20"/>
          <w:szCs w:val="20"/>
          <w:lang w:val="hr-HR"/>
        </w:rPr>
        <w:t xml:space="preserve">(4), 443–462.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 M., Hu, Y., &amp; Xiong, Z. (2025). Dissecting the lottery-like anomaly: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Accounting &amp; Finance, 65</w:t>
      </w:r>
      <w:r>
        <w:rPr>
          <w:rFonts w:asciiTheme="minorHAnsi" w:hAnsiTheme="minorHAnsi" w:cstheme="minorHAnsi"/>
          <w:noProof/>
          <w:sz w:val="20"/>
          <w:szCs w:val="20"/>
          <w:lang w:val="hr-HR"/>
        </w:rPr>
        <w:t xml:space="preserve">(1), 883–911.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https://doi.org/10.1111/acfi.13354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Gutierrez, R. C., Jr., &amp; Kelley, E. K. (2008). The long-lasting momentum in weekly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63</w:t>
      </w:r>
      <w:r>
        <w:rPr>
          <w:rFonts w:asciiTheme="minorHAnsi" w:hAnsiTheme="minorHAnsi" w:cstheme="minorHAnsi"/>
          <w:noProof/>
          <w:sz w:val="20"/>
          <w:szCs w:val="20"/>
          <w:lang w:val="hr-HR"/>
        </w:rPr>
        <w:t xml:space="preserve">(1), 415–447.</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https://doi.org/10.1111/j.1540-6261.2008.01320.x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&amp; Liu, Y. (2020). False (and missed) discoveries in financial economics.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75</w:t>
      </w:r>
      <w:r>
        <w:rPr>
          <w:rFonts w:asciiTheme="minorHAnsi" w:hAnsiTheme="minorHAnsi" w:cstheme="minorHAnsi"/>
          <w:noProof/>
          <w:sz w:val="20"/>
          <w:szCs w:val="20"/>
          <w:lang w:val="hr-HR"/>
        </w:rPr>
        <w:t xml:space="preserve">(5), 2503–2553.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https://doi.org/10.1111/jofi.12951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Harvey, C. R., Liu, Y., &amp; Zhu, H. (2016). …and the cross-section of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29</w:t>
      </w:r>
      <w:r>
        <w:rPr>
          <w:rFonts w:asciiTheme="minorHAnsi" w:hAnsiTheme="minorHAnsi" w:cstheme="minorHAnsi"/>
          <w:noProof/>
          <w:sz w:val="20"/>
          <w:szCs w:val="20"/>
          <w:lang w:val="hr-HR"/>
        </w:rPr>
        <w:t xml:space="preserve">(1), 5–68.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https://doi.org/10.1093/rfs/hhv059</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Holm, S. (1979). A simple sequentially rejective multiple test procedure.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Scandinavian Journal of Statistics, 6</w:t>
      </w:r>
      <w:r>
        <w:rPr>
          <w:rFonts w:asciiTheme="minorHAnsi" w:hAnsiTheme="minorHAnsi" w:cstheme="minorHAnsi"/>
          <w:noProof/>
          <w:sz w:val="20"/>
          <w:szCs w:val="20"/>
          <w:lang w:val="hr-HR"/>
        </w:rPr>
        <w:t xml:space="preserve">(2), 65–70.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Hou, K., Xue, C., &amp; Zhang, L. (2020). Replicating anomalies.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33</w:t>
      </w:r>
      <w:r>
        <w:rPr>
          <w:rFonts w:asciiTheme="minorHAnsi" w:hAnsiTheme="minorHAnsi" w:cstheme="minorHAnsi"/>
          <w:noProof/>
          <w:sz w:val="20"/>
          <w:szCs w:val="20"/>
          <w:lang w:val="hr-HR"/>
        </w:rPr>
        <w:t xml:space="preserve">(5), 2019–2133.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HSC.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Important changes of new trading system</w:t>
      </w:r>
      <w:r>
        <w:rPr>
          <w:rFonts w:asciiTheme="minorHAnsi" w:hAnsiTheme="minorHAnsi" w:cstheme="minorHAnsi"/>
          <w:noProof/>
          <w:sz w:val="20"/>
          <w:szCs w:val="20"/>
          <w:lang w:val="hr-HR"/>
        </w:rPr>
        <w:t xml:space="preserve">. Ho Chi Minh City Securities Corporation.</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https://www.hsc.com.vn/en/important-changes-of-new-trading-system</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X., Liu, C., &amp; Shu, T. (2023). Factors and anomalies in the Vietnamese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82</w:t>
      </w:r>
      <w:r>
        <w:rPr>
          <w:rFonts w:asciiTheme="minorHAnsi" w:hAnsiTheme="minorHAnsi" w:cstheme="minorHAnsi"/>
          <w:noProof/>
          <w:sz w:val="20"/>
          <w:szCs w:val="20"/>
          <w:lang w:val="hr-HR"/>
        </w:rPr>
        <w:t xml:space="preserve">, 102176.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Huang, Y.-S., Fu, T.-W., &amp; Ke, M.-C. (2001). Daily price limits and stock price behavior: Evidence from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International Review of Economics &amp; Finance, 10</w:t>
      </w:r>
      <w:r>
        <w:rPr>
          <w:rFonts w:asciiTheme="minorHAnsi" w:hAnsiTheme="minorHAnsi" w:cstheme="minorHAnsi"/>
          <w:noProof/>
          <w:sz w:val="20"/>
          <w:szCs w:val="20"/>
          <w:lang w:val="hr-HR"/>
        </w:rPr>
        <w:t xml:space="preserve">(3), 263–288.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https://doi.org/10.1016/S1059-0560(00)00082-4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Jia, S., An, Y., Yang, L., &amp; Zhou, F. (2024). Price limit relaxation and stock price crash risk: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59</w:t>
      </w:r>
      <w:r>
        <w:rPr>
          <w:rFonts w:asciiTheme="minorHAnsi" w:hAnsiTheme="minorHAnsi" w:cstheme="minorHAnsi"/>
          <w:noProof/>
          <w:sz w:val="20"/>
          <w:szCs w:val="20"/>
          <w:lang w:val="hr-HR"/>
        </w:rPr>
        <w:t xml:space="preserve">, 104715.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https://doi.org/10.1016/j.frl.2023.104715</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Jones, C. M., Shi, D., Zhang, X., &amp; Zhang, X. (2025). Retail trading and return predictability in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and Quantitative Analysis, 60</w:t>
      </w:r>
      <w:r>
        <w:rPr>
          <w:rFonts w:asciiTheme="minorHAnsi" w:hAnsiTheme="minorHAnsi" w:cstheme="minorHAnsi"/>
          <w:noProof/>
          <w:sz w:val="20"/>
          <w:szCs w:val="20"/>
          <w:lang w:val="hr-HR"/>
        </w:rPr>
        <w:t xml:space="preserve">(1), 68–104.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Kelly, M. A., &amp; Clark, S. P. (2011). Returns in trading versus non-trading hours: The difference is day and night.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Asset Management, 12</w:t>
      </w:r>
      <w:r>
        <w:rPr>
          <w:rFonts w:asciiTheme="minorHAnsi" w:hAnsiTheme="minorHAnsi" w:cstheme="minorHAnsi"/>
          <w:noProof/>
          <w:sz w:val="20"/>
          <w:szCs w:val="20"/>
          <w:lang w:val="hr-HR"/>
        </w:rPr>
        <w:t xml:space="preserve">, 132–145.</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https://doi.org/10.1057/jam.2011.2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Limpaphayom, P. (2000). Characteristics of stocks that frequently hit price limits: Empirical evidence from Taiwan and Thailand.</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3</w:t>
      </w:r>
      <w:r>
        <w:rPr>
          <w:rFonts w:asciiTheme="minorHAnsi" w:hAnsiTheme="minorHAnsi" w:cstheme="minorHAnsi"/>
          <w:noProof/>
          <w:sz w:val="20"/>
          <w:szCs w:val="20"/>
          <w:lang w:val="hr-HR"/>
        </w:rPr>
        <w:t xml:space="preserve">(3), 315–332.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K. A., &amp; Rhee, S. G. (1997). Price limit performance: Evidence from the Tokyo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52</w:t>
      </w:r>
      <w:r>
        <w:rPr>
          <w:rFonts w:asciiTheme="minorHAnsi" w:hAnsiTheme="minorHAnsi" w:cstheme="minorHAnsi"/>
          <w:noProof/>
          <w:sz w:val="20"/>
          <w:szCs w:val="20"/>
          <w:lang w:val="hr-HR"/>
        </w:rPr>
        <w:t xml:space="preserve">(2), 885–901.</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https://doi.org/10.1111/j.1540-6261.1997.tb04827.x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Kim, W., &amp; Jun, S. (2019). Effects of a price limit change on market stability at the intraday horizon in the Korean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Applied Economics Letters, 26</w:t>
      </w:r>
      <w:r>
        <w:rPr>
          <w:rFonts w:asciiTheme="minorHAnsi" w:hAnsiTheme="minorHAnsi" w:cstheme="minorHAnsi"/>
          <w:noProof/>
          <w:sz w:val="20"/>
          <w:szCs w:val="20"/>
          <w:lang w:val="hr-HR"/>
        </w:rPr>
        <w:t xml:space="preserve">(7), 582–586.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Kodres, L. E., &amp; O’Brien, D. P. (1994). The existence of Pareto-superior price limits.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American Economic Review, 84</w:t>
      </w:r>
      <w:r>
        <w:rPr>
          <w:rFonts w:asciiTheme="minorHAnsi" w:hAnsiTheme="minorHAnsi" w:cstheme="minorHAnsi"/>
          <w:noProof/>
          <w:sz w:val="20"/>
          <w:szCs w:val="20"/>
          <w:lang w:val="hr-HR"/>
        </w:rPr>
        <w:t xml:space="preserve">(4), 919–932.</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Le, D. N. (2012). Evaluating impacts of reduction in fluctuation limit on stock price risks in Vietnam.</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Economic Development</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(University of Economics Ho Chi Minh City), (214), 116–128.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https://vjol.info.vn/ed/article/view/34298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Liang, H., &amp; Hu, Y. (2025). Stock price limit and its predictability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Forecasting, 44</w:t>
      </w:r>
      <w:r>
        <w:rPr>
          <w:rFonts w:asciiTheme="minorHAnsi" w:hAnsiTheme="minorHAnsi" w:cstheme="minorHAnsi"/>
          <w:noProof/>
          <w:sz w:val="20"/>
          <w:szCs w:val="20"/>
          <w:lang w:val="hr-HR"/>
        </w:rPr>
        <w:t xml:space="preserve">, 297–319.</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https://doi.org/10.1002/for.3197</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Lien, D., Hung, P.-H., Zhu, J.-D., &amp; Chen, Y.-H. (2019). Price limit changes and market quality in the Taiwan Stock Exchange.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55</w:t>
      </w:r>
      <w:r>
        <w:rPr>
          <w:rFonts w:asciiTheme="minorHAnsi" w:hAnsiTheme="minorHAnsi" w:cstheme="minorHAnsi"/>
          <w:noProof/>
          <w:sz w:val="20"/>
          <w:szCs w:val="20"/>
          <w:lang w:val="hr-HR"/>
        </w:rPr>
        <w:t xml:space="preserve">, 239–258.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Lin, F., Qiu, Z., &amp; Zheng, W. (2023). Cranes among chickens: The general-attention-grabbing effect of daily price limits in China’s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Banking &amp; Finance, 150</w:t>
      </w:r>
      <w:r>
        <w:rPr>
          <w:rFonts w:asciiTheme="minorHAnsi" w:hAnsiTheme="minorHAnsi" w:cstheme="minorHAnsi"/>
          <w:noProof/>
          <w:sz w:val="20"/>
          <w:szCs w:val="20"/>
          <w:lang w:val="hr-HR"/>
        </w:rPr>
        <w:t xml:space="preserve">, 106818.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https://doi.org/10.1016/j.jbankfin.2023.106818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Lou, D., Polk, C., &amp; Skouras, S. (2019). A tug of war: Overnight versus intraday expected returns.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134</w:t>
      </w:r>
      <w:r>
        <w:rPr>
          <w:rFonts w:asciiTheme="minorHAnsi" w:hAnsiTheme="minorHAnsi" w:cstheme="minorHAnsi"/>
          <w:noProof/>
          <w:sz w:val="20"/>
          <w:szCs w:val="20"/>
          <w:lang w:val="hr-HR"/>
        </w:rPr>
        <w:t xml:space="preserve">(1), 192–213.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https://doi.org/10.1016/j.jfineco.2019.03.011</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Lu, Z., Malliaris, S. G., &amp; Qin, Z. (2023). Heterogeneous liquidity providers and night-minus-day return predictability.</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Economics, 148</w:t>
      </w:r>
      <w:r>
        <w:rPr>
          <w:rFonts w:asciiTheme="minorHAnsi" w:hAnsiTheme="minorHAnsi" w:cstheme="minorHAnsi"/>
          <w:noProof/>
          <w:sz w:val="20"/>
          <w:szCs w:val="20"/>
          <w:lang w:val="hr-HR"/>
        </w:rPr>
        <w:t xml:space="preserve">(3), 175–200.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Newey, W. K., &amp; West, K. D. (1987). A simple, positive semi-definite, heteroskedasticity and autocorrelation consistent covariance matrix.</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Econometrica, 55</w:t>
      </w:r>
      <w:r>
        <w:rPr>
          <w:rFonts w:asciiTheme="minorHAnsi" w:hAnsiTheme="minorHAnsi" w:cstheme="minorHAnsi"/>
          <w:noProof/>
          <w:sz w:val="20"/>
          <w:szCs w:val="20"/>
          <w:lang w:val="hr-HR"/>
        </w:rPr>
        <w:t xml:space="preserve">(3), 703–708.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https://doi.org/10.2307/1913610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Petersen, M. A. (2009). Estimating standard errors in finance panel data sets: Comparing approaches.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Review of Financial Studies, 22</w:t>
      </w:r>
      <w:r>
        <w:rPr>
          <w:rFonts w:asciiTheme="minorHAnsi" w:hAnsiTheme="minorHAnsi" w:cstheme="minorHAnsi"/>
          <w:noProof/>
          <w:sz w:val="20"/>
          <w:szCs w:val="20"/>
          <w:lang w:val="hr-HR"/>
        </w:rPr>
        <w:t xml:space="preserve">(1), 435–480.</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 B. (2023). Effectiveness of price limits: Evidence from China’s ChiNext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PLOS ONE, 18</w:t>
      </w:r>
      <w:r>
        <w:rPr>
          <w:rFonts w:asciiTheme="minorHAnsi" w:hAnsiTheme="minorHAnsi" w:cstheme="minorHAnsi"/>
          <w:noProof/>
          <w:sz w:val="20"/>
          <w:szCs w:val="20"/>
          <w:lang w:val="hr-HR"/>
        </w:rPr>
        <w:t xml:space="preserve">(6), e0287548.</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https://doi.org/10.1371/journal.pone.0287548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Qiao, K., &amp; Dam, L. (2020). The overnight return puzzle and the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T+1</w:t>
      </w:r>
      <w:r>
        <w:rPr>
          <w:rFonts w:asciiTheme="minorHAnsi" w:hAnsiTheme="minorHAnsi" w:cstheme="minorHAnsi"/>
          <w:noProof/>
          <w:sz w:val="20"/>
          <w:szCs w:val="20"/>
          <w:lang w:val="hr-HR"/>
        </w:rPr>
        <w:t xml:space="preserve">”</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trading rule in Chinese stock markets.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Journal of Financial Markets, 50</w:t>
      </w:r>
      <w:r>
        <w:rPr>
          <w:rFonts w:asciiTheme="minorHAnsi" w:hAnsiTheme="minorHAnsi" w:cstheme="minorHAnsi"/>
          <w:noProof/>
          <w:sz w:val="20"/>
          <w:szCs w:val="20"/>
          <w:lang w:val="hr-HR"/>
        </w:rPr>
        <w:t xml:space="preserve">, 100534.</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Qiu, J., Huang, W., &amp; Jiang, Y. (2025). Day-night anomaly returns in China: The role of institutions.</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Research in International Business and Finance, 75</w:t>
      </w:r>
      <w:r>
        <w:rPr>
          <w:rFonts w:asciiTheme="minorHAnsi" w:hAnsiTheme="minorHAnsi" w:cstheme="minorHAnsi"/>
          <w:noProof/>
          <w:sz w:val="20"/>
          <w:szCs w:val="20"/>
          <w:lang w:val="hr-HR"/>
        </w:rPr>
        <w:t xml:space="preserve">, 102776.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Subrahmanyam, A. (1994). Circuit breakers and market volatility: A theoretical perspective.</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The Journal of Finance, 49</w:t>
      </w:r>
      <w:r>
        <w:rPr>
          <w:rFonts w:asciiTheme="minorHAnsi" w:hAnsiTheme="minorHAnsi" w:cstheme="minorHAnsi"/>
          <w:noProof/>
          <w:sz w:val="20"/>
          <w:szCs w:val="20"/>
          <w:lang w:val="hr-HR"/>
        </w:rPr>
        <w:t xml:space="preserve">(1), 237–254.</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https://doi.org/10.1111/j.1540-6261.1994.tb04427.x</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Viet Nam News. (2025).</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KRX system officially goes live</w:t>
      </w:r>
      <w:r>
        <w:rPr>
          <w:rFonts w:asciiTheme="minorHAnsi" w:hAnsiTheme="minorHAnsi" w:cstheme="minorHAnsi"/>
          <w:noProof/>
          <w:sz w:val="20"/>
          <w:szCs w:val="20"/>
          <w:lang w:val="hr-HR"/>
        </w:rPr>
        <w:t xml:space="preserve">. Viet Nam News.</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https://vietnamnews.vn/economy/1717047/krx-system-officially-goes-live.html</w:t>
      </w:r>
      <w:r>
        <w:rPr>
          <w:rFonts w:asciiTheme="minorHAnsi" w:hAnsiTheme="minorHAnsi" w:cstheme="minorHAnsi"/>
          <w:noProof/>
          <w:sz w:val="20"/>
          <w:szCs w:val="20"/>
          <w:lang w:val="hr-HR"/>
        </w:rPr>
        <w:t xml:space="preserve">. Accessed on October 5, 2026.</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Zeng, Z., Wang, G., &amp; Tang, G. (2024). Price limits hitting effect and cross-sectional stock returns: Evidence from China.</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Finance Research Letters, 60</w:t>
      </w:r>
      <w:r>
        <w:rPr>
          <w:rFonts w:asciiTheme="minorHAnsi" w:hAnsiTheme="minorHAnsi" w:cstheme="minorHAnsi"/>
          <w:noProof/>
          <w:sz w:val="20"/>
          <w:szCs w:val="20"/>
          <w:lang w:val="hr-HR"/>
        </w:rPr>
        <w:t xml:space="preserve">, 104803.</w:t>
      </w:r>
      <w:r>
        <w:rPr>
          <w:rFonts w:asciiTheme="minorHAnsi" w:hAnsiTheme="minorHAnsi" w:cstheme="minorHAnsi"/>
          <w:noProof/>
          <w:sz w:val="20"/>
          <w:szCs w:val="20"/>
          <w:lang w:val="hr-HR"/>
        </w:rPr>
        <w:t xml:space="preserve"> </w:t>
      </w:r>
      <w:r>
        <w:rPr>
          <w:rFonts w:asciiTheme="minorHAnsi" w:hAnsiTheme="minorHAnsi" w:cstheme="minorHAnsi"/>
          <w:noProof/>
          <w:sz w:val="20"/>
          <w:szCs w:val="20"/>
          <w:lang w:val="hr-HR"/>
        </w:rPr>
        <w:t xml:space="preserve">https://doi.org/10.1016/j.frl.2023.104803</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r>
        <w:rPr>
          <w:rFonts w:asciiTheme="minorHAnsi" w:hAnsiTheme="minorHAnsi" w:cstheme="minorHAnsi"/>
          <w:noProof/>
          <w:sz w:val="20"/>
          <w:szCs w:val="20"/>
          <w:lang w:val="hr-HR"/>
        </w:rPr>
        <w:t xml:space="preserve">Zhang, X., Wang, Z., Hao, J., &amp; He, F. (2022). Price limit and stock market quality: Evidence from a quasi-natural experiment in the Chinese stock market.</w:t>
      </w:r>
      <w:r>
        <w:rPr>
          <w:rFonts w:asciiTheme="minorHAnsi" w:hAnsiTheme="minorHAnsi" w:cstheme="minorHAnsi"/>
          <w:noProof/>
          <w:sz w:val="20"/>
          <w:szCs w:val="20"/>
          <w:lang w:val="hr-HR"/>
        </w:rPr>
        <w:t xml:space="preserve"> </w:t>
      </w:r>
      <w:r>
        <w:rPr>
          <w:rFonts w:asciiTheme="minorHAnsi" w:hAnsiTheme="minorHAnsi" w:cstheme="minorHAnsi"/>
          <w:bCs/>
          <w:i/>
          <w:iCs/>
          <w:noProof/>
          <w:sz w:val="20"/>
          <w:szCs w:val="20"/>
          <w:lang w:val="hr-HR"/>
        </w:rPr>
        <w:t xml:space="preserve">Pacific-Basin Finance Journal, 74</w:t>
      </w:r>
      <w:r>
        <w:rPr>
          <w:rFonts w:asciiTheme="minorHAnsi" w:hAnsiTheme="minorHAnsi" w:cstheme="minorHAnsi"/>
          <w:noProof/>
          <w:sz w:val="20"/>
          <w:szCs w:val="20"/>
          <w:lang w:val="hr-HR"/>
        </w:rPr>
        <w:t xml:space="preserve">, 101778.</w:t>
      </w: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42A5A164" w14:textId="77777777" w:rsidR="006F2D9E" w:rsidRPr="006F2D9E" w:rsidRDefault="006F2D9E" w:rsidP="006F2D9E">
      <w:pPr>
        <w:widowControl w:val="0"/>
        <w:autoSpaceDE w:val="0"/>
        <w:autoSpaceDN w:val="0"/>
        <w:adjustRightInd w:val="0"/>
        <w:spacing w:after="80" w:line="240" w:lineRule="auto"/>
        <w:jc w:val="both"/>
        <w:rPr>
          <w:rFonts w:asciiTheme="minorHAnsi" w:hAnsiTheme="minorHAnsi" w:cstheme="minorHAnsi"/>
          <w:bCs/>
          <w:noProof/>
          <w:sz w:val="20"/>
          <w:szCs w:val="20"/>
          <w:lang w:val="hr-HR"/>
        </w:rPr>
      </w:pPr>
    </w:p>
    <w:p w14:paraId="6A806C1A" w14:textId="77777777" w:rsidR="00820C36" w:rsidRDefault="00820C36" w:rsidP="00820C36">
      <w:pPr>
        <w:pageBreakBefore/>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4203692"/>
            <wp:docPr id="2009629076" name="Picture 2009629076"/>
            <wp:cNvGraphicFramePr>
              <a:graphicFrameLocks noChangeAspect="1"/>
            </wp:cNvGraphicFramePr>
            <a:graphic>
              <a:graphicData uri="http://schemas.openxmlformats.org/drawingml/2006/picture">
                <pic:pic>
                  <pic:nvPicPr>
                    <pic:cNvPr id="0" name="F1_characteristics.png"/>
                    <pic:cNvPicPr/>
                  </pic:nvPicPr>
                  <pic:blipFill>
                    <a:blip r:embed="rId30"/>
                    <a:stretch>
                      <a:fillRect/>
                    </a:stretch>
                  </pic:blipFill>
                  <pic:spPr>
                    <a:xfrm>
                      <a:off x="0" y="0"/>
                      <a:ext cx="5940000" cy="4203692"/>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1</w:t>
      </w:r>
      <w:r>
        <w:rPr>
          <w:rFonts w:asciiTheme="minorHAnsi" w:eastAsia="Georgia" w:hAnsiTheme="minorHAnsi" w:cstheme="minorHAnsi"/>
          <w:color w:val="000000"/>
          <w:sz w:val="18"/>
          <w:szCs w:val="18"/>
          <w:bdr w:val="nil"/>
          <w:lang w:val="hr-HR" w:eastAsia="es-MX"/>
        </w:rPr>
        <w:t xml:space="preserve"> Fama–MacBeth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of the 22 characteristics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Full sample, discovery half (first 39 weeks), and confirmation half, ordered by absolute full-sample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Dashed lines mark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1.96 and dotted lines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 3. Supplementary Material S1 defines the labels.</w:t>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drawing>
          <wp:inline xmlns:a="http://schemas.openxmlformats.org/drawingml/2006/main" xmlns:pic="http://schemas.openxmlformats.org/drawingml/2006/picture">
            <wp:extent cx="5940000" cy="2558769"/>
            <wp:docPr id="2009629077" name="Picture 2009629077"/>
            <wp:cNvGraphicFramePr>
              <a:graphicFrameLocks noChangeAspect="1"/>
            </wp:cNvGraphicFramePr>
            <a:graphic>
              <a:graphicData uri="http://schemas.openxmlformats.org/drawingml/2006/picture">
                <pic:pic>
                  <pic:nvPicPr>
                    <pic:cNvPr id="0" name="F2_break_at_limit.png"/>
                    <pic:cNvPicPr/>
                  </pic:nvPicPr>
                  <pic:blipFill>
                    <a:blip r:embed="rId31"/>
                    <a:stretch>
                      <a:fillRect/>
                    </a:stretch>
                  </pic:blipFill>
                  <pic:spPr>
                    <a:xfrm>
                      <a:off x="0" y="0"/>
                      <a:ext cx="5940000" cy="2558769"/>
                    </a:xfrm>
                    <a:prstGeom prst="rect"/>
                  </pic:spPr>
                </pic:pic>
              </a:graphicData>
            </a:graphic>
          </wp:inline>
        </w:drawing>
      </w:r>
    </w:p>
    <w:p w14:paraId="6A806C1A" w14:textId="77777777" w:rsidR="00820C36" w:rsidRDefault="00820C36" w:rsidP="00820C36">
      <w:pPr>
        <w:tabs>
          <w:tab w:val="left" w:pos="1740"/>
        </w:tabs>
        <w:spacing w:before="60" w:after="0"/>
        <w:jc w:val="center"/>
        <w:rPr>
          <w:rFonts w:asciiTheme="minorHAnsi" w:eastAsia="Georgia" w:hAnsiTheme="minorHAnsi" w:cstheme="minorHAnsi"/>
          <w:bCs/>
          <w:color w:val="000000"/>
          <w:sz w:val="20"/>
          <w:szCs w:val="20"/>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Figure 2</w:t>
      </w:r>
      <w:r>
        <w:rPr>
          <w:rFonts w:asciiTheme="minorHAnsi" w:eastAsia="Georgia" w:hAnsiTheme="minorHAnsi" w:cstheme="minorHAnsi"/>
          <w:color w:val="000000"/>
          <w:sz w:val="18"/>
          <w:szCs w:val="18"/>
          <w:bdr w:val="nil"/>
          <w:lang w:val="hr-HR" w:eastAsia="es-MX"/>
        </w:rPr>
        <w:t xml:space="preserve"> Next-day abnormal return by the size of the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move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Circles are 1-point bins inside the band, triangles are ceiling and floor events, and squares are other moves of 6.5% to 10%. Bars are 95% confidence intervals clustered by date. Market weights are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1</w:t>
      </w:r>
      <w:r>
        <w:rPr>
          <w:rFonts w:asciiTheme="minorHAnsi" w:eastAsia="Georgia" w:hAnsiTheme="minorHAnsi" w:cstheme="minorHAnsi"/>
          <w:color w:val="000000"/>
          <w:sz w:val="18"/>
          <w:szCs w:val="18"/>
          <w:bdr w:val="nil"/>
          <w:lang w:val="hr-HR" w:eastAsia="es-MX"/>
        </w:rPr>
        <w:t xml:space="preserve"> Market-adjusted returns after ceiling and floor closes</w:t>
      </w:r>
    </w:p>
    <w:tbl>
      <w:tblPr>
        <w:tblW w:type="pct" w:w="5000"/>
        <w:jc w:val="center"/>
        <w:tblLayout w:type="fixed"/>
      </w:tblPr>
      <w:tblGrid>
        <w:gridCol w:w="1324"/>
        <w:gridCol w:w="1324"/>
        <w:gridCol w:w="1059"/>
        <w:gridCol w:w="1192"/>
        <w:gridCol w:w="1192"/>
        <w:gridCol w:w="1457"/>
        <w:gridCol w:w="1457"/>
        <w:gridCol w:w="1192"/>
      </w:tblGrid>
      <w:tr>
        <w:trPr>
          <w:cantSplit/>
          <w:tblHeader w:val="true"/>
        </w:trPr>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132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Horizon</w:t>
            </w:r>
          </w:p>
        </w:tc>
        <w:tc>
          <w:tcPr>
            <w:tcW w:type="dxa" w:w="105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Mean (%)</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(date)</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(week)</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(10-day)</w:t>
            </w:r>
          </w:p>
        </w:tc>
        <w:tc>
          <w:tcPr>
            <w:tcW w:type="dxa" w:w="145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(halves)</w:t>
            </w:r>
          </w:p>
        </w:tc>
        <w:tc>
          <w:tcPr>
            <w:tcW w:type="dxa" w:w="119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1.66</w:t>
            </w:r>
          </w:p>
        </w:tc>
        <w:tc>
          <w:tcPr>
            <w:tcW w:type="dxa" w:w="1192"/>
            <w:tcBorders/>
          </w:tcPr>
          <w:p>
            <w:pPr>
              <w:keepNext/>
              <w:spacing w:before="10" w:after="10" w:line="240" w:lineRule="auto"/>
              <w:jc w:val="left"/>
            </w:pPr>
            <w:r>
              <w:rPr>
                <w:rFonts w:asciiTheme="minorHAnsi" w:hAnsiTheme="minorHAnsi" w:cstheme="minorHAnsi"/>
                <w:sz w:val="16"/>
                <w:szCs w:val="16"/>
              </w:rPr>
              <w:t xml:space="preserve">4.90</w:t>
            </w:r>
          </w:p>
        </w:tc>
        <w:tc>
          <w:tcPr>
            <w:tcW w:type="dxa" w:w="1192"/>
            <w:tcBorders/>
          </w:tcPr>
          <w:p>
            <w:pPr>
              <w:keepNext/>
              <w:spacing w:before="10" w:after="10" w:line="240" w:lineRule="auto"/>
              <w:jc w:val="left"/>
            </w:pPr>
            <w:r>
              <w:rPr>
                <w:rFonts w:asciiTheme="minorHAnsi" w:hAnsiTheme="minorHAnsi" w:cstheme="minorHAnsi"/>
                <w:sz w:val="16"/>
                <w:szCs w:val="16"/>
              </w:rPr>
              <w:t xml:space="preserve">4.67</w:t>
            </w:r>
          </w:p>
        </w:tc>
        <w:tc>
          <w:tcPr>
            <w:tcW w:type="dxa" w:w="1457"/>
            <w:tcBorders/>
          </w:tcPr>
          <w:p>
            <w:pPr>
              <w:keepNext/>
              <w:spacing w:before="10" w:after="10" w:line="240" w:lineRule="auto"/>
              <w:jc w:val="left"/>
            </w:pPr>
            <w:r>
              <w:rPr>
                <w:rFonts w:asciiTheme="minorHAnsi" w:hAnsiTheme="minorHAnsi" w:cstheme="minorHAnsi"/>
                <w:sz w:val="16"/>
                <w:szCs w:val="16"/>
              </w:rPr>
              <w:t xml:space="preserve">4.61</w:t>
            </w:r>
          </w:p>
        </w:tc>
        <w:tc>
          <w:tcPr>
            <w:tcW w:type="dxa" w:w="1457"/>
            <w:tcBorders/>
          </w:tcPr>
          <w:p>
            <w:pPr>
              <w:keepNext/>
              <w:spacing w:before="10" w:after="10" w:line="240" w:lineRule="auto"/>
              <w:jc w:val="left"/>
            </w:pPr>
            <w:r>
              <w:rPr>
                <w:rFonts w:asciiTheme="minorHAnsi" w:hAnsiTheme="minorHAnsi" w:cstheme="minorHAnsi"/>
                <w:sz w:val="16"/>
                <w:szCs w:val="16"/>
              </w:rPr>
              <w:t xml:space="preserve">2.2 / 13.7</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1.45</w:t>
            </w:r>
          </w:p>
        </w:tc>
        <w:tc>
          <w:tcPr>
            <w:tcW w:type="dxa" w:w="1192"/>
            <w:tcBorders/>
          </w:tcPr>
          <w:p>
            <w:pPr>
              <w:keepNext/>
              <w:spacing w:before="10" w:after="10" w:line="240" w:lineRule="auto"/>
              <w:jc w:val="left"/>
            </w:pPr>
            <w:r>
              <w:rPr>
                <w:rFonts w:asciiTheme="minorHAnsi" w:hAnsiTheme="minorHAnsi" w:cstheme="minorHAnsi"/>
                <w:sz w:val="16"/>
                <w:szCs w:val="16"/>
              </w:rPr>
              <w:t xml:space="preserve">4.00</w:t>
            </w:r>
          </w:p>
        </w:tc>
        <w:tc>
          <w:tcPr>
            <w:tcW w:type="dxa" w:w="1192"/>
            <w:tcBorders/>
          </w:tcPr>
          <w:p>
            <w:pPr>
              <w:keepNext/>
              <w:spacing w:before="10" w:after="10" w:line="240" w:lineRule="auto"/>
              <w:jc w:val="left"/>
            </w:pPr>
            <w:r>
              <w:rPr>
                <w:rFonts w:asciiTheme="minorHAnsi" w:hAnsiTheme="minorHAnsi" w:cstheme="minorHAnsi"/>
                <w:sz w:val="16"/>
                <w:szCs w:val="16"/>
              </w:rPr>
              <w:t xml:space="preserve">3.67</w:t>
            </w:r>
          </w:p>
        </w:tc>
        <w:tc>
          <w:tcPr>
            <w:tcW w:type="dxa" w:w="1457"/>
            <w:tcBorders/>
          </w:tcPr>
          <w:p>
            <w:pPr>
              <w:keepNext/>
              <w:spacing w:before="10" w:after="10" w:line="240" w:lineRule="auto"/>
              <w:jc w:val="left"/>
            </w:pPr>
            <w:r>
              <w:rPr>
                <w:rFonts w:asciiTheme="minorHAnsi" w:hAnsiTheme="minorHAnsi" w:cstheme="minorHAnsi"/>
                <w:sz w:val="16"/>
                <w:szCs w:val="16"/>
              </w:rPr>
              <w:t xml:space="preserve">3.81</w:t>
            </w:r>
          </w:p>
        </w:tc>
        <w:tc>
          <w:tcPr>
            <w:tcW w:type="dxa" w:w="1457"/>
            <w:tcBorders/>
          </w:tcPr>
          <w:p>
            <w:pPr>
              <w:keepNext/>
              <w:spacing w:before="10" w:after="10" w:line="240" w:lineRule="auto"/>
              <w:jc w:val="left"/>
            </w:pPr>
            <w:r>
              <w:rPr>
                <w:rFonts w:asciiTheme="minorHAnsi" w:hAnsiTheme="minorHAnsi" w:cstheme="minorHAnsi"/>
                <w:sz w:val="16"/>
                <w:szCs w:val="16"/>
              </w:rPr>
              <w:t xml:space="preserve">1.7 / 5.0</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Ceiling</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−0.24</w:t>
            </w:r>
          </w:p>
        </w:tc>
        <w:tc>
          <w:tcPr>
            <w:tcW w:type="dxa" w:w="1192"/>
            <w:tcBorders/>
          </w:tcPr>
          <w:p>
            <w:pPr>
              <w:keepNext/>
              <w:spacing w:before="10" w:after="10" w:line="240" w:lineRule="auto"/>
              <w:jc w:val="left"/>
            </w:pPr>
            <w:r>
              <w:rPr>
                <w:rFonts w:asciiTheme="minorHAnsi" w:hAnsiTheme="minorHAnsi" w:cstheme="minorHAnsi"/>
                <w:sz w:val="16"/>
                <w:szCs w:val="16"/>
              </w:rPr>
              <w:t xml:space="preserve">−1.53</w:t>
            </w:r>
          </w:p>
        </w:tc>
        <w:tc>
          <w:tcPr>
            <w:tcW w:type="dxa" w:w="1192"/>
            <w:tcBorders/>
          </w:tcPr>
          <w:p>
            <w:pPr>
              <w:keepNext/>
              <w:spacing w:before="10" w:after="10" w:line="240" w:lineRule="auto"/>
              <w:jc w:val="left"/>
            </w:pPr>
            <w:r>
              <w:rPr>
                <w:rFonts w:asciiTheme="minorHAnsi" w:hAnsiTheme="minorHAnsi" w:cstheme="minorHAnsi"/>
                <w:sz w:val="16"/>
                <w:szCs w:val="16"/>
              </w:rPr>
              <w:t xml:space="preserve">−1.11</w:t>
            </w:r>
          </w:p>
        </w:tc>
        <w:tc>
          <w:tcPr>
            <w:tcW w:type="dxa" w:w="1457"/>
            <w:tcBorders/>
          </w:tcPr>
          <w:p>
            <w:pPr>
              <w:keepNext/>
              <w:spacing w:before="10" w:after="10" w:line="240" w:lineRule="auto"/>
              <w:jc w:val="left"/>
            </w:pPr>
            <w:r>
              <w:rPr>
                <w:rFonts w:asciiTheme="minorHAnsi" w:hAnsiTheme="minorHAnsi" w:cstheme="minorHAnsi"/>
                <w:sz w:val="16"/>
                <w:szCs w:val="16"/>
              </w:rPr>
              <w:t xml:space="preserve">−1.25</w:t>
            </w:r>
          </w:p>
        </w:tc>
        <w:tc>
          <w:tcPr>
            <w:tcW w:type="dxa" w:w="1457"/>
            <w:tcBorders/>
          </w:tcPr>
          <w:p>
            <w:pPr>
              <w:keepNext/>
              <w:spacing w:before="10" w:after="10" w:line="240" w:lineRule="auto"/>
              <w:jc w:val="left"/>
            </w:pPr>
            <w:r>
              <w:rPr>
                <w:rFonts w:asciiTheme="minorHAnsi" w:hAnsiTheme="minorHAnsi" w:cstheme="minorHAnsi"/>
                <w:sz w:val="16"/>
                <w:szCs w:val="16"/>
              </w:rPr>
              <w:t xml:space="preserve">−1.1 / −0.4</w:t>
            </w:r>
          </w:p>
        </w:tc>
        <w:tc>
          <w:tcPr>
            <w:tcW w:type="dxa" w:w="1192"/>
            <w:tcBorders/>
          </w:tcPr>
          <w:p>
            <w:pPr>
              <w:keepNext/>
              <w:spacing w:before="10" w:after="10" w:line="240" w:lineRule="auto"/>
              <w:jc w:val="left"/>
            </w:pPr>
            <w:r>
              <w:rPr>
                <w:rFonts w:asciiTheme="minorHAnsi" w:hAnsiTheme="minorHAnsi" w:cstheme="minorHAnsi"/>
                <w:sz w:val="16"/>
                <w:szCs w:val="16"/>
              </w:rPr>
              <w:t xml:space="preserve">3,187</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w:t>
            </w:r>
          </w:p>
        </w:tc>
        <w:tc>
          <w:tcPr>
            <w:tcW w:type="dxa" w:w="1059"/>
            <w:tcBorders/>
          </w:tcPr>
          <w:p>
            <w:pPr>
              <w:keepNext/>
              <w:spacing w:before="10" w:after="10" w:line="240" w:lineRule="auto"/>
              <w:jc w:val="left"/>
            </w:pPr>
            <w:r>
              <w:rPr>
                <w:rFonts w:asciiTheme="minorHAnsi" w:hAnsiTheme="minorHAnsi" w:cstheme="minorHAnsi"/>
                <w:sz w:val="16"/>
                <w:szCs w:val="16"/>
              </w:rPr>
              <w:t xml:space="preserve">−0.71</w:t>
            </w:r>
          </w:p>
        </w:tc>
        <w:tc>
          <w:tcPr>
            <w:tcW w:type="dxa" w:w="1192"/>
            <w:tcBorders/>
          </w:tcPr>
          <w:p>
            <w:pPr>
              <w:keepNext/>
              <w:spacing w:before="10" w:after="10" w:line="240" w:lineRule="auto"/>
              <w:jc w:val="left"/>
            </w:pPr>
            <w:r>
              <w:rPr>
                <w:rFonts w:asciiTheme="minorHAnsi" w:hAnsiTheme="minorHAnsi" w:cstheme="minorHAnsi"/>
                <w:sz w:val="16"/>
                <w:szCs w:val="16"/>
              </w:rPr>
              <w:t xml:space="preserve">−5.32</w:t>
            </w:r>
          </w:p>
        </w:tc>
        <w:tc>
          <w:tcPr>
            <w:tcW w:type="dxa" w:w="1192"/>
            <w:tcBorders/>
          </w:tcPr>
          <w:p>
            <w:pPr>
              <w:keepNext/>
              <w:spacing w:before="10" w:after="10" w:line="240" w:lineRule="auto"/>
              <w:jc w:val="left"/>
            </w:pPr>
            <w:r>
              <w:rPr>
                <w:rFonts w:asciiTheme="minorHAnsi" w:hAnsiTheme="minorHAnsi" w:cstheme="minorHAnsi"/>
                <w:sz w:val="16"/>
                <w:szCs w:val="16"/>
              </w:rPr>
              <w:t xml:space="preserve">−4.66</w:t>
            </w:r>
          </w:p>
        </w:tc>
        <w:tc>
          <w:tcPr>
            <w:tcW w:type="dxa" w:w="1457"/>
            <w:tcBorders/>
          </w:tcPr>
          <w:p>
            <w:pPr>
              <w:keepNext/>
              <w:spacing w:before="10" w:after="10" w:line="240" w:lineRule="auto"/>
              <w:jc w:val="left"/>
            </w:pPr>
            <w:r>
              <w:rPr>
                <w:rFonts w:asciiTheme="minorHAnsi" w:hAnsiTheme="minorHAnsi" w:cstheme="minorHAnsi"/>
                <w:sz w:val="16"/>
                <w:szCs w:val="16"/>
              </w:rPr>
              <w:t xml:space="preserve">−6.25</w:t>
            </w:r>
          </w:p>
        </w:tc>
        <w:tc>
          <w:tcPr>
            <w:tcW w:type="dxa" w:w="1457"/>
            <w:tcBorders/>
          </w:tcPr>
          <w:p>
            <w:pPr>
              <w:keepNext/>
              <w:spacing w:before="10" w:after="10" w:line="240" w:lineRule="auto"/>
              <w:jc w:val="left"/>
            </w:pPr>
            <w:r>
              <w:rPr>
                <w:rFonts w:asciiTheme="minorHAnsi" w:hAnsiTheme="minorHAnsi" w:cstheme="minorHAnsi"/>
                <w:sz w:val="16"/>
                <w:szCs w:val="16"/>
              </w:rPr>
              <w:t xml:space="preserve">−2.7 / −4.6</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tcPr>
          <w:p>
            <w:pPr>
              <w:keepNext/>
              <w:spacing w:before="10" w:after="10" w:line="240" w:lineRule="auto"/>
              <w:jc w:val="left"/>
            </w:pPr>
            <w:r>
              <w:rPr>
                <w:rFonts w:asciiTheme="minorHAnsi" w:hAnsiTheme="minorHAnsi" w:cstheme="minorHAnsi"/>
                <w:sz w:val="16"/>
                <w:szCs w:val="16"/>
              </w:rPr>
              <w:t xml:space="preserve">Floor</w:t>
            </w:r>
          </w:p>
        </w:tc>
        <w:tc>
          <w:tcPr>
            <w:tcW w:type="dxa" w:w="1324"/>
            <w:tcBorders/>
          </w:tcPr>
          <w:p>
            <w:pPr>
              <w:keepNext/>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+1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tcPr>
          <w:p>
            <w:pPr>
              <w:keepNext/>
              <w:spacing w:before="10" w:after="10" w:line="240" w:lineRule="auto"/>
              <w:jc w:val="left"/>
            </w:pPr>
            <w:r>
              <w:rPr>
                <w:rFonts w:asciiTheme="minorHAnsi" w:hAnsiTheme="minorHAnsi" w:cstheme="minorHAnsi"/>
                <w:sz w:val="16"/>
                <w:szCs w:val="16"/>
              </w:rPr>
              <w:t xml:space="preserve">−1.76</w:t>
            </w:r>
          </w:p>
        </w:tc>
        <w:tc>
          <w:tcPr>
            <w:tcW w:type="dxa" w:w="1192"/>
            <w:tcBorders/>
          </w:tcPr>
          <w:p>
            <w:pPr>
              <w:keepNext/>
              <w:spacing w:before="10" w:after="10" w:line="240" w:lineRule="auto"/>
              <w:jc w:val="left"/>
            </w:pPr>
            <w:r>
              <w:rPr>
                <w:rFonts w:asciiTheme="minorHAnsi" w:hAnsiTheme="minorHAnsi" w:cstheme="minorHAnsi"/>
                <w:sz w:val="16"/>
                <w:szCs w:val="16"/>
              </w:rPr>
              <w:t xml:space="preserve">−4.74</w:t>
            </w:r>
          </w:p>
        </w:tc>
        <w:tc>
          <w:tcPr>
            <w:tcW w:type="dxa" w:w="1192"/>
            <w:tcBorders/>
          </w:tcPr>
          <w:p>
            <w:pPr>
              <w:keepNext/>
              <w:spacing w:before="10" w:after="10" w:line="240" w:lineRule="auto"/>
              <w:jc w:val="left"/>
            </w:pPr>
            <w:r>
              <w:rPr>
                <w:rFonts w:asciiTheme="minorHAnsi" w:hAnsiTheme="minorHAnsi" w:cstheme="minorHAnsi"/>
                <w:sz w:val="16"/>
                <w:szCs w:val="16"/>
              </w:rPr>
              <w:t xml:space="preserve">−4.80</w:t>
            </w:r>
          </w:p>
        </w:tc>
        <w:tc>
          <w:tcPr>
            <w:tcW w:type="dxa" w:w="1457"/>
            <w:tcBorders/>
          </w:tcPr>
          <w:p>
            <w:pPr>
              <w:keepNext/>
              <w:spacing w:before="10" w:after="10" w:line="240" w:lineRule="auto"/>
              <w:jc w:val="left"/>
            </w:pPr>
            <w:r>
              <w:rPr>
                <w:rFonts w:asciiTheme="minorHAnsi" w:hAnsiTheme="minorHAnsi" w:cstheme="minorHAnsi"/>
                <w:sz w:val="16"/>
                <w:szCs w:val="16"/>
              </w:rPr>
              <w:t xml:space="preserve">−4.92</w:t>
            </w:r>
          </w:p>
        </w:tc>
        <w:tc>
          <w:tcPr>
            <w:tcW w:type="dxa" w:w="1457"/>
            <w:tcBorders/>
          </w:tcPr>
          <w:p>
            <w:pPr>
              <w:keepNext/>
              <w:spacing w:before="10" w:after="10" w:line="240" w:lineRule="auto"/>
              <w:jc w:val="left"/>
            </w:pPr>
            <w:r>
              <w:rPr>
                <w:rFonts w:asciiTheme="minorHAnsi" w:hAnsiTheme="minorHAnsi" w:cstheme="minorHAnsi"/>
                <w:sz w:val="16"/>
                <w:szCs w:val="16"/>
              </w:rPr>
              <w:t xml:space="preserve">−12.3 / −2.2</w:t>
            </w:r>
          </w:p>
        </w:tc>
        <w:tc>
          <w:tcPr>
            <w:tcW w:type="dxa" w:w="1192"/>
            <w:tcBorders/>
          </w:tcPr>
          <w:p>
            <w:pPr>
              <w:keepNext/>
              <w:spacing w:before="10" w:after="10" w:line="240" w:lineRule="auto"/>
              <w:jc w:val="left"/>
            </w:pPr>
            <w:r>
              <w:rPr>
                <w:rFonts w:asciiTheme="minorHAnsi" w:hAnsiTheme="minorHAnsi" w:cstheme="minorHAnsi"/>
                <w:sz w:val="16"/>
                <w:szCs w:val="16"/>
              </w:rPr>
              <w:t xml:space="preserve">2,105</w:t>
            </w:r>
          </w:p>
        </w:tc>
      </w:tr>
      <w:tr>
        <w:trPr>
          <w:cantSplit/>
        </w:trPr>
        <w:tc>
          <w:tcPr>
            <w:tcW w:type="dxa" w:w="1324"/>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1324"/>
            <w:tcBorders>
              <w:bottom w:val="single" w:sz="8" w:space="0" w:color="000000"/>
            </w:tcBorders>
          </w:tcPr>
          <w:p>
            <w:pPr>
              <w:spacing w:before="10" w:after="10" w:line="240" w:lineRule="auto"/>
              <w:jc w:val="left"/>
            </w:pPr>
            <w:r>
              <w:rPr>
                <w:rFonts w:asciiTheme="minorHAnsi" w:hAnsiTheme="minorHAnsi" w:cstheme="minorHAnsi"/>
                <w:i/>
                <w:iCs/>
                <w:sz w:val="16"/>
                <w:szCs w:val="16"/>
              </w:rPr>
              <w:t xml:space="preserve">d</w:t>
            </w:r>
            <w:r>
              <w:rPr>
                <w:rFonts w:asciiTheme="minorHAnsi" w:hAnsiTheme="minorHAnsi" w:cstheme="minorHAnsi"/>
                <w:sz w:val="16"/>
                <w:szCs w:val="16"/>
              </w:rPr>
              <w:t xml:space="preserve">+2 to</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059"/>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−1.10</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−2.91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−3.01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−2.81</w:t>
            </w:r>
          </w:p>
        </w:tc>
        <w:tc>
          <w:tcPr>
            <w:tcW w:type="dxa" w:w="1457"/>
            <w:tcBorders>
              <w:bottom w:val="single" w:sz="8" w:space="0" w:color="000000"/>
            </w:tcBorders>
          </w:tcPr>
          <w:p>
            <w:pPr>
              <w:spacing w:before="10" w:after="10" w:line="240" w:lineRule="auto"/>
              <w:jc w:val="left"/>
            </w:pPr>
            <w:r>
              <w:rPr>
                <w:rFonts w:asciiTheme="minorHAnsi" w:hAnsiTheme="minorHAnsi" w:cstheme="minorHAnsi"/>
                <w:sz w:val="16"/>
                <w:szCs w:val="16"/>
              </w:rPr>
              <w:t xml:space="preserve">−8.7 / −1.1</w:t>
            </w:r>
          </w:p>
        </w:tc>
        <w:tc>
          <w:tcPr>
            <w:tcW w:type="dxa" w:w="1192"/>
            <w:tcBorders>
              <w:bottom w:val="single" w:sz="8" w:space="0" w:color="000000"/>
            </w:tcBorders>
          </w:tcPr>
          <w:p>
            <w:pPr>
              <w:spacing w:before="10" w:after="10" w:line="240" w:lineRule="auto"/>
              <w:jc w:val="left"/>
            </w:pPr>
            <w:r>
              <w:rPr>
                <w:rFonts w:asciiTheme="minorHAnsi" w:hAnsiTheme="minorHAnsi" w:cstheme="minorHAnsi"/>
                <w:sz w:val="16"/>
                <w:szCs w:val="16"/>
              </w:rPr>
              <w:t xml:space="preserve">2,105</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Mean returns in percent.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(date),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(week), and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(10-day) cluster by event date, calendar week, and 10-day block, with the factor</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and a</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reference with</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G</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− 1 degrees of freedom;</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(halves) is week-clustered for the first and second half of event dates.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2</w:t>
      </w:r>
      <w:r>
        <w:rPr>
          <w:rFonts w:asciiTheme="minorHAnsi" w:eastAsia="Georgia" w:hAnsiTheme="minorHAnsi" w:cstheme="minorHAnsi"/>
          <w:color w:val="000000"/>
          <w:sz w:val="18"/>
          <w:szCs w:val="18"/>
          <w:bdr w:val="nil"/>
          <w:lang w:val="hr-HR" w:eastAsia="es-MX"/>
        </w:rPr>
        <w:t xml:space="preserve"> Decomposition of the next-day abnormal return</w:t>
      </w:r>
    </w:p>
    <w:tbl>
      <w:tblPr>
        <w:tblW w:type="pct" w:w="5000"/>
        <w:jc w:val="center"/>
        <w:tblLayout w:type="fixed"/>
      </w:tblPr>
      <w:tblGrid>
        <w:gridCol w:w="2576"/>
        <w:gridCol w:w="966"/>
        <w:gridCol w:w="1610"/>
        <w:gridCol w:w="1610"/>
        <w:gridCol w:w="1825"/>
        <w:gridCol w:w="1610"/>
      </w:tblGrid>
      <w:tr>
        <w:trPr>
          <w:cantSplit/>
          <w:tblHeader w:val="true"/>
        </w:trPr>
        <w:tc>
          <w:tcPr>
            <w:tcW w:type="dxa" w:w="257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Sample</w:t>
            </w:r>
          </w:p>
        </w:tc>
        <w:tc>
          <w:tcPr>
            <w:tcW w:type="dxa" w:w="966"/>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610"/>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Ceiling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3,199</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(9.7)</w:t>
            </w:r>
          </w:p>
        </w:tc>
        <w:tc>
          <w:tcPr>
            <w:tcW w:type="dxa" w:w="1610"/>
            <w:tcBorders/>
          </w:tcPr>
          <w:p>
            <w:pPr>
              <w:keepNext/>
              <w:spacing w:before="10" w:after="10" w:line="240" w:lineRule="auto"/>
              <w:jc w:val="left"/>
            </w:pPr>
            <w:r>
              <w:rPr>
                <w:rFonts w:asciiTheme="minorHAnsi" w:hAnsiTheme="minorHAnsi" w:cstheme="minorHAnsi"/>
                <w:sz w:val="16"/>
                <w:szCs w:val="16"/>
              </w:rPr>
              <w:t xml:space="preserve">−0.54 (−3.5)</w:t>
            </w:r>
          </w:p>
        </w:tc>
        <w:tc>
          <w:tcPr>
            <w:tcW w:type="dxa" w:w="1825"/>
            <w:tcBorders/>
          </w:tcPr>
          <w:p>
            <w:pPr>
              <w:keepNext/>
              <w:spacing w:before="10" w:after="10" w:line="240" w:lineRule="auto"/>
              <w:jc w:val="left"/>
            </w:pPr>
            <w:r>
              <w:rPr>
                <w:rFonts w:asciiTheme="minorHAnsi" w:hAnsiTheme="minorHAnsi" w:cstheme="minorHAnsi"/>
                <w:sz w:val="16"/>
                <w:szCs w:val="16"/>
              </w:rPr>
              <w:t xml:space="preserve">1.66 (4.8)</w:t>
            </w:r>
          </w:p>
        </w:tc>
        <w:tc>
          <w:tcPr>
            <w:tcW w:type="dxa" w:w="1610"/>
            <w:tcBorders/>
          </w:tcPr>
          <w:p>
            <w:pPr>
              <w:keepNext/>
              <w:spacing w:before="10" w:after="10" w:line="240" w:lineRule="auto"/>
              <w:jc w:val="left"/>
            </w:pPr>
            <w:r>
              <w:rPr>
                <w:rFonts w:asciiTheme="minorHAnsi" w:hAnsiTheme="minorHAnsi" w:cstheme="minorHAnsi"/>
                <w:sz w:val="16"/>
                <w:szCs w:val="16"/>
              </w:rPr>
              <w:t xml:space="preserve">−0.75 (−2.7)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3,100</w:t>
            </w:r>
          </w:p>
        </w:tc>
        <w:tc>
          <w:tcPr>
            <w:tcW w:type="dxa" w:w="1610"/>
            <w:tcBorders/>
          </w:tcPr>
          <w:p>
            <w:pPr>
              <w:keepNext/>
              <w:spacing w:before="10" w:after="10" w:line="240" w:lineRule="auto"/>
              <w:jc w:val="left"/>
            </w:pPr>
            <w:r>
              <w:rPr>
                <w:rFonts w:asciiTheme="minorHAnsi" w:hAnsiTheme="minorHAnsi" w:cstheme="minorHAnsi"/>
                <w:sz w:val="16"/>
                <w:szCs w:val="16"/>
              </w:rPr>
              <w:t xml:space="preserve">2.70 (20.2)</w:t>
            </w:r>
          </w:p>
        </w:tc>
        <w:tc>
          <w:tcPr>
            <w:tcW w:type="dxa" w:w="1610"/>
            <w:tcBorders/>
          </w:tcPr>
          <w:p>
            <w:pPr>
              <w:keepNext/>
              <w:spacing w:before="10" w:after="10" w:line="240" w:lineRule="auto"/>
              <w:jc w:val="left"/>
            </w:pPr>
            <w:r>
              <w:rPr>
                <w:rFonts w:asciiTheme="minorHAnsi" w:hAnsiTheme="minorHAnsi" w:cstheme="minorHAnsi"/>
                <w:sz w:val="16"/>
                <w:szCs w:val="16"/>
              </w:rPr>
              <w:t xml:space="preserve">−0.50 (−6.0)</w:t>
            </w:r>
          </w:p>
        </w:tc>
        <w:tc>
          <w:tcPr>
            <w:tcW w:type="dxa" w:w="1825"/>
            <w:tcBorders/>
          </w:tcPr>
          <w:p>
            <w:pPr>
              <w:keepNext/>
              <w:spacing w:before="10" w:after="10" w:line="240" w:lineRule="auto"/>
              <w:jc w:val="left"/>
            </w:pPr>
            <w:r>
              <w:rPr>
                <w:rFonts w:asciiTheme="minorHAnsi" w:hAnsiTheme="minorHAnsi" w:cstheme="minorHAnsi"/>
                <w:sz w:val="16"/>
                <w:szCs w:val="16"/>
              </w:rPr>
              <w:t xml:space="preserve">2.16 (18.0)</w:t>
            </w:r>
          </w:p>
        </w:tc>
        <w:tc>
          <w:tcPr>
            <w:tcW w:type="dxa" w:w="1610"/>
            <w:tcBorders/>
          </w:tcPr>
          <w:p>
            <w:pPr>
              <w:keepNext/>
              <w:spacing w:before="10" w:after="10" w:line="240" w:lineRule="auto"/>
              <w:jc w:val="left"/>
            </w:pPr>
            <w:r>
              <w:rPr>
                <w:rFonts w:asciiTheme="minorHAnsi" w:hAnsiTheme="minorHAnsi" w:cstheme="minorHAnsi"/>
                <w:sz w:val="16"/>
                <w:szCs w:val="16"/>
              </w:rPr>
              <w:t xml:space="preserve">−0.53 (−1.8)</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1,642</w:t>
            </w:r>
          </w:p>
        </w:tc>
        <w:tc>
          <w:tcPr>
            <w:tcW w:type="dxa" w:w="1610"/>
            <w:tcBorders/>
          </w:tcPr>
          <w:p>
            <w:pPr>
              <w:keepNext/>
              <w:spacing w:before="10" w:after="10" w:line="240" w:lineRule="auto"/>
              <w:jc w:val="left"/>
            </w:pPr>
            <w:r>
              <w:rPr>
                <w:rFonts w:asciiTheme="minorHAnsi" w:hAnsiTheme="minorHAnsi" w:cstheme="minorHAnsi"/>
                <w:sz w:val="16"/>
                <w:szCs w:val="16"/>
              </w:rPr>
              <w:t xml:space="preserve">2.79 (13.8)</w:t>
            </w:r>
          </w:p>
        </w:tc>
        <w:tc>
          <w:tcPr>
            <w:tcW w:type="dxa" w:w="1610"/>
            <w:tcBorders/>
          </w:tcPr>
          <w:p>
            <w:pPr>
              <w:keepNext/>
              <w:spacing w:before="10" w:after="10" w:line="240" w:lineRule="auto"/>
              <w:jc w:val="left"/>
            </w:pPr>
            <w:r>
              <w:rPr>
                <w:rFonts w:asciiTheme="minorHAnsi" w:hAnsiTheme="minorHAnsi" w:cstheme="minorHAnsi"/>
                <w:sz w:val="16"/>
                <w:szCs w:val="16"/>
              </w:rPr>
              <w:t xml:space="preserve">−0.74 (−5.3)</w:t>
            </w:r>
          </w:p>
        </w:tc>
        <w:tc>
          <w:tcPr>
            <w:tcW w:type="dxa" w:w="1825"/>
            <w:tcBorders/>
          </w:tcPr>
          <w:p>
            <w:pPr>
              <w:keepNext/>
              <w:spacing w:before="10" w:after="10" w:line="240" w:lineRule="auto"/>
              <w:jc w:val="left"/>
            </w:pPr>
            <w:r>
              <w:rPr>
                <w:rFonts w:asciiTheme="minorHAnsi" w:hAnsiTheme="minorHAnsi" w:cstheme="minorHAnsi"/>
                <w:sz w:val="16"/>
                <w:szCs w:val="16"/>
              </w:rPr>
              <w:t xml:space="preserve">2.00 (7.1)</w:t>
            </w:r>
          </w:p>
        </w:tc>
        <w:tc>
          <w:tcPr>
            <w:tcW w:type="dxa" w:w="1610"/>
            <w:tcBorders/>
          </w:tcPr>
          <w:p>
            <w:pPr>
              <w:keepNext/>
              <w:spacing w:before="10" w:after="10" w:line="240" w:lineRule="auto"/>
              <w:jc w:val="left"/>
            </w:pPr>
            <w:r>
              <w:rPr>
                <w:rFonts w:asciiTheme="minorHAnsi" w:hAnsiTheme="minorHAnsi" w:cstheme="minorHAnsi"/>
                <w:sz w:val="16"/>
                <w:szCs w:val="16"/>
              </w:rPr>
              <w:t xml:space="preserve">−1.02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1,557</w:t>
            </w:r>
          </w:p>
        </w:tc>
        <w:tc>
          <w:tcPr>
            <w:tcW w:type="dxa" w:w="1610"/>
            <w:tcBorders/>
          </w:tcPr>
          <w:p>
            <w:pPr>
              <w:keepNext/>
              <w:spacing w:before="10" w:after="10" w:line="240" w:lineRule="auto"/>
              <w:jc w:val="left"/>
            </w:pPr>
            <w:r>
              <w:rPr>
                <w:rFonts w:asciiTheme="minorHAnsi" w:hAnsiTheme="minorHAnsi" w:cstheme="minorHAnsi"/>
                <w:sz w:val="16"/>
                <w:szCs w:val="16"/>
              </w:rPr>
              <w:t xml:space="preserve">1.67 (6.4)</w:t>
            </w:r>
          </w:p>
        </w:tc>
        <w:tc>
          <w:tcPr>
            <w:tcW w:type="dxa" w:w="1610"/>
            <w:tcBorders/>
          </w:tcPr>
          <w:p>
            <w:pPr>
              <w:keepNext/>
              <w:spacing w:before="10" w:after="10" w:line="240" w:lineRule="auto"/>
              <w:jc w:val="left"/>
            </w:pPr>
            <w:r>
              <w:rPr>
                <w:rFonts w:asciiTheme="minorHAnsi" w:hAnsiTheme="minorHAnsi" w:cstheme="minorHAnsi"/>
                <w:sz w:val="16"/>
                <w:szCs w:val="16"/>
              </w:rPr>
              <w:t xml:space="preserve">−0.32 (−1.6)</w:t>
            </w:r>
          </w:p>
        </w:tc>
        <w:tc>
          <w:tcPr>
            <w:tcW w:type="dxa" w:w="1825"/>
            <w:tcBorders/>
          </w:tcPr>
          <w:p>
            <w:pPr>
              <w:keepNext/>
              <w:spacing w:before="10" w:after="10" w:line="240" w:lineRule="auto"/>
              <w:jc w:val="left"/>
            </w:pPr>
            <w:r>
              <w:rPr>
                <w:rFonts w:asciiTheme="minorHAnsi" w:hAnsiTheme="minorHAnsi" w:cstheme="minorHAnsi"/>
                <w:sz w:val="16"/>
                <w:szCs w:val="16"/>
              </w:rPr>
              <w:t xml:space="preserve">1.31 (3.1)</w:t>
            </w:r>
          </w:p>
        </w:tc>
        <w:tc>
          <w:tcPr>
            <w:tcW w:type="dxa" w:w="1610"/>
            <w:tcBorders/>
          </w:tcPr>
          <w:p>
            <w:pPr>
              <w:keepNext/>
              <w:spacing w:before="10" w:after="10" w:line="240" w:lineRule="auto"/>
              <w:jc w:val="left"/>
            </w:pPr>
            <w:r>
              <w:rPr>
                <w:rFonts w:asciiTheme="minorHAnsi" w:hAnsiTheme="minorHAnsi" w:cstheme="minorHAnsi"/>
                <w:sz w:val="16"/>
                <w:szCs w:val="16"/>
              </w:rPr>
              <w:t xml:space="preserve">−0.46 (−1.3)</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522</w:t>
            </w:r>
          </w:p>
        </w:tc>
        <w:tc>
          <w:tcPr>
            <w:tcW w:type="dxa" w:w="1610"/>
            <w:tcBorders/>
          </w:tcPr>
          <w:p>
            <w:pPr>
              <w:keepNext/>
              <w:spacing w:before="10" w:after="10" w:line="240" w:lineRule="auto"/>
              <w:jc w:val="left"/>
            </w:pPr>
            <w:r>
              <w:rPr>
                <w:rFonts w:asciiTheme="minorHAnsi" w:hAnsiTheme="minorHAnsi" w:cstheme="minorHAnsi"/>
                <w:sz w:val="16"/>
                <w:szCs w:val="16"/>
              </w:rPr>
              <w:t xml:space="preserve">2.91 (3.0)</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(−5.9)</w:t>
            </w:r>
          </w:p>
        </w:tc>
        <w:tc>
          <w:tcPr>
            <w:tcW w:type="dxa" w:w="1825"/>
            <w:tcBorders/>
          </w:tcPr>
          <w:p>
            <w:pPr>
              <w:keepNext/>
              <w:spacing w:before="10" w:after="10" w:line="240" w:lineRule="auto"/>
              <w:jc w:val="left"/>
            </w:pPr>
            <w:r>
              <w:rPr>
                <w:rFonts w:asciiTheme="minorHAnsi" w:hAnsiTheme="minorHAnsi" w:cstheme="minorHAnsi"/>
                <w:sz w:val="16"/>
                <w:szCs w:val="16"/>
              </w:rPr>
              <w:t xml:space="preserve">1.54 (1.4)</w:t>
            </w:r>
          </w:p>
        </w:tc>
        <w:tc>
          <w:tcPr>
            <w:tcW w:type="dxa" w:w="1610"/>
            <w:tcBorders/>
          </w:tcPr>
          <w:p>
            <w:pPr>
              <w:keepNext/>
              <w:spacing w:before="10" w:after="10" w:line="240" w:lineRule="auto"/>
              <w:jc w:val="left"/>
            </w:pPr>
            <w:r>
              <w:rPr>
                <w:rFonts w:asciiTheme="minorHAnsi" w:hAnsiTheme="minorHAnsi" w:cstheme="minorHAnsi"/>
                <w:sz w:val="16"/>
                <w:szCs w:val="16"/>
              </w:rPr>
              <w:t xml:space="preserve">−0.76 (−1.5)</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1,615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(5.4)</w:t>
            </w:r>
          </w:p>
        </w:tc>
        <w:tc>
          <w:tcPr>
            <w:tcW w:type="dxa" w:w="1610"/>
            <w:tcBorders/>
          </w:tcPr>
          <w:p>
            <w:pPr>
              <w:keepNext/>
              <w:spacing w:before="10" w:after="10" w:line="240" w:lineRule="auto"/>
              <w:jc w:val="left"/>
            </w:pPr>
            <w:r>
              <w:rPr>
                <w:rFonts w:asciiTheme="minorHAnsi" w:hAnsiTheme="minorHAnsi" w:cstheme="minorHAnsi"/>
                <w:sz w:val="16"/>
                <w:szCs w:val="16"/>
              </w:rPr>
              <w:t xml:space="preserve">−0.77 (−3.3)</w:t>
            </w:r>
          </w:p>
        </w:tc>
        <w:tc>
          <w:tcPr>
            <w:tcW w:type="dxa" w:w="1825"/>
            <w:tcBorders/>
          </w:tcPr>
          <w:p>
            <w:pPr>
              <w:keepNext/>
              <w:spacing w:before="10" w:after="10" w:line="240" w:lineRule="auto"/>
              <w:jc w:val="left"/>
            </w:pPr>
            <w:r>
              <w:rPr>
                <w:rFonts w:asciiTheme="minorHAnsi" w:hAnsiTheme="minorHAnsi" w:cstheme="minorHAnsi"/>
                <w:sz w:val="16"/>
                <w:szCs w:val="16"/>
              </w:rPr>
              <w:t xml:space="preserve">1.42 (2.3)</w:t>
            </w:r>
          </w:p>
        </w:tc>
        <w:tc>
          <w:tcPr>
            <w:tcW w:type="dxa" w:w="1610"/>
            <w:tcBorders/>
          </w:tcPr>
          <w:p>
            <w:pPr>
              <w:keepNext/>
              <w:spacing w:before="10" w:after="10" w:line="240" w:lineRule="auto"/>
              <w:jc w:val="left"/>
            </w:pPr>
            <w:r>
              <w:rPr>
                <w:rFonts w:asciiTheme="minorHAnsi" w:hAnsiTheme="minorHAnsi" w:cstheme="minorHAnsi"/>
                <w:sz w:val="16"/>
                <w:szCs w:val="16"/>
              </w:rPr>
              <w:t xml:space="preserve">−1.13 (−2.9)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1,584</w:t>
            </w:r>
          </w:p>
        </w:tc>
        <w:tc>
          <w:tcPr>
            <w:tcW w:type="dxa" w:w="1610"/>
            <w:tcBorders/>
          </w:tcPr>
          <w:p>
            <w:pPr>
              <w:keepNext/>
              <w:spacing w:before="10" w:after="10" w:line="240" w:lineRule="auto"/>
              <w:jc w:val="left"/>
            </w:pPr>
            <w:r>
              <w:rPr>
                <w:rFonts w:asciiTheme="minorHAnsi" w:hAnsiTheme="minorHAnsi" w:cstheme="minorHAnsi"/>
                <w:sz w:val="16"/>
                <w:szCs w:val="16"/>
              </w:rPr>
              <w:t xml:space="preserve">2.25 (13.0)</w:t>
            </w:r>
          </w:p>
        </w:tc>
        <w:tc>
          <w:tcPr>
            <w:tcW w:type="dxa" w:w="1610"/>
            <w:tcBorders/>
          </w:tcPr>
          <w:p>
            <w:pPr>
              <w:keepNext/>
              <w:spacing w:before="10" w:after="10" w:line="240" w:lineRule="auto"/>
              <w:jc w:val="left"/>
            </w:pPr>
            <w:r>
              <w:rPr>
                <w:rFonts w:asciiTheme="minorHAnsi" w:hAnsiTheme="minorHAnsi" w:cstheme="minorHAnsi"/>
                <w:sz w:val="16"/>
                <w:szCs w:val="16"/>
              </w:rPr>
              <w:t xml:space="preserve">−0.29 (−2.5)</w:t>
            </w:r>
          </w:p>
        </w:tc>
        <w:tc>
          <w:tcPr>
            <w:tcW w:type="dxa" w:w="1825"/>
            <w:tcBorders/>
          </w:tcPr>
          <w:p>
            <w:pPr>
              <w:keepNext/>
              <w:spacing w:before="10" w:after="10" w:line="240" w:lineRule="auto"/>
              <w:jc w:val="left"/>
            </w:pPr>
            <w:r>
              <w:rPr>
                <w:rFonts w:asciiTheme="minorHAnsi" w:hAnsiTheme="minorHAnsi" w:cstheme="minorHAnsi"/>
                <w:sz w:val="16"/>
                <w:szCs w:val="16"/>
              </w:rPr>
              <w:t xml:space="preserve">1.91 (11.3)</w:t>
            </w:r>
          </w:p>
        </w:tc>
        <w:tc>
          <w:tcPr>
            <w:tcW w:type="dxa" w:w="1610"/>
            <w:tcBorders/>
          </w:tcPr>
          <w:p>
            <w:pPr>
              <w:keepNext/>
              <w:spacing w:before="10" w:after="10" w:line="240" w:lineRule="auto"/>
              <w:jc w:val="left"/>
            </w:pPr>
            <w:r>
              <w:rPr>
                <w:rFonts w:asciiTheme="minorHAnsi" w:hAnsiTheme="minorHAnsi" w:cstheme="minorHAnsi"/>
                <w:sz w:val="16"/>
                <w:szCs w:val="16"/>
              </w:rPr>
              <w:t xml:space="preserve">−0.36 (−1.2)</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tcPr>
          <w:p>
            <w:pPr>
              <w:keepNext/>
              <w:spacing w:before="10" w:after="10" w:line="240" w:lineRule="auto"/>
              <w:jc w:val="left"/>
            </w:pPr>
            <w:r>
              <w:rPr>
                <w:rFonts w:asciiTheme="minorHAnsi" w:hAnsiTheme="minorHAnsi" w:cstheme="minorHAnsi"/>
                <w:sz w:val="16"/>
                <w:szCs w:val="16"/>
              </w:rPr>
              <w:t xml:space="preserve">3,125</w:t>
            </w:r>
          </w:p>
        </w:tc>
        <w:tc>
          <w:tcPr>
            <w:tcW w:type="dxa" w:w="1610"/>
            <w:tcBorders/>
          </w:tcPr>
          <w:p>
            <w:pPr>
              <w:keepNext/>
              <w:spacing w:before="10" w:after="10" w:line="240" w:lineRule="auto"/>
              <w:jc w:val="left"/>
            </w:pPr>
            <w:r>
              <w:rPr>
                <w:rFonts w:asciiTheme="minorHAnsi" w:hAnsiTheme="minorHAnsi" w:cstheme="minorHAnsi"/>
                <w:sz w:val="16"/>
                <w:szCs w:val="16"/>
              </w:rPr>
              <w:t xml:space="preserve">2.24 (9.6)</w:t>
            </w:r>
          </w:p>
        </w:tc>
        <w:tc>
          <w:tcPr>
            <w:tcW w:type="dxa" w:w="1610"/>
            <w:tcBorders/>
          </w:tcPr>
          <w:p>
            <w:pPr>
              <w:keepNext/>
              <w:spacing w:before="10" w:after="10" w:line="240" w:lineRule="auto"/>
              <w:jc w:val="left"/>
            </w:pPr>
            <w:r>
              <w:rPr>
                <w:rFonts w:asciiTheme="minorHAnsi" w:hAnsiTheme="minorHAnsi" w:cstheme="minorHAnsi"/>
                <w:sz w:val="16"/>
                <w:szCs w:val="16"/>
              </w:rPr>
              <w:t xml:space="preserve">−0.53 (−3.4)</w:t>
            </w:r>
          </w:p>
        </w:tc>
        <w:tc>
          <w:tcPr>
            <w:tcW w:type="dxa" w:w="1825"/>
            <w:tcBorders/>
          </w:tcPr>
          <w:p>
            <w:pPr>
              <w:keepNext/>
              <w:spacing w:before="10" w:after="10" w:line="240" w:lineRule="auto"/>
              <w:jc w:val="left"/>
            </w:pPr>
            <w:r>
              <w:rPr>
                <w:rFonts w:asciiTheme="minorHAnsi" w:hAnsiTheme="minorHAnsi" w:cstheme="minorHAnsi"/>
                <w:sz w:val="16"/>
                <w:szCs w:val="16"/>
              </w:rPr>
              <w:t xml:space="preserve">1.67 (4.7)</w:t>
            </w:r>
          </w:p>
        </w:tc>
        <w:tc>
          <w:tcPr>
            <w:tcW w:type="dxa" w:w="1610"/>
            <w:tcBorders/>
          </w:tcPr>
          <w:p>
            <w:pPr>
              <w:keepNext/>
              <w:spacing w:before="10" w:after="10" w:line="240" w:lineRule="auto"/>
              <w:jc w:val="left"/>
            </w:pPr>
            <w:r>
              <w:rPr>
                <w:rFonts w:asciiTheme="minorHAnsi" w:hAnsiTheme="minorHAnsi" w:cstheme="minorHAnsi"/>
                <w:sz w:val="16"/>
                <w:szCs w:val="16"/>
              </w:rPr>
              <w:t xml:space="preserve">−0.70 (−2.6)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Floor closes</w:t>
            </w:r>
          </w:p>
        </w:tc>
        <w:tc>
          <w:tcPr>
            <w:tcW w:type="dxa" w:w="966"/>
            <w:tcBorders/>
          </w:tcPr>
          <w:p>
            <w:pPr>
              <w:keepNext/>
              <w:spacing w:before="10" w:after="10" w:line="240" w:lineRule="auto"/>
            </w:pPr>
          </w:p>
        </w:tc>
        <w:tc>
          <w:tcPr>
            <w:tcW w:type="dxa" w:w="1610"/>
            <w:tcBorders/>
          </w:tcPr>
          <w:p>
            <w:pPr>
              <w:keepNext/>
              <w:spacing w:before="10" w:after="10" w:line="240" w:lineRule="auto"/>
            </w:pPr>
          </w:p>
        </w:tc>
        <w:tc>
          <w:tcPr>
            <w:tcW w:type="dxa" w:w="1610"/>
            <w:tcBorders/>
          </w:tcPr>
          <w:p>
            <w:pPr>
              <w:keepNext/>
              <w:spacing w:before="10" w:after="10" w:line="240" w:lineRule="auto"/>
            </w:pPr>
          </w:p>
        </w:tc>
        <w:tc>
          <w:tcPr>
            <w:tcW w:type="dxa" w:w="1825"/>
            <w:tcBorders/>
          </w:tcPr>
          <w:p>
            <w:pPr>
              <w:keepNext/>
              <w:spacing w:before="10" w:after="10" w:line="240" w:lineRule="auto"/>
            </w:pPr>
          </w:p>
        </w:tc>
        <w:tc>
          <w:tcPr>
            <w:tcW w:type="dxa" w:w="1610"/>
            <w:tcBorders/>
          </w:tcPr>
          <w:p>
            <w:pPr>
              <w:keepNext/>
              <w:spacing w:before="10" w:after="10" w:line="240" w:lineRule="auto"/>
            </w:pP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market</w:t>
            </w:r>
          </w:p>
        </w:tc>
        <w:tc>
          <w:tcPr>
            <w:tcW w:type="dxa" w:w="966"/>
            <w:tcBorders/>
          </w:tcPr>
          <w:p>
            <w:pPr>
              <w:keepNext/>
              <w:spacing w:before="10" w:after="10" w:line="240" w:lineRule="auto"/>
              <w:jc w:val="left"/>
            </w:pPr>
            <w:r>
              <w:rPr>
                <w:rFonts w:asciiTheme="minorHAnsi" w:hAnsiTheme="minorHAnsi" w:cstheme="minorHAnsi"/>
                <w:sz w:val="16"/>
                <w:szCs w:val="16"/>
              </w:rPr>
              <w:t xml:space="preserve">2,111</w:t>
            </w:r>
          </w:p>
        </w:tc>
        <w:tc>
          <w:tcPr>
            <w:tcW w:type="dxa" w:w="1610"/>
            <w:tcBorders/>
          </w:tcPr>
          <w:p>
            <w:pPr>
              <w:keepNext/>
              <w:spacing w:before="10" w:after="10" w:line="240" w:lineRule="auto"/>
              <w:jc w:val="left"/>
            </w:pPr>
            <w:r>
              <w:rPr>
                <w:rFonts w:asciiTheme="minorHAnsi" w:hAnsiTheme="minorHAnsi" w:cstheme="minorHAnsi"/>
                <w:sz w:val="16"/>
                <w:szCs w:val="16"/>
              </w:rPr>
              <w:t xml:space="preserve">−0.97 (−4.6)</w:t>
            </w:r>
          </w:p>
        </w:tc>
        <w:tc>
          <w:tcPr>
            <w:tcW w:type="dxa" w:w="1610"/>
            <w:tcBorders/>
          </w:tcPr>
          <w:p>
            <w:pPr>
              <w:keepNext/>
              <w:spacing w:before="10" w:after="10" w:line="240" w:lineRule="auto"/>
              <w:jc w:val="left"/>
            </w:pPr>
            <w:r>
              <w:rPr>
                <w:rFonts w:asciiTheme="minorHAnsi" w:hAnsiTheme="minorHAnsi" w:cstheme="minorHAnsi"/>
                <w:sz w:val="16"/>
                <w:szCs w:val="16"/>
              </w:rPr>
              <w:t xml:space="preserve">0.30 (1.4)</w:t>
            </w:r>
          </w:p>
        </w:tc>
        <w:tc>
          <w:tcPr>
            <w:tcW w:type="dxa" w:w="1825"/>
            <w:tcBorders/>
          </w:tcPr>
          <w:p>
            <w:pPr>
              <w:keepNext/>
              <w:spacing w:before="10" w:after="10" w:line="240" w:lineRule="auto"/>
              <w:jc w:val="left"/>
            </w:pPr>
            <w:r>
              <w:rPr>
                <w:rFonts w:asciiTheme="minorHAnsi" w:hAnsiTheme="minorHAnsi" w:cstheme="minorHAnsi"/>
                <w:sz w:val="16"/>
                <w:szCs w:val="16"/>
              </w:rPr>
              <w:t xml:space="preserve">−0.69 (−4.8)</w:t>
            </w:r>
          </w:p>
        </w:tc>
        <w:tc>
          <w:tcPr>
            <w:tcW w:type="dxa" w:w="1610"/>
            <w:tcBorders/>
          </w:tcPr>
          <w:p>
            <w:pPr>
              <w:keepNext/>
              <w:spacing w:before="10" w:after="10" w:line="240" w:lineRule="auto"/>
              <w:jc w:val="left"/>
            </w:pPr>
            <w:r>
              <w:rPr>
                <w:rFonts w:asciiTheme="minorHAnsi" w:hAnsiTheme="minorHAnsi" w:cstheme="minorHAnsi"/>
                <w:sz w:val="16"/>
                <w:szCs w:val="16"/>
              </w:rPr>
              <w:t xml:space="preserve">−0.82 (−1.7)</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All, vs same-date controls</w:t>
            </w:r>
          </w:p>
        </w:tc>
        <w:tc>
          <w:tcPr>
            <w:tcW w:type="dxa" w:w="966"/>
            <w:tcBorders/>
          </w:tcPr>
          <w:p>
            <w:pPr>
              <w:keepNext/>
              <w:spacing w:before="10" w:after="10" w:line="240" w:lineRule="auto"/>
              <w:jc w:val="left"/>
            </w:pPr>
            <w:r>
              <w:rPr>
                <w:rFonts w:asciiTheme="minorHAnsi" w:hAnsiTheme="minorHAnsi" w:cstheme="minorHAnsi"/>
                <w:sz w:val="16"/>
                <w:szCs w:val="16"/>
              </w:rPr>
              <w:t xml:space="preserve">2,047</w:t>
            </w:r>
          </w:p>
        </w:tc>
        <w:tc>
          <w:tcPr>
            <w:tcW w:type="dxa" w:w="1610"/>
            <w:tcBorders/>
          </w:tcPr>
          <w:p>
            <w:pPr>
              <w:keepNext/>
              <w:spacing w:before="10" w:after="10" w:line="240" w:lineRule="auto"/>
              <w:jc w:val="left"/>
            </w:pPr>
            <w:r>
              <w:rPr>
                <w:rFonts w:asciiTheme="minorHAnsi" w:hAnsiTheme="minorHAnsi" w:cstheme="minorHAnsi"/>
                <w:sz w:val="16"/>
                <w:szCs w:val="16"/>
              </w:rPr>
              <w:t xml:space="preserve">−1.75 (−4.0)</w:t>
            </w:r>
          </w:p>
        </w:tc>
        <w:tc>
          <w:tcPr>
            <w:tcW w:type="dxa" w:w="1610"/>
            <w:tcBorders/>
          </w:tcPr>
          <w:p>
            <w:pPr>
              <w:keepNext/>
              <w:spacing w:before="10" w:after="10" w:line="240" w:lineRule="auto"/>
              <w:jc w:val="left"/>
            </w:pPr>
            <w:r>
              <w:rPr>
                <w:rFonts w:asciiTheme="minorHAnsi" w:hAnsiTheme="minorHAnsi" w:cstheme="minorHAnsi"/>
                <w:sz w:val="16"/>
                <w:szCs w:val="16"/>
              </w:rPr>
              <w:t xml:space="preserve">0.14 (0.6)</w:t>
            </w:r>
          </w:p>
        </w:tc>
        <w:tc>
          <w:tcPr>
            <w:tcW w:type="dxa" w:w="1825"/>
            <w:tcBorders/>
          </w:tcPr>
          <w:p>
            <w:pPr>
              <w:keepNext/>
              <w:spacing w:before="10" w:after="10" w:line="240" w:lineRule="auto"/>
              <w:jc w:val="left"/>
            </w:pPr>
            <w:r>
              <w:rPr>
                <w:rFonts w:asciiTheme="minorHAnsi" w:hAnsiTheme="minorHAnsi" w:cstheme="minorHAnsi"/>
                <w:sz w:val="16"/>
                <w:szCs w:val="16"/>
              </w:rPr>
              <w:t xml:space="preserve">−1.65 (−3.4)</w:t>
            </w:r>
          </w:p>
        </w:tc>
        <w:tc>
          <w:tcPr>
            <w:tcW w:type="dxa" w:w="1610"/>
            <w:tcBorders/>
          </w:tcPr>
          <w:p>
            <w:pPr>
              <w:keepNext/>
              <w:spacing w:before="10" w:after="10" w:line="240" w:lineRule="auto"/>
              <w:jc w:val="left"/>
            </w:pPr>
            <w:r>
              <w:rPr>
                <w:rFonts w:asciiTheme="minorHAnsi" w:hAnsiTheme="minorHAnsi" w:cstheme="minorHAnsi"/>
                <w:sz w:val="16"/>
                <w:szCs w:val="16"/>
              </w:rPr>
              <w:t xml:space="preserve">−0.36 (−0.6)</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Exact limit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1,025</w:t>
            </w:r>
          </w:p>
        </w:tc>
        <w:tc>
          <w:tcPr>
            <w:tcW w:type="dxa" w:w="1610"/>
            <w:tcBorders/>
          </w:tcPr>
          <w:p>
            <w:pPr>
              <w:keepNext/>
              <w:spacing w:before="10" w:after="10" w:line="240" w:lineRule="auto"/>
              <w:jc w:val="left"/>
            </w:pPr>
            <w:r>
              <w:rPr>
                <w:rFonts w:asciiTheme="minorHAnsi" w:hAnsiTheme="minorHAnsi" w:cstheme="minorHAnsi"/>
                <w:sz w:val="16"/>
                <w:szCs w:val="16"/>
              </w:rPr>
              <w:t xml:space="preserve">−1.30 (−5.1)</w:t>
            </w:r>
          </w:p>
        </w:tc>
        <w:tc>
          <w:tcPr>
            <w:tcW w:type="dxa" w:w="1610"/>
            <w:tcBorders/>
          </w:tcPr>
          <w:p>
            <w:pPr>
              <w:keepNext/>
              <w:spacing w:before="10" w:after="10" w:line="240" w:lineRule="auto"/>
              <w:jc w:val="left"/>
            </w:pPr>
            <w:r>
              <w:rPr>
                <w:rFonts w:asciiTheme="minorHAnsi" w:hAnsiTheme="minorHAnsi" w:cstheme="minorHAnsi"/>
                <w:sz w:val="16"/>
                <w:szCs w:val="16"/>
              </w:rPr>
              <w:t xml:space="preserve">0.41 (1.7)</w:t>
            </w:r>
          </w:p>
        </w:tc>
        <w:tc>
          <w:tcPr>
            <w:tcW w:type="dxa" w:w="1825"/>
            <w:tcBorders/>
          </w:tcPr>
          <w:p>
            <w:pPr>
              <w:keepNext/>
              <w:spacing w:before="10" w:after="10" w:line="240" w:lineRule="auto"/>
              <w:jc w:val="left"/>
            </w:pPr>
            <w:r>
              <w:rPr>
                <w:rFonts w:asciiTheme="minorHAnsi" w:hAnsiTheme="minorHAnsi" w:cstheme="minorHAnsi"/>
                <w:sz w:val="16"/>
                <w:szCs w:val="16"/>
              </w:rPr>
              <w:t xml:space="preserve">−0.93 (−5.7)</w:t>
            </w:r>
          </w:p>
        </w:tc>
        <w:tc>
          <w:tcPr>
            <w:tcW w:type="dxa" w:w="1610"/>
            <w:tcBorders/>
          </w:tcPr>
          <w:p>
            <w:pPr>
              <w:keepNext/>
              <w:spacing w:before="10" w:after="10" w:line="240" w:lineRule="auto"/>
              <w:jc w:val="left"/>
            </w:pPr>
            <w:r>
              <w:rPr>
                <w:rFonts w:asciiTheme="minorHAnsi" w:hAnsiTheme="minorHAnsi" w:cstheme="minorHAnsi"/>
                <w:sz w:val="16"/>
                <w:szCs w:val="16"/>
              </w:rPr>
              <w:t xml:space="preserve">−0.98 (−1.9)</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Near hit</w:t>
            </w:r>
          </w:p>
        </w:tc>
        <w:tc>
          <w:tcPr>
            <w:tcW w:type="dxa" w:w="966"/>
            <w:tcBorders/>
          </w:tcPr>
          <w:p>
            <w:pPr>
              <w:keepNext/>
              <w:spacing w:before="10" w:after="10" w:line="240" w:lineRule="auto"/>
              <w:jc w:val="left"/>
            </w:pPr>
            <w:r>
              <w:rPr>
                <w:rFonts w:asciiTheme="minorHAnsi" w:hAnsiTheme="minorHAnsi" w:cstheme="minorHAnsi"/>
                <w:sz w:val="16"/>
                <w:szCs w:val="16"/>
              </w:rPr>
              <w:t xml:space="preserve">1,086</w:t>
            </w:r>
          </w:p>
        </w:tc>
        <w:tc>
          <w:tcPr>
            <w:tcW w:type="dxa" w:w="1610"/>
            <w:tcBorders/>
          </w:tcPr>
          <w:p>
            <w:pPr>
              <w:keepNext/>
              <w:spacing w:before="10" w:after="10" w:line="240" w:lineRule="auto"/>
              <w:jc w:val="left"/>
            </w:pPr>
            <w:r>
              <w:rPr>
                <w:rFonts w:asciiTheme="minorHAnsi" w:hAnsiTheme="minorHAnsi" w:cstheme="minorHAnsi"/>
                <w:sz w:val="16"/>
                <w:szCs w:val="16"/>
              </w:rPr>
              <w:t xml:space="preserve">−0.66 (−3.7)</w:t>
            </w:r>
          </w:p>
        </w:tc>
        <w:tc>
          <w:tcPr>
            <w:tcW w:type="dxa" w:w="1610"/>
            <w:tcBorders/>
          </w:tcPr>
          <w:p>
            <w:pPr>
              <w:keepNext/>
              <w:spacing w:before="10" w:after="10" w:line="240" w:lineRule="auto"/>
              <w:jc w:val="left"/>
            </w:pPr>
            <w:r>
              <w:rPr>
                <w:rFonts w:asciiTheme="minorHAnsi" w:hAnsiTheme="minorHAnsi" w:cstheme="minorHAnsi"/>
                <w:sz w:val="16"/>
                <w:szCs w:val="16"/>
              </w:rPr>
              <w:t xml:space="preserve">0.20 (0.9)</w:t>
            </w:r>
          </w:p>
        </w:tc>
        <w:tc>
          <w:tcPr>
            <w:tcW w:type="dxa" w:w="1825"/>
            <w:tcBorders/>
          </w:tcPr>
          <w:p>
            <w:pPr>
              <w:keepNext/>
              <w:spacing w:before="10" w:after="10" w:line="240" w:lineRule="auto"/>
              <w:jc w:val="left"/>
            </w:pPr>
            <w:r>
              <w:rPr>
                <w:rFonts w:asciiTheme="minorHAnsi" w:hAnsiTheme="minorHAnsi" w:cstheme="minorHAnsi"/>
                <w:sz w:val="16"/>
                <w:szCs w:val="16"/>
              </w:rPr>
              <w:t xml:space="preserve">−0.47 (−2.9)</w:t>
            </w:r>
          </w:p>
        </w:tc>
        <w:tc>
          <w:tcPr>
            <w:tcW w:type="dxa" w:w="1610"/>
            <w:tcBorders/>
          </w:tcPr>
          <w:p>
            <w:pPr>
              <w:keepNext/>
              <w:spacing w:before="10" w:after="10" w:line="240" w:lineRule="auto"/>
              <w:jc w:val="left"/>
            </w:pPr>
            <w:r>
              <w:rPr>
                <w:rFonts w:asciiTheme="minorHAnsi" w:hAnsiTheme="minorHAnsi" w:cstheme="minorHAnsi"/>
                <w:sz w:val="16"/>
                <w:szCs w:val="16"/>
              </w:rPr>
              <w:t xml:space="preserve">−0.66 (−1.4)</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Locked all day</w:t>
            </w:r>
          </w:p>
        </w:tc>
        <w:tc>
          <w:tcPr>
            <w:tcW w:type="dxa" w:w="966"/>
            <w:tcBorders/>
          </w:tcPr>
          <w:p>
            <w:pPr>
              <w:keepNext/>
              <w:spacing w:before="10" w:after="10" w:line="240" w:lineRule="auto"/>
              <w:jc w:val="left"/>
            </w:pPr>
            <w:r>
              <w:rPr>
                <w:rFonts w:asciiTheme="minorHAnsi" w:hAnsiTheme="minorHAnsi" w:cstheme="minorHAnsi"/>
                <w:sz w:val="16"/>
                <w:szCs w:val="16"/>
              </w:rPr>
              <w:t xml:space="preserve">260</w:t>
            </w:r>
          </w:p>
        </w:tc>
        <w:tc>
          <w:tcPr>
            <w:tcW w:type="dxa" w:w="1610"/>
            <w:tcBorders/>
          </w:tcPr>
          <w:p>
            <w:pPr>
              <w:keepNext/>
              <w:spacing w:before="10" w:after="10" w:line="240" w:lineRule="auto"/>
              <w:jc w:val="left"/>
            </w:pPr>
            <w:r>
              <w:rPr>
                <w:rFonts w:asciiTheme="minorHAnsi" w:hAnsiTheme="minorHAnsi" w:cstheme="minorHAnsi"/>
                <w:sz w:val="16"/>
                <w:szCs w:val="16"/>
              </w:rPr>
              <w:t xml:space="preserve">−2.50 (−4.8)</w:t>
            </w:r>
          </w:p>
        </w:tc>
        <w:tc>
          <w:tcPr>
            <w:tcW w:type="dxa" w:w="1610"/>
            <w:tcBorders/>
          </w:tcPr>
          <w:p>
            <w:pPr>
              <w:keepNext/>
              <w:spacing w:before="10" w:after="10" w:line="240" w:lineRule="auto"/>
              <w:jc w:val="left"/>
            </w:pPr>
            <w:r>
              <w:rPr>
                <w:rFonts w:asciiTheme="minorHAnsi" w:hAnsiTheme="minorHAnsi" w:cstheme="minorHAnsi"/>
                <w:sz w:val="16"/>
                <w:szCs w:val="16"/>
              </w:rPr>
              <w:t xml:space="preserve">1.11 (2.4)</w:t>
            </w:r>
          </w:p>
        </w:tc>
        <w:tc>
          <w:tcPr>
            <w:tcW w:type="dxa" w:w="1825"/>
            <w:tcBorders/>
          </w:tcPr>
          <w:p>
            <w:pPr>
              <w:keepNext/>
              <w:spacing w:before="10" w:after="10" w:line="240" w:lineRule="auto"/>
              <w:jc w:val="left"/>
            </w:pPr>
            <w:r>
              <w:rPr>
                <w:rFonts w:asciiTheme="minorHAnsi" w:hAnsiTheme="minorHAnsi" w:cstheme="minorHAnsi"/>
                <w:sz w:val="16"/>
                <w:szCs w:val="16"/>
              </w:rPr>
              <w:t xml:space="preserve">−1.44 (−3.4)</w:t>
            </w:r>
          </w:p>
        </w:tc>
        <w:tc>
          <w:tcPr>
            <w:tcW w:type="dxa" w:w="1610"/>
            <w:tcBorders/>
          </w:tcPr>
          <w:p>
            <w:pPr>
              <w:keepNext/>
              <w:spacing w:before="10" w:after="10" w:line="240" w:lineRule="auto"/>
              <w:jc w:val="left"/>
            </w:pPr>
            <w:r>
              <w:rPr>
                <w:rFonts w:asciiTheme="minorHAnsi" w:hAnsiTheme="minorHAnsi" w:cstheme="minorHAnsi"/>
                <w:sz w:val="16"/>
                <w:szCs w:val="16"/>
              </w:rPr>
              <w:t xml:space="preserve">−3.91 (−3.0)</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First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1,059</w:t>
            </w:r>
          </w:p>
        </w:tc>
        <w:tc>
          <w:tcPr>
            <w:tcW w:type="dxa" w:w="1610"/>
            <w:tcBorders/>
          </w:tcPr>
          <w:p>
            <w:pPr>
              <w:keepNext/>
              <w:spacing w:before="10" w:after="10" w:line="240" w:lineRule="auto"/>
              <w:jc w:val="left"/>
            </w:pPr>
            <w:r>
              <w:rPr>
                <w:rFonts w:asciiTheme="minorHAnsi" w:hAnsiTheme="minorHAnsi" w:cstheme="minorHAnsi"/>
                <w:sz w:val="16"/>
                <w:szCs w:val="16"/>
              </w:rPr>
              <w:t xml:space="preserve">−0.55 (−2.4)</w:t>
            </w:r>
          </w:p>
        </w:tc>
        <w:tc>
          <w:tcPr>
            <w:tcW w:type="dxa" w:w="1610"/>
            <w:tcBorders/>
          </w:tcPr>
          <w:p>
            <w:pPr>
              <w:keepNext/>
              <w:spacing w:before="10" w:after="10" w:line="240" w:lineRule="auto"/>
              <w:jc w:val="left"/>
            </w:pPr>
            <w:r>
              <w:rPr>
                <w:rFonts w:asciiTheme="minorHAnsi" w:hAnsiTheme="minorHAnsi" w:cstheme="minorHAnsi"/>
                <w:sz w:val="16"/>
                <w:szCs w:val="16"/>
              </w:rPr>
              <w:t xml:space="preserve">−0.09 (−0.3)</w:t>
            </w:r>
          </w:p>
        </w:tc>
        <w:tc>
          <w:tcPr>
            <w:tcW w:type="dxa" w:w="1825"/>
            <w:tcBorders/>
          </w:tcPr>
          <w:p>
            <w:pPr>
              <w:keepNext/>
              <w:spacing w:before="10" w:after="10" w:line="240" w:lineRule="auto"/>
              <w:jc w:val="left"/>
            </w:pPr>
            <w:r>
              <w:rPr>
                <w:rFonts w:asciiTheme="minorHAnsi" w:hAnsiTheme="minorHAnsi" w:cstheme="minorHAnsi"/>
                <w:sz w:val="16"/>
                <w:szCs w:val="16"/>
              </w:rPr>
              <w:t xml:space="preserve">−0.63 (−2.9)</w:t>
            </w:r>
          </w:p>
        </w:tc>
        <w:tc>
          <w:tcPr>
            <w:tcW w:type="dxa" w:w="1610"/>
            <w:tcBorders/>
          </w:tcPr>
          <w:p>
            <w:pPr>
              <w:keepNext/>
              <w:spacing w:before="10" w:after="10" w:line="240" w:lineRule="auto"/>
              <w:jc w:val="left"/>
            </w:pPr>
            <w:r>
              <w:rPr>
                <w:rFonts w:asciiTheme="minorHAnsi" w:hAnsiTheme="minorHAnsi" w:cstheme="minorHAnsi"/>
                <w:sz w:val="16"/>
                <w:szCs w:val="16"/>
              </w:rPr>
              <w:t xml:space="preserve">−1.69 (−5.1)</w:t>
            </w:r>
          </w:p>
        </w:tc>
      </w:tr>
      <w:tr>
        <w:trPr>
          <w:cantSplit/>
        </w:trPr>
        <w:tc>
          <w:tcPr>
            <w:tcW w:type="dxa" w:w="2576"/>
            <w:tcBorders/>
          </w:tcPr>
          <w:p>
            <w:pPr>
              <w:keepNext/>
              <w:spacing w:before="10" w:after="10" w:line="240" w:lineRule="auto"/>
              <w:jc w:val="left"/>
            </w:pPr>
            <w:r>
              <w:rPr>
                <w:rFonts w:asciiTheme="minorHAnsi" w:hAnsiTheme="minorHAnsi" w:cstheme="minorHAnsi"/>
                <w:sz w:val="16"/>
                <w:szCs w:val="16"/>
              </w:rPr>
              <w:t xml:space="preserve">Second half of sample</w:t>
            </w:r>
          </w:p>
        </w:tc>
        <w:tc>
          <w:tcPr>
            <w:tcW w:type="dxa" w:w="966"/>
            <w:tcBorders/>
          </w:tcPr>
          <w:p>
            <w:pPr>
              <w:keepNext/>
              <w:spacing w:before="10" w:after="10" w:line="240" w:lineRule="auto"/>
              <w:jc w:val="left"/>
            </w:pPr>
            <w:r>
              <w:rPr>
                <w:rFonts w:asciiTheme="minorHAnsi" w:hAnsiTheme="minorHAnsi" w:cstheme="minorHAnsi"/>
                <w:sz w:val="16"/>
                <w:szCs w:val="16"/>
              </w:rPr>
              <w:t xml:space="preserve">1,052</w:t>
            </w:r>
          </w:p>
        </w:tc>
        <w:tc>
          <w:tcPr>
            <w:tcW w:type="dxa" w:w="1610"/>
            <w:tcBorders/>
          </w:tcPr>
          <w:p>
            <w:pPr>
              <w:keepNext/>
              <w:spacing w:before="10" w:after="10" w:line="240" w:lineRule="auto"/>
              <w:jc w:val="left"/>
            </w:pPr>
            <w:r>
              <w:rPr>
                <w:rFonts w:asciiTheme="minorHAnsi" w:hAnsiTheme="minorHAnsi" w:cstheme="minorHAnsi"/>
                <w:sz w:val="16"/>
                <w:szCs w:val="16"/>
              </w:rPr>
              <w:t xml:space="preserve">−1.40 (−6.5)</w:t>
            </w:r>
          </w:p>
        </w:tc>
        <w:tc>
          <w:tcPr>
            <w:tcW w:type="dxa" w:w="1610"/>
            <w:tcBorders/>
          </w:tcPr>
          <w:p>
            <w:pPr>
              <w:keepNext/>
              <w:spacing w:before="10" w:after="10" w:line="240" w:lineRule="auto"/>
              <w:jc w:val="left"/>
            </w:pPr>
            <w:r>
              <w:rPr>
                <w:rFonts w:asciiTheme="minorHAnsi" w:hAnsiTheme="minorHAnsi" w:cstheme="minorHAnsi"/>
                <w:sz w:val="16"/>
                <w:szCs w:val="16"/>
              </w:rPr>
              <w:t xml:space="preserve">0.70 (4.9)</w:t>
            </w:r>
          </w:p>
        </w:tc>
        <w:tc>
          <w:tcPr>
            <w:tcW w:type="dxa" w:w="1825"/>
            <w:tcBorders/>
          </w:tcPr>
          <w:p>
            <w:pPr>
              <w:keepNext/>
              <w:spacing w:before="10" w:after="10" w:line="240" w:lineRule="auto"/>
              <w:jc w:val="left"/>
            </w:pPr>
            <w:r>
              <w:rPr>
                <w:rFonts w:asciiTheme="minorHAnsi" w:hAnsiTheme="minorHAnsi" w:cstheme="minorHAnsi"/>
                <w:sz w:val="16"/>
                <w:szCs w:val="16"/>
              </w:rPr>
              <w:t xml:space="preserve">−0.75 (−4.3)</w:t>
            </w:r>
          </w:p>
        </w:tc>
        <w:tc>
          <w:tcPr>
            <w:tcW w:type="dxa" w:w="1610"/>
            <w:tcBorders/>
          </w:tcPr>
          <w:p>
            <w:pPr>
              <w:keepNext/>
              <w:spacing w:before="10" w:after="10" w:line="240" w:lineRule="auto"/>
              <w:jc w:val="left"/>
            </w:pPr>
            <w:r>
              <w:rPr>
                <w:rFonts w:asciiTheme="minorHAnsi" w:hAnsiTheme="minorHAnsi" w:cstheme="minorHAnsi"/>
                <w:sz w:val="16"/>
                <w:szCs w:val="16"/>
              </w:rPr>
              <w:t xml:space="preserve">0.07 (0.1)</w:t>
            </w:r>
          </w:p>
        </w:tc>
      </w:tr>
      <w:tr>
        <w:trPr>
          <w:cantSplit/>
        </w:trPr>
        <w:tc>
          <w:tcPr>
            <w:tcW w:type="dxa" w:w="2576"/>
            <w:tcBorders>
              <w:bottom w:val="single" w:sz="8" w:space="0" w:color="000000"/>
            </w:tcBorders>
          </w:tcPr>
          <w:p>
            <w:pPr>
              <w:spacing w:before="10" w:after="10" w:line="240" w:lineRule="auto"/>
              <w:jc w:val="left"/>
            </w:pPr>
            <w:r>
              <w:rPr>
                <w:rFonts w:asciiTheme="minorHAnsi" w:hAnsiTheme="minorHAnsi" w:cstheme="minorHAnsi"/>
                <w:sz w:val="16"/>
                <w:szCs w:val="16"/>
              </w:rPr>
              <w:t xml:space="preserve">Excluding days with market &lt; −2%</w:t>
            </w:r>
          </w:p>
        </w:tc>
        <w:tc>
          <w:tcPr>
            <w:tcW w:type="dxa" w:w="966"/>
            <w:tcBorders>
              <w:bottom w:val="single" w:sz="8" w:space="0" w:color="000000"/>
            </w:tcBorders>
          </w:tcPr>
          <w:p>
            <w:pPr>
              <w:spacing w:before="10" w:after="10" w:line="240" w:lineRule="auto"/>
              <w:jc w:val="left"/>
            </w:pPr>
            <w:r>
              <w:rPr>
                <w:rFonts w:asciiTheme="minorHAnsi" w:hAnsiTheme="minorHAnsi" w:cstheme="minorHAnsi"/>
                <w:sz w:val="16"/>
                <w:szCs w:val="16"/>
              </w:rPr>
              <w:t xml:space="preserve">740</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−1.83 (−8.7)</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0.90 (5.3)</w:t>
            </w:r>
          </w:p>
        </w:tc>
        <w:tc>
          <w:tcPr>
            <w:tcW w:type="dxa" w:w="18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−0.99 (−4.5)</w:t>
            </w:r>
          </w:p>
        </w:tc>
        <w:tc>
          <w:tcPr>
            <w:tcW w:type="dxa" w:w="1610"/>
            <w:tcBorders>
              <w:bottom w:val="single" w:sz="8" w:space="0" w:color="000000"/>
            </w:tcBorders>
          </w:tcPr>
          <w:p>
            <w:pPr>
              <w:spacing w:before="10" w:after="10" w:line="240" w:lineRule="auto"/>
              <w:jc w:val="left"/>
            </w:pPr>
            <w:r>
              <w:rPr>
                <w:rFonts w:asciiTheme="minorHAnsi" w:hAnsiTheme="minorHAnsi" w:cstheme="minorHAnsi"/>
                <w:sz w:val="16"/>
                <w:szCs w:val="16"/>
              </w:rPr>
              <w:t xml:space="preserve">−0.81 (−1.7)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Benchmarks are the volume-weighted market (weights lagged to day</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 or same-date controls in the same liquidity tercile. Crash days have a market return below −2%. Components compound, so they need not sum.</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3</w:t>
      </w:r>
      <w:r>
        <w:rPr>
          <w:rFonts w:asciiTheme="minorHAnsi" w:eastAsia="Georgia" w:hAnsiTheme="minorHAnsi" w:cstheme="minorHAnsi"/>
          <w:color w:val="000000"/>
          <w:sz w:val="18"/>
          <w:szCs w:val="18"/>
          <w:bdr w:val="nil"/>
          <w:lang w:val="hr-HR" w:eastAsia="es-MX"/>
        </w:rPr>
        <w:t xml:space="preserve"> Limit closes versus near-limit moves</w:t>
      </w:r>
    </w:p>
    <w:tbl>
      <w:tblPr>
        <w:tblW w:type="pct" w:w="5000"/>
        <w:jc w:val="center"/>
        <w:tblLayout w:type="fixed"/>
      </w:tblPr>
      <w:tblGrid>
        <w:gridCol w:w="2588"/>
        <w:gridCol w:w="1522"/>
        <w:gridCol w:w="1522"/>
        <w:gridCol w:w="1725"/>
        <w:gridCol w:w="1522"/>
        <w:gridCol w:w="1319"/>
      </w:tblGrid>
      <w:tr>
        <w:trPr>
          <w:cantSplit/>
          <w:tblHeader w:val="true"/>
        </w:trPr>
        <w:tc>
          <w:tcPr>
            <w:tcW w:type="dxa" w:w="258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Contrast</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72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52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319"/>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Comparison stock-days</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5–6.5%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2.66 (14.0)</w:t>
            </w:r>
          </w:p>
        </w:tc>
        <w:tc>
          <w:tcPr>
            <w:tcW w:type="dxa" w:w="1522"/>
            <w:tcBorders/>
          </w:tcPr>
          <w:p>
            <w:pPr>
              <w:keepNext/>
              <w:spacing w:before="10" w:after="10" w:line="240" w:lineRule="auto"/>
              <w:jc w:val="left"/>
            </w:pPr>
            <w:r>
              <w:rPr>
                <w:rFonts w:asciiTheme="minorHAnsi" w:hAnsiTheme="minorHAnsi" w:cstheme="minorHAnsi"/>
                <w:sz w:val="16"/>
                <w:szCs w:val="16"/>
              </w:rPr>
              <w:t xml:space="preserve">−0.31 (−2.1)</w:t>
            </w:r>
          </w:p>
        </w:tc>
        <w:tc>
          <w:tcPr>
            <w:tcW w:type="dxa" w:w="1725"/>
            <w:tcBorders/>
          </w:tcPr>
          <w:p>
            <w:pPr>
              <w:keepNext/>
              <w:spacing w:before="10" w:after="10" w:line="240" w:lineRule="auto"/>
              <w:jc w:val="left"/>
            </w:pPr>
            <w:r>
              <w:rPr>
                <w:rFonts w:asciiTheme="minorHAnsi" w:hAnsiTheme="minorHAnsi" w:cstheme="minorHAnsi"/>
                <w:sz w:val="16"/>
                <w:szCs w:val="16"/>
              </w:rPr>
              <w:t xml:space="preserve">2.32 (7.6)</w:t>
            </w:r>
          </w:p>
        </w:tc>
        <w:tc>
          <w:tcPr>
            <w:tcW w:type="dxa" w:w="1522"/>
            <w:tcBorders/>
          </w:tcPr>
          <w:p>
            <w:pPr>
              <w:keepNext/>
              <w:spacing w:before="10" w:after="10" w:line="240" w:lineRule="auto"/>
              <w:jc w:val="left"/>
            </w:pPr>
            <w:r>
              <w:rPr>
                <w:rFonts w:asciiTheme="minorHAnsi" w:hAnsiTheme="minorHAnsi" w:cstheme="minorHAnsi"/>
                <w:sz w:val="16"/>
                <w:szCs w:val="16"/>
              </w:rPr>
              <w:t xml:space="preserve">−0.02 (−0.1)</w:t>
            </w:r>
          </w:p>
        </w:tc>
        <w:tc>
          <w:tcPr>
            <w:tcW w:type="dxa" w:w="1319"/>
            <w:tcBorders/>
          </w:tcPr>
          <w:p>
            <w:pPr>
              <w:keepNext/>
              <w:spacing w:before="10" w:after="10" w:line="240" w:lineRule="auto"/>
              <w:jc w:val="left"/>
            </w:pPr>
            <w:r>
              <w:rPr>
                <w:rFonts w:asciiTheme="minorHAnsi" w:hAnsiTheme="minorHAnsi" w:cstheme="minorHAnsi"/>
                <w:sz w:val="16"/>
                <w:szCs w:val="16"/>
              </w:rPr>
              <w:t xml:space="preserve">1,751</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3.14 (14.5)</w:t>
            </w:r>
          </w:p>
        </w:tc>
        <w:tc>
          <w:tcPr>
            <w:tcW w:type="dxa" w:w="1522"/>
            <w:tcBorders/>
          </w:tcPr>
          <w:p>
            <w:pPr>
              <w:keepNext/>
              <w:spacing w:before="10" w:after="10" w:line="240" w:lineRule="auto"/>
              <w:jc w:val="left"/>
            </w:pPr>
            <w:r>
              <w:rPr>
                <w:rFonts w:asciiTheme="minorHAnsi" w:hAnsiTheme="minorHAnsi" w:cstheme="minorHAnsi"/>
                <w:sz w:val="16"/>
                <w:szCs w:val="16"/>
              </w:rPr>
              <w:t xml:space="preserve">−0.66 (−3.4)</w:t>
            </w:r>
          </w:p>
        </w:tc>
        <w:tc>
          <w:tcPr>
            <w:tcW w:type="dxa" w:w="1725"/>
            <w:tcBorders/>
          </w:tcPr>
          <w:p>
            <w:pPr>
              <w:keepNext/>
              <w:spacing w:before="10" w:after="10" w:line="240" w:lineRule="auto"/>
              <w:jc w:val="left"/>
            </w:pPr>
            <w:r>
              <w:rPr>
                <w:rFonts w:asciiTheme="minorHAnsi" w:hAnsiTheme="minorHAnsi" w:cstheme="minorHAnsi"/>
                <w:sz w:val="16"/>
                <w:szCs w:val="16"/>
              </w:rPr>
              <w:t xml:space="preserve">2.47 (7.2)</w:t>
            </w:r>
          </w:p>
        </w:tc>
        <w:tc>
          <w:tcPr>
            <w:tcW w:type="dxa" w:w="1522"/>
            <w:tcBorders/>
          </w:tcPr>
          <w:p>
            <w:pPr>
              <w:keepNext/>
              <w:spacing w:before="10" w:after="10" w:line="240" w:lineRule="auto"/>
              <w:jc w:val="left"/>
            </w:pPr>
            <w:r>
              <w:rPr>
                <w:rFonts w:asciiTheme="minorHAnsi" w:hAnsiTheme="minorHAnsi" w:cstheme="minorHAnsi"/>
                <w:sz w:val="16"/>
                <w:szCs w:val="16"/>
              </w:rPr>
              <w:t xml:space="preserve">−0.49 (−1.5)</w:t>
            </w:r>
          </w:p>
        </w:tc>
        <w:tc>
          <w:tcPr>
            <w:tcW w:type="dxa" w:w="1319"/>
            <w:tcBorders/>
          </w:tcPr>
          <w:p>
            <w:pPr>
              <w:keepNext/>
              <w:spacing w:before="10" w:after="10" w:line="240" w:lineRule="auto"/>
              <w:jc w:val="left"/>
            </w:pPr>
            <w:r>
              <w:rPr>
                <w:rFonts w:asciiTheme="minorHAnsi" w:hAnsiTheme="minorHAnsi" w:cstheme="minorHAnsi"/>
                <w:sz w:val="16"/>
                <w:szCs w:val="16"/>
              </w:rPr>
              <w:t xml:space="preserve">679</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Ceiling vs 3–5% rises</w:t>
            </w:r>
          </w:p>
        </w:tc>
        <w:tc>
          <w:tcPr>
            <w:tcW w:type="dxa" w:w="1522"/>
            <w:tcBorders/>
          </w:tcPr>
          <w:p>
            <w:pPr>
              <w:keepNext/>
              <w:spacing w:before="10" w:after="10" w:line="240" w:lineRule="auto"/>
              <w:jc w:val="left"/>
            </w:pPr>
            <w:r>
              <w:rPr>
                <w:rFonts w:asciiTheme="minorHAnsi" w:hAnsiTheme="minorHAnsi" w:cstheme="minorHAnsi"/>
                <w:sz w:val="16"/>
                <w:szCs w:val="16"/>
              </w:rPr>
              <w:t xml:space="preserve">2.40 (11.6)</w:t>
            </w:r>
          </w:p>
        </w:tc>
        <w:tc>
          <w:tcPr>
            <w:tcW w:type="dxa" w:w="1522"/>
            <w:tcBorders/>
          </w:tcPr>
          <w:p>
            <w:pPr>
              <w:keepNext/>
              <w:spacing w:before="10" w:after="10" w:line="240" w:lineRule="auto"/>
              <w:jc w:val="left"/>
            </w:pPr>
            <w:r>
              <w:rPr>
                <w:rFonts w:asciiTheme="minorHAnsi" w:hAnsiTheme="minorHAnsi" w:cstheme="minorHAnsi"/>
                <w:sz w:val="16"/>
                <w:szCs w:val="16"/>
              </w:rPr>
              <w:t xml:space="preserve">−0.32 (−2.2)</w:t>
            </w:r>
          </w:p>
        </w:tc>
        <w:tc>
          <w:tcPr>
            <w:tcW w:type="dxa" w:w="1725"/>
            <w:tcBorders/>
          </w:tcPr>
          <w:p>
            <w:pPr>
              <w:keepNext/>
              <w:spacing w:before="10" w:after="10" w:line="240" w:lineRule="auto"/>
              <w:jc w:val="left"/>
            </w:pPr>
            <w:r>
              <w:rPr>
                <w:rFonts w:asciiTheme="minorHAnsi" w:hAnsiTheme="minorHAnsi" w:cstheme="minorHAnsi"/>
                <w:sz w:val="16"/>
                <w:szCs w:val="16"/>
              </w:rPr>
              <w:t xml:space="preserve">2.05 (6.1)</w:t>
            </w:r>
          </w:p>
        </w:tc>
        <w:tc>
          <w:tcPr>
            <w:tcW w:type="dxa" w:w="1522"/>
            <w:tcBorders/>
          </w:tcPr>
          <w:p>
            <w:pPr>
              <w:keepNext/>
              <w:spacing w:before="10" w:after="10" w:line="240" w:lineRule="auto"/>
              <w:jc w:val="left"/>
            </w:pPr>
            <w:r>
              <w:rPr>
                <w:rFonts w:asciiTheme="minorHAnsi" w:hAnsiTheme="minorHAnsi" w:cstheme="minorHAnsi"/>
                <w:sz w:val="16"/>
                <w:szCs w:val="16"/>
              </w:rPr>
              <w:t xml:space="preserve">−0.45 (−2.2)</w:t>
            </w:r>
          </w:p>
        </w:tc>
        <w:tc>
          <w:tcPr>
            <w:tcW w:type="dxa" w:w="1319"/>
            <w:tcBorders/>
          </w:tcPr>
          <w:p>
            <w:pPr>
              <w:keepNext/>
              <w:spacing w:before="10" w:after="10" w:line="240" w:lineRule="auto"/>
              <w:jc w:val="left"/>
            </w:pPr>
            <w:r>
              <w:rPr>
                <w:rFonts w:asciiTheme="minorHAnsi" w:hAnsiTheme="minorHAnsi" w:cstheme="minorHAnsi"/>
                <w:sz w:val="16"/>
                <w:szCs w:val="16"/>
              </w:rPr>
              <w:t xml:space="preserve">5,932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high</w:t>
            </w:r>
          </w:p>
        </w:tc>
        <w:tc>
          <w:tcPr>
            <w:tcW w:type="dxa" w:w="1522"/>
            <w:tcBorders/>
          </w:tcPr>
          <w:p>
            <w:pPr>
              <w:keepNext/>
              <w:spacing w:before="10" w:after="10" w:line="240" w:lineRule="auto"/>
              <w:jc w:val="left"/>
            </w:pPr>
            <w:r>
              <w:rPr>
                <w:rFonts w:asciiTheme="minorHAnsi" w:hAnsiTheme="minorHAnsi" w:cstheme="minorHAnsi"/>
                <w:sz w:val="16"/>
                <w:szCs w:val="16"/>
              </w:rPr>
              <w:t xml:space="preserve">2.81 (13.1)</w:t>
            </w:r>
          </w:p>
        </w:tc>
        <w:tc>
          <w:tcPr>
            <w:tcW w:type="dxa" w:w="1522"/>
            <w:tcBorders/>
          </w:tcPr>
          <w:p>
            <w:pPr>
              <w:keepNext/>
              <w:spacing w:before="10" w:after="10" w:line="240" w:lineRule="auto"/>
              <w:jc w:val="left"/>
            </w:pPr>
            <w:r>
              <w:rPr>
                <w:rFonts w:asciiTheme="minorHAnsi" w:hAnsiTheme="minorHAnsi" w:cstheme="minorHAnsi"/>
                <w:sz w:val="16"/>
                <w:szCs w:val="16"/>
              </w:rPr>
              <w:t xml:space="preserve">−0.61 (−3.8)</w:t>
            </w:r>
          </w:p>
        </w:tc>
        <w:tc>
          <w:tcPr>
            <w:tcW w:type="dxa" w:w="1725"/>
            <w:tcBorders/>
          </w:tcPr>
          <w:p>
            <w:pPr>
              <w:keepNext/>
              <w:spacing w:before="10" w:after="10" w:line="240" w:lineRule="auto"/>
              <w:jc w:val="left"/>
            </w:pPr>
            <w:r>
              <w:rPr>
                <w:rFonts w:asciiTheme="minorHAnsi" w:hAnsiTheme="minorHAnsi" w:cstheme="minorHAnsi"/>
                <w:sz w:val="16"/>
                <w:szCs w:val="16"/>
              </w:rPr>
              <w:t xml:space="preserve">2.17 (6.4)</w:t>
            </w:r>
          </w:p>
        </w:tc>
        <w:tc>
          <w:tcPr>
            <w:tcW w:type="dxa" w:w="1522"/>
            <w:tcBorders/>
          </w:tcPr>
          <w:p>
            <w:pPr>
              <w:keepNext/>
              <w:spacing w:before="10" w:after="10" w:line="240" w:lineRule="auto"/>
              <w:jc w:val="left"/>
            </w:pPr>
            <w:r>
              <w:rPr>
                <w:rFonts w:asciiTheme="minorHAnsi" w:hAnsiTheme="minorHAnsi" w:cstheme="minorHAnsi"/>
                <w:sz w:val="16"/>
                <w:szCs w:val="16"/>
              </w:rPr>
              <w:t xml:space="preserve">−0.64 (−2.7)</w:t>
            </w:r>
          </w:p>
        </w:tc>
        <w:tc>
          <w:tcPr>
            <w:tcW w:type="dxa" w:w="1319"/>
            <w:tcBorders/>
          </w:tcPr>
          <w:p>
            <w:pPr>
              <w:keepNext/>
              <w:spacing w:before="10" w:after="10" w:line="240" w:lineRule="auto"/>
              <w:jc w:val="left"/>
            </w:pPr>
            <w:r>
              <w:rPr>
                <w:rFonts w:asciiTheme="minorHAnsi" w:hAnsiTheme="minorHAnsi" w:cstheme="minorHAnsi"/>
                <w:sz w:val="16"/>
                <w:szCs w:val="16"/>
              </w:rPr>
              <w:t xml:space="preserve">1,795</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5–6.5%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−1.59 (−9.7)</w:t>
            </w:r>
          </w:p>
        </w:tc>
        <w:tc>
          <w:tcPr>
            <w:tcW w:type="dxa" w:w="1522"/>
            <w:tcBorders/>
          </w:tcPr>
          <w:p>
            <w:pPr>
              <w:keepNext/>
              <w:spacing w:before="10" w:after="10" w:line="240" w:lineRule="auto"/>
              <w:jc w:val="left"/>
            </w:pPr>
            <w:r>
              <w:rPr>
                <w:rFonts w:asciiTheme="minorHAnsi" w:hAnsiTheme="minorHAnsi" w:cstheme="minorHAnsi"/>
                <w:sz w:val="16"/>
                <w:szCs w:val="16"/>
              </w:rPr>
              <w:t xml:space="preserve">−0.07 (−0.3)</w:t>
            </w:r>
          </w:p>
        </w:tc>
        <w:tc>
          <w:tcPr>
            <w:tcW w:type="dxa" w:w="1725"/>
            <w:tcBorders/>
          </w:tcPr>
          <w:p>
            <w:pPr>
              <w:keepNext/>
              <w:spacing w:before="10" w:after="10" w:line="240" w:lineRule="auto"/>
              <w:jc w:val="left"/>
            </w:pPr>
            <w:r>
              <w:rPr>
                <w:rFonts w:asciiTheme="minorHAnsi" w:hAnsiTheme="minorHAnsi" w:cstheme="minorHAnsi"/>
                <w:sz w:val="16"/>
                <w:szCs w:val="16"/>
              </w:rPr>
              <w:t xml:space="preserve">−1.66 (−11.6)</w:t>
            </w:r>
          </w:p>
        </w:tc>
        <w:tc>
          <w:tcPr>
            <w:tcW w:type="dxa" w:w="1522"/>
            <w:tcBorders/>
          </w:tcPr>
          <w:p>
            <w:pPr>
              <w:keepNext/>
              <w:spacing w:before="10" w:after="10" w:line="240" w:lineRule="auto"/>
              <w:jc w:val="left"/>
            </w:pPr>
            <w:r>
              <w:rPr>
                <w:rFonts w:asciiTheme="minorHAnsi" w:hAnsiTheme="minorHAnsi" w:cstheme="minorHAnsi"/>
                <w:sz w:val="16"/>
                <w:szCs w:val="16"/>
              </w:rPr>
              <w:t xml:space="preserve">−1.01 (−2.6)</w:t>
            </w:r>
          </w:p>
        </w:tc>
        <w:tc>
          <w:tcPr>
            <w:tcW w:type="dxa" w:w="1319"/>
            <w:tcBorders/>
          </w:tcPr>
          <w:p>
            <w:pPr>
              <w:keepNext/>
              <w:spacing w:before="10" w:after="10" w:line="240" w:lineRule="auto"/>
              <w:jc w:val="left"/>
            </w:pPr>
            <w:r>
              <w:rPr>
                <w:rFonts w:asciiTheme="minorHAnsi" w:hAnsiTheme="minorHAnsi" w:cstheme="minorHAnsi"/>
                <w:sz w:val="16"/>
                <w:szCs w:val="16"/>
              </w:rPr>
              <w:t xml:space="preserve">1,522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tcPr>
          <w:p>
            <w:pPr>
              <w:keepNext/>
              <w:spacing w:before="10" w:after="10" w:line="240" w:lineRule="auto"/>
              <w:jc w:val="left"/>
            </w:pPr>
            <w:r>
              <w:rPr>
                <w:rFonts w:asciiTheme="minorHAnsi" w:hAnsiTheme="minorHAnsi" w:cstheme="minorHAnsi"/>
                <w:sz w:val="16"/>
                <w:szCs w:val="16"/>
              </w:rPr>
              <w:t xml:space="preserve">−1.81 (−8.7)</w:t>
            </w:r>
          </w:p>
        </w:tc>
        <w:tc>
          <w:tcPr>
            <w:tcW w:type="dxa" w:w="1522"/>
            <w:tcBorders/>
          </w:tcPr>
          <w:p>
            <w:pPr>
              <w:keepNext/>
              <w:spacing w:before="10" w:after="10" w:line="240" w:lineRule="auto"/>
              <w:jc w:val="left"/>
            </w:pPr>
            <w:r>
              <w:rPr>
                <w:rFonts w:asciiTheme="minorHAnsi" w:hAnsiTheme="minorHAnsi" w:cstheme="minorHAnsi"/>
                <w:sz w:val="16"/>
                <w:szCs w:val="16"/>
              </w:rPr>
              <w:t xml:space="preserve">−0.13 (−0.6)</w:t>
            </w:r>
          </w:p>
        </w:tc>
        <w:tc>
          <w:tcPr>
            <w:tcW w:type="dxa" w:w="1725"/>
            <w:tcBorders/>
          </w:tcPr>
          <w:p>
            <w:pPr>
              <w:keepNext/>
              <w:spacing w:before="10" w:after="10" w:line="240" w:lineRule="auto"/>
              <w:jc w:val="left"/>
            </w:pPr>
            <w:r>
              <w:rPr>
                <w:rFonts w:asciiTheme="minorHAnsi" w:hAnsiTheme="minorHAnsi" w:cstheme="minorHAnsi"/>
                <w:sz w:val="16"/>
                <w:szCs w:val="16"/>
              </w:rPr>
              <w:t xml:space="preserve">−1.95 (−10.7)</w:t>
            </w:r>
          </w:p>
        </w:tc>
        <w:tc>
          <w:tcPr>
            <w:tcW w:type="dxa" w:w="1522"/>
            <w:tcBorders/>
          </w:tcPr>
          <w:p>
            <w:pPr>
              <w:keepNext/>
              <w:spacing w:before="10" w:after="10" w:line="240" w:lineRule="auto"/>
              <w:jc w:val="left"/>
            </w:pPr>
            <w:r>
              <w:rPr>
                <w:rFonts w:asciiTheme="minorHAnsi" w:hAnsiTheme="minorHAnsi" w:cstheme="minorHAnsi"/>
                <w:sz w:val="16"/>
                <w:szCs w:val="16"/>
              </w:rPr>
              <w:t xml:space="preserve">−1.23 (−2.8)</w:t>
            </w:r>
          </w:p>
        </w:tc>
        <w:tc>
          <w:tcPr>
            <w:tcW w:type="dxa" w:w="1319"/>
            <w:tcBorders/>
          </w:tcPr>
          <w:p>
            <w:pPr>
              <w:keepNext/>
              <w:spacing w:before="10" w:after="10" w:line="240" w:lineRule="auto"/>
              <w:jc w:val="left"/>
            </w:pPr>
            <w:r>
              <w:rPr>
                <w:rFonts w:asciiTheme="minorHAnsi" w:hAnsiTheme="minorHAnsi" w:cstheme="minorHAnsi"/>
                <w:sz w:val="16"/>
                <w:szCs w:val="16"/>
              </w:rPr>
              <w:t xml:space="preserve">722</w:t>
            </w:r>
          </w:p>
        </w:tc>
      </w:tr>
      <w:tr>
        <w:trPr>
          <w:cantSplit/>
        </w:trPr>
        <w:tc>
          <w:tcPr>
            <w:tcW w:type="dxa" w:w="2588"/>
            <w:tcBorders/>
          </w:tcPr>
          <w:p>
            <w:pPr>
              <w:keepNext/>
              <w:spacing w:before="10" w:after="10" w:line="240" w:lineRule="auto"/>
              <w:jc w:val="left"/>
            </w:pPr>
            <w:r>
              <w:rPr>
                <w:rFonts w:asciiTheme="minorHAnsi" w:hAnsiTheme="minorHAnsi" w:cstheme="minorHAnsi"/>
                <w:sz w:val="16"/>
                <w:szCs w:val="16"/>
              </w:rPr>
              <w:t xml:space="preserve">Floor vs 3–5% falls</w:t>
            </w:r>
          </w:p>
        </w:tc>
        <w:tc>
          <w:tcPr>
            <w:tcW w:type="dxa" w:w="1522"/>
            <w:tcBorders/>
          </w:tcPr>
          <w:p>
            <w:pPr>
              <w:keepNext/>
              <w:spacing w:before="10" w:after="10" w:line="240" w:lineRule="auto"/>
              <w:jc w:val="left"/>
            </w:pPr>
            <w:r>
              <w:rPr>
                <w:rFonts w:asciiTheme="minorHAnsi" w:hAnsiTheme="minorHAnsi" w:cstheme="minorHAnsi"/>
                <w:sz w:val="16"/>
                <w:szCs w:val="16"/>
              </w:rPr>
              <w:t xml:space="preserve">−1.14 (−6.4)</w:t>
            </w:r>
          </w:p>
        </w:tc>
        <w:tc>
          <w:tcPr>
            <w:tcW w:type="dxa" w:w="1522"/>
            <w:tcBorders/>
          </w:tcPr>
          <w:p>
            <w:pPr>
              <w:keepNext/>
              <w:spacing w:before="10" w:after="10" w:line="240" w:lineRule="auto"/>
              <w:jc w:val="left"/>
            </w:pPr>
            <w:r>
              <w:rPr>
                <w:rFonts w:asciiTheme="minorHAnsi" w:hAnsiTheme="minorHAnsi" w:cstheme="minorHAnsi"/>
                <w:sz w:val="16"/>
                <w:szCs w:val="16"/>
              </w:rPr>
              <w:t xml:space="preserve">0.14 (0.6)</w:t>
            </w:r>
          </w:p>
        </w:tc>
        <w:tc>
          <w:tcPr>
            <w:tcW w:type="dxa" w:w="1725"/>
            <w:tcBorders/>
          </w:tcPr>
          <w:p>
            <w:pPr>
              <w:keepNext/>
              <w:spacing w:before="10" w:after="10" w:line="240" w:lineRule="auto"/>
              <w:jc w:val="left"/>
            </w:pPr>
            <w:r>
              <w:rPr>
                <w:rFonts w:asciiTheme="minorHAnsi" w:hAnsiTheme="minorHAnsi" w:cstheme="minorHAnsi"/>
                <w:sz w:val="16"/>
                <w:szCs w:val="16"/>
              </w:rPr>
              <w:t xml:space="preserve">−1.01 (−7.5)</w:t>
            </w:r>
          </w:p>
        </w:tc>
        <w:tc>
          <w:tcPr>
            <w:tcW w:type="dxa" w:w="1522"/>
            <w:tcBorders/>
          </w:tcPr>
          <w:p>
            <w:pPr>
              <w:keepNext/>
              <w:spacing w:before="10" w:after="10" w:line="240" w:lineRule="auto"/>
              <w:jc w:val="left"/>
            </w:pPr>
            <w:r>
              <w:rPr>
                <w:rFonts w:asciiTheme="minorHAnsi" w:hAnsiTheme="minorHAnsi" w:cstheme="minorHAnsi"/>
                <w:sz w:val="16"/>
                <w:szCs w:val="16"/>
              </w:rPr>
              <w:t xml:space="preserve">−0.90 (−2.2)</w:t>
            </w:r>
          </w:p>
        </w:tc>
        <w:tc>
          <w:tcPr>
            <w:tcW w:type="dxa" w:w="1319"/>
            <w:tcBorders/>
          </w:tcPr>
          <w:p>
            <w:pPr>
              <w:keepNext/>
              <w:spacing w:before="10" w:after="10" w:line="240" w:lineRule="auto"/>
              <w:jc w:val="left"/>
            </w:pPr>
            <w:r>
              <w:rPr>
                <w:rFonts w:asciiTheme="minorHAnsi" w:hAnsiTheme="minorHAnsi" w:cstheme="minorHAnsi"/>
                <w:sz w:val="16"/>
                <w:szCs w:val="16"/>
              </w:rPr>
              <w:t xml:space="preserve">5,237</w:t>
            </w:r>
          </w:p>
        </w:tc>
      </w:tr>
      <w:tr>
        <w:trPr>
          <w:cantSplit/>
        </w:trPr>
        <w:tc>
          <w:tcPr>
            <w:tcW w:type="dxa" w:w="2588"/>
            <w:tcBorders>
              <w:bottom w:val="single" w:sz="8" w:space="0" w:color="000000"/>
            </w:tcBorders>
          </w:tcPr>
          <w:p>
            <w:pPr>
              <w:spacing w:before="10" w:after="10" w:line="240" w:lineRule="auto"/>
              <w:jc w:val="left"/>
            </w:pPr>
            <w:r>
              <w:rPr>
                <w:rFonts w:asciiTheme="minorHAnsi" w:hAnsiTheme="minorHAnsi" w:cstheme="minorHAnsi"/>
                <w:sz w:val="16"/>
                <w:szCs w:val="16"/>
              </w:rPr>
              <w:t xml:space="preserve">same, comparison closes at its low</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−1.35 (−7.4)</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0.18 (0.8)</w:t>
            </w:r>
          </w:p>
        </w:tc>
        <w:tc>
          <w:tcPr>
            <w:tcW w:type="dxa" w:w="172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−1.19 (−8.0)</w:t>
            </w:r>
          </w:p>
        </w:tc>
        <w:tc>
          <w:tcPr>
            <w:tcW w:type="dxa" w:w="152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−1.06 (−2.5)</w:t>
            </w:r>
          </w:p>
        </w:tc>
        <w:tc>
          <w:tcPr>
            <w:tcW w:type="dxa" w:w="1319"/>
            <w:tcBorders>
              <w:bottom w:val="single" w:sz="8" w:space="0" w:color="000000"/>
            </w:tcBorders>
          </w:tcPr>
          <w:p>
            <w:pPr>
              <w:spacing w:before="10" w:after="10" w:line="240" w:lineRule="auto"/>
              <w:jc w:val="left"/>
            </w:pPr>
            <w:r>
              <w:rPr>
                <w:rFonts w:asciiTheme="minorHAnsi" w:hAnsiTheme="minorHAnsi" w:cstheme="minorHAnsi"/>
                <w:sz w:val="16"/>
                <w:szCs w:val="16"/>
              </w:rPr>
              <w:t xml:space="preserve">2,228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Differences in percentage points from same-direction moves of 3–5% or 5–6.5% that did not close at the limit; market-adjusted returns; date-clustered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4</w:t>
      </w:r>
      <w:r>
        <w:rPr>
          <w:rFonts w:asciiTheme="minorHAnsi" w:eastAsia="Georgia" w:hAnsiTheme="minorHAnsi" w:cstheme="minorHAnsi"/>
          <w:color w:val="000000"/>
          <w:sz w:val="18"/>
          <w:szCs w:val="18"/>
          <w:bdr w:val="nil"/>
          <w:lang w:val="hr-HR" w:eastAsia="es-MX"/>
        </w:rPr>
        <w:t xml:space="preserve"> Returns before and after the KRX platform change of May 5, 2025</w:t>
      </w:r>
    </w:p>
    <w:tbl>
      <w:tblPr>
        <w:tblW w:type="pct" w:w="5000"/>
        <w:jc w:val="center"/>
        <w:tblLayout w:type="fixed"/>
      </w:tblPr>
      <w:tblGrid>
        <w:gridCol w:w="1243"/>
        <w:gridCol w:w="2114"/>
        <w:gridCol w:w="1865"/>
        <w:gridCol w:w="1865"/>
        <w:gridCol w:w="1865"/>
        <w:gridCol w:w="1243"/>
      </w:tblGrid>
      <w:tr>
        <w:trPr>
          <w:cantSplit/>
          <w:tblHeader w:val="true"/>
        </w:trPr>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w:t>
            </w:r>
          </w:p>
        </w:tc>
        <w:tc>
          <w:tcPr>
            <w:tcW w:type="dxa" w:w="21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Outcome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Before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After the change</w:t>
            </w:r>
          </w:p>
        </w:tc>
        <w:tc>
          <w:tcPr>
            <w:tcW w:type="dxa" w:w="1865"/>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Difference</w:t>
            </w:r>
          </w:p>
        </w:tc>
        <w:tc>
          <w:tcPr>
            <w:tcW w:type="dxa" w:w="1243"/>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Events (before / after)</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1.65 (3.2)</w:t>
            </w:r>
          </w:p>
        </w:tc>
        <w:tc>
          <w:tcPr>
            <w:tcW w:type="dxa" w:w="1865"/>
            <w:tcBorders/>
          </w:tcPr>
          <w:p>
            <w:pPr>
              <w:keepNext/>
              <w:spacing w:before="10" w:after="10" w:line="240" w:lineRule="auto"/>
              <w:jc w:val="left"/>
            </w:pPr>
            <w:r>
              <w:rPr>
                <w:rFonts w:asciiTheme="minorHAnsi" w:hAnsiTheme="minorHAnsi" w:cstheme="minorHAnsi"/>
                <w:sz w:val="16"/>
                <w:szCs w:val="16"/>
              </w:rPr>
              <w:t xml:space="preserve">2.49 (17.9)</w:t>
            </w:r>
          </w:p>
        </w:tc>
        <w:tc>
          <w:tcPr>
            <w:tcW w:type="dxa" w:w="1865"/>
            <w:tcBorders/>
          </w:tcPr>
          <w:p>
            <w:pPr>
              <w:keepNext/>
              <w:spacing w:before="10" w:after="10" w:line="240" w:lineRule="auto"/>
              <w:jc w:val="left"/>
            </w:pPr>
            <w:r>
              <w:rPr>
                <w:rFonts w:asciiTheme="minorHAnsi" w:hAnsiTheme="minorHAnsi" w:cstheme="minorHAnsi"/>
                <w:sz w:val="16"/>
                <w:szCs w:val="16"/>
              </w:rPr>
              <w:t xml:space="preserve">0.85 (1.6)</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(−2.0)</w:t>
            </w:r>
          </w:p>
        </w:tc>
        <w:tc>
          <w:tcPr>
            <w:tcW w:type="dxa" w:w="1865"/>
            <w:tcBorders/>
          </w:tcPr>
          <w:p>
            <w:pPr>
              <w:keepNext/>
              <w:spacing w:before="10" w:after="10" w:line="240" w:lineRule="auto"/>
              <w:jc w:val="left"/>
            </w:pPr>
            <w:r>
              <w:rPr>
                <w:rFonts w:asciiTheme="minorHAnsi" w:hAnsiTheme="minorHAnsi" w:cstheme="minorHAnsi"/>
                <w:sz w:val="16"/>
                <w:szCs w:val="16"/>
              </w:rPr>
              <w:t xml:space="preserve">−0.44 (−4.3)</w:t>
            </w:r>
          </w:p>
        </w:tc>
        <w:tc>
          <w:tcPr>
            <w:tcW w:type="dxa" w:w="1865"/>
            <w:tcBorders/>
          </w:tcPr>
          <w:p>
            <w:pPr>
              <w:keepNext/>
              <w:spacing w:before="10" w:after="10" w:line="240" w:lineRule="auto"/>
              <w:jc w:val="left"/>
            </w:pPr>
            <w:r>
              <w:rPr>
                <w:rFonts w:asciiTheme="minorHAnsi" w:hAnsiTheme="minorHAnsi" w:cstheme="minorHAnsi"/>
                <w:sz w:val="16"/>
                <w:szCs w:val="16"/>
              </w:rPr>
              <w:t xml:space="preserve">0.34 (0.8)</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0.83 (1.0)</w:t>
            </w:r>
          </w:p>
        </w:tc>
        <w:tc>
          <w:tcPr>
            <w:tcW w:type="dxa" w:w="1865"/>
            <w:tcBorders/>
          </w:tcPr>
          <w:p>
            <w:pPr>
              <w:keepNext/>
              <w:spacing w:before="10" w:after="10" w:line="240" w:lineRule="auto"/>
              <w:jc w:val="left"/>
            </w:pPr>
            <w:r>
              <w:rPr>
                <w:rFonts w:asciiTheme="minorHAnsi" w:hAnsiTheme="minorHAnsi" w:cstheme="minorHAnsi"/>
                <w:sz w:val="16"/>
                <w:szCs w:val="16"/>
              </w:rPr>
              <w:t xml:space="preserve">2.01 (14.6)</w:t>
            </w:r>
          </w:p>
        </w:tc>
        <w:tc>
          <w:tcPr>
            <w:tcW w:type="dxa" w:w="1865"/>
            <w:tcBorders/>
          </w:tcPr>
          <w:p>
            <w:pPr>
              <w:keepNext/>
              <w:spacing w:before="10" w:after="10" w:line="240" w:lineRule="auto"/>
              <w:jc w:val="left"/>
            </w:pPr>
            <w:r>
              <w:rPr>
                <w:rFonts w:asciiTheme="minorHAnsi" w:hAnsiTheme="minorHAnsi" w:cstheme="minorHAnsi"/>
                <w:sz w:val="16"/>
                <w:szCs w:val="16"/>
              </w:rPr>
              <w:t xml:space="preserve">1.18 (1.3)</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2,263</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Ceiling</w:t>
            </w:r>
          </w:p>
        </w:tc>
        <w:tc>
          <w:tcPr>
            <w:tcW w:type="dxa" w:w="2114"/>
            <w:tcBorders/>
          </w:tcPr>
          <w:p>
            <w:pPr>
              <w:keepNext/>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tcPr>
          <w:p>
            <w:pPr>
              <w:keepNext/>
              <w:spacing w:before="10" w:after="10" w:line="240" w:lineRule="auto"/>
              <w:jc w:val="left"/>
            </w:pPr>
            <w:r>
              <w:rPr>
                <w:rFonts w:asciiTheme="minorHAnsi" w:hAnsiTheme="minorHAnsi" w:cstheme="minorHAnsi"/>
                <w:sz w:val="16"/>
                <w:szCs w:val="16"/>
              </w:rPr>
              <w:t xml:space="preserve">−0.71 (−1.3)</w:t>
            </w:r>
          </w:p>
        </w:tc>
        <w:tc>
          <w:tcPr>
            <w:tcW w:type="dxa" w:w="1865"/>
            <w:tcBorders/>
          </w:tcPr>
          <w:p>
            <w:pPr>
              <w:keepNext/>
              <w:spacing w:before="10" w:after="10" w:line="240" w:lineRule="auto"/>
              <w:jc w:val="left"/>
            </w:pPr>
            <w:r>
              <w:rPr>
                <w:rFonts w:asciiTheme="minorHAnsi" w:hAnsiTheme="minorHAnsi" w:cstheme="minorHAnsi"/>
                <w:sz w:val="16"/>
                <w:szCs w:val="16"/>
              </w:rPr>
              <w:t xml:space="preserve">−0.77 (−2.5)</w:t>
            </w:r>
          </w:p>
        </w:tc>
        <w:tc>
          <w:tcPr>
            <w:tcW w:type="dxa" w:w="1865"/>
            <w:tcBorders/>
          </w:tcPr>
          <w:p>
            <w:pPr>
              <w:keepNext/>
              <w:spacing w:before="10" w:after="10" w:line="240" w:lineRule="auto"/>
              <w:jc w:val="left"/>
            </w:pPr>
            <w:r>
              <w:rPr>
                <w:rFonts w:asciiTheme="minorHAnsi" w:hAnsiTheme="minorHAnsi" w:cstheme="minorHAnsi"/>
                <w:sz w:val="16"/>
                <w:szCs w:val="16"/>
              </w:rPr>
              <w:t xml:space="preserve">−0.06 (−0.1)</w:t>
            </w:r>
          </w:p>
        </w:tc>
        <w:tc>
          <w:tcPr>
            <w:tcW w:type="dxa" w:w="1243"/>
            <w:tcBorders/>
          </w:tcPr>
          <w:p>
            <w:pPr>
              <w:keepNext/>
              <w:spacing w:before="10" w:after="10" w:line="240" w:lineRule="auto"/>
              <w:jc w:val="left"/>
            </w:pPr>
            <w:r>
              <w:rPr>
                <w:rFonts w:asciiTheme="minorHAnsi" w:hAnsiTheme="minorHAnsi" w:cstheme="minorHAnsi"/>
                <w:sz w:val="16"/>
                <w:szCs w:val="16"/>
              </w:rPr>
              <w:t xml:space="preserve">936 / 2,257</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Overnight gap</w:t>
            </w:r>
          </w:p>
        </w:tc>
        <w:tc>
          <w:tcPr>
            <w:tcW w:type="dxa" w:w="1865"/>
            <w:tcBorders/>
          </w:tcPr>
          <w:p>
            <w:pPr>
              <w:keepNext/>
              <w:spacing w:before="10" w:after="10" w:line="240" w:lineRule="auto"/>
              <w:jc w:val="left"/>
            </w:pPr>
            <w:r>
              <w:rPr>
                <w:rFonts w:asciiTheme="minorHAnsi" w:hAnsiTheme="minorHAnsi" w:cstheme="minorHAnsi"/>
                <w:sz w:val="16"/>
                <w:szCs w:val="16"/>
              </w:rPr>
              <w:t xml:space="preserve">−0.42 (−1.9)</w:t>
            </w:r>
          </w:p>
        </w:tc>
        <w:tc>
          <w:tcPr>
            <w:tcW w:type="dxa" w:w="1865"/>
            <w:tcBorders/>
          </w:tcPr>
          <w:p>
            <w:pPr>
              <w:keepNext/>
              <w:spacing w:before="10" w:after="10" w:line="240" w:lineRule="auto"/>
              <w:jc w:val="left"/>
            </w:pPr>
            <w:r>
              <w:rPr>
                <w:rFonts w:asciiTheme="minorHAnsi" w:hAnsiTheme="minorHAnsi" w:cstheme="minorHAnsi"/>
                <w:sz w:val="16"/>
                <w:szCs w:val="16"/>
              </w:rPr>
              <w:t xml:space="preserve">−1.37 (−7.0)</w:t>
            </w:r>
          </w:p>
        </w:tc>
        <w:tc>
          <w:tcPr>
            <w:tcW w:type="dxa" w:w="1865"/>
            <w:tcBorders/>
          </w:tcPr>
          <w:p>
            <w:pPr>
              <w:keepNext/>
              <w:spacing w:before="10" w:after="10" w:line="240" w:lineRule="auto"/>
              <w:jc w:val="left"/>
            </w:pPr>
            <w:r>
              <w:rPr>
                <w:rFonts w:asciiTheme="minorHAnsi" w:hAnsiTheme="minorHAnsi" w:cstheme="minorHAnsi"/>
                <w:sz w:val="16"/>
                <w:szCs w:val="16"/>
              </w:rPr>
              <w:t xml:space="preserve">−0.95 (−3.2)</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Intraday</w:t>
            </w:r>
          </w:p>
        </w:tc>
        <w:tc>
          <w:tcPr>
            <w:tcW w:type="dxa" w:w="1865"/>
            <w:tcBorders/>
          </w:tcPr>
          <w:p>
            <w:pPr>
              <w:keepNext/>
              <w:spacing w:before="10" w:after="10" w:line="240" w:lineRule="auto"/>
              <w:jc w:val="left"/>
            </w:pPr>
            <w:r>
              <w:rPr>
                <w:rFonts w:asciiTheme="minorHAnsi" w:hAnsiTheme="minorHAnsi" w:cstheme="minorHAnsi"/>
                <w:sz w:val="16"/>
                <w:szCs w:val="16"/>
              </w:rPr>
              <w:t xml:space="preserve">−0.15 (−0.4)</w:t>
            </w:r>
          </w:p>
        </w:tc>
        <w:tc>
          <w:tcPr>
            <w:tcW w:type="dxa" w:w="1865"/>
            <w:tcBorders/>
          </w:tcPr>
          <w:p>
            <w:pPr>
              <w:keepNext/>
              <w:spacing w:before="10" w:after="10" w:line="240" w:lineRule="auto"/>
              <w:jc w:val="left"/>
            </w:pPr>
            <w:r>
              <w:rPr>
                <w:rFonts w:asciiTheme="minorHAnsi" w:hAnsiTheme="minorHAnsi" w:cstheme="minorHAnsi"/>
                <w:sz w:val="16"/>
                <w:szCs w:val="16"/>
              </w:rPr>
              <w:t xml:space="preserve">0.64 (4.6)</w:t>
            </w:r>
          </w:p>
        </w:tc>
        <w:tc>
          <w:tcPr>
            <w:tcW w:type="dxa" w:w="1865"/>
            <w:tcBorders/>
          </w:tcPr>
          <w:p>
            <w:pPr>
              <w:keepNext/>
              <w:spacing w:before="10" w:after="10" w:line="240" w:lineRule="auto"/>
              <w:jc w:val="left"/>
            </w:pPr>
            <w:r>
              <w:rPr>
                <w:rFonts w:asciiTheme="minorHAnsi" w:hAnsiTheme="minorHAnsi" w:cstheme="minorHAnsi"/>
                <w:sz w:val="16"/>
                <w:szCs w:val="16"/>
              </w:rPr>
              <w:t xml:space="preserve">0.79 (2.0)</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tcPr>
          <w:p>
            <w:pPr>
              <w:keepNext/>
              <w:spacing w:before="10" w:after="10" w:line="240" w:lineRule="auto"/>
              <w:jc w:val="left"/>
            </w:pPr>
            <w:r>
              <w:rPr>
                <w:rFonts w:asciiTheme="minorHAnsi" w:hAnsiTheme="minorHAnsi" w:cstheme="minorHAnsi"/>
                <w:sz w:val="16"/>
                <w:szCs w:val="16"/>
              </w:rPr>
              <w:t xml:space="preserve">Floor</w:t>
            </w:r>
          </w:p>
        </w:tc>
        <w:tc>
          <w:tcPr>
            <w:tcW w:type="dxa" w:w="2114"/>
            <w:tcBorders/>
          </w:tcPr>
          <w:p>
            <w:pPr>
              <w:keepNext/>
              <w:spacing w:before="10" w:after="10" w:line="240" w:lineRule="auto"/>
              <w:jc w:val="left"/>
            </w:pPr>
            <w:r>
              <w:rPr>
                <w:rFonts w:asciiTheme="minorHAnsi" w:hAnsiTheme="minorHAnsi" w:cstheme="minorHAnsi"/>
                <w:sz w:val="16"/>
                <w:szCs w:val="16"/>
              </w:rPr>
              <w:t xml:space="preserve">Close-to-close</w:t>
            </w:r>
          </w:p>
        </w:tc>
        <w:tc>
          <w:tcPr>
            <w:tcW w:type="dxa" w:w="1865"/>
            <w:tcBorders/>
          </w:tcPr>
          <w:p>
            <w:pPr>
              <w:keepNext/>
              <w:spacing w:before="10" w:after="10" w:line="240" w:lineRule="auto"/>
              <w:jc w:val="left"/>
            </w:pPr>
            <w:r>
              <w:rPr>
                <w:rFonts w:asciiTheme="minorHAnsi" w:hAnsiTheme="minorHAnsi" w:cstheme="minorHAnsi"/>
                <w:sz w:val="16"/>
                <w:szCs w:val="16"/>
              </w:rPr>
              <w:t xml:space="preserve">−0.57 (−2.3)</w:t>
            </w:r>
          </w:p>
        </w:tc>
        <w:tc>
          <w:tcPr>
            <w:tcW w:type="dxa" w:w="1865"/>
            <w:tcBorders/>
          </w:tcPr>
          <w:p>
            <w:pPr>
              <w:keepNext/>
              <w:spacing w:before="10" w:after="10" w:line="240" w:lineRule="auto"/>
              <w:jc w:val="left"/>
            </w:pPr>
            <w:r>
              <w:rPr>
                <w:rFonts w:asciiTheme="minorHAnsi" w:hAnsiTheme="minorHAnsi" w:cstheme="minorHAnsi"/>
                <w:sz w:val="16"/>
                <w:szCs w:val="16"/>
              </w:rPr>
              <w:t xml:space="preserve">−0.78 (−5.0)</w:t>
            </w:r>
          </w:p>
        </w:tc>
        <w:tc>
          <w:tcPr>
            <w:tcW w:type="dxa" w:w="1865"/>
            <w:tcBorders/>
          </w:tcPr>
          <w:p>
            <w:pPr>
              <w:keepNext/>
              <w:spacing w:before="10" w:after="10" w:line="240" w:lineRule="auto"/>
              <w:jc w:val="left"/>
            </w:pPr>
            <w:r>
              <w:rPr>
                <w:rFonts w:asciiTheme="minorHAnsi" w:hAnsiTheme="minorHAnsi" w:cstheme="minorHAnsi"/>
                <w:sz w:val="16"/>
                <w:szCs w:val="16"/>
              </w:rPr>
              <w:t xml:space="preserve">−0.21 (−0.7)</w:t>
            </w:r>
          </w:p>
        </w:tc>
        <w:tc>
          <w:tcPr>
            <w:tcW w:type="dxa" w:w="1243"/>
            <w:tcBorders/>
          </w:tcPr>
          <w:p>
            <w:pPr>
              <w:keepNext/>
              <w:spacing w:before="10" w:after="10" w:line="240" w:lineRule="auto"/>
              <w:jc w:val="left"/>
            </w:pPr>
            <w:r>
              <w:rPr>
                <w:rFonts w:asciiTheme="minorHAnsi" w:hAnsiTheme="minorHAnsi" w:cstheme="minorHAnsi"/>
                <w:sz w:val="16"/>
                <w:szCs w:val="16"/>
              </w:rPr>
              <w:t xml:space="preserve">891 / 1,220</w:t>
            </w:r>
          </w:p>
        </w:tc>
      </w:tr>
      <w:tr>
        <w:trPr>
          <w:cantSplit/>
        </w:trPr>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Floor</w:t>
            </w:r>
          </w:p>
        </w:tc>
        <w:tc>
          <w:tcPr>
            <w:tcW w:type="dxa" w:w="21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Open to day</w:t>
            </w:r>
            <w:r>
              <w:rPr>
                <w:rFonts w:asciiTheme="minorHAnsi" w:hAnsiTheme="minorHAnsi" w:cstheme="minorHAnsi"/>
                <w:sz w:val="16"/>
                <w:szCs w:val="16"/>
              </w:rPr>
              <w:t xml:space="preserve"> </w:t>
            </w:r>
            <w:r>
              <w:rPr>
                <w:rFonts w:asciiTheme="minorHAnsi" w:hAnsiTheme="minorHAnsi" w:cstheme="minorHAnsi"/>
                <w:i/>
                <w:iCs/>
                <w:sz w:val="16"/>
                <w:szCs w:val="16"/>
              </w:rPr>
              <w:t xml:space="preserve">d</w:t>
            </w:r>
            <w:r>
              <w:rPr>
                <w:rFonts w:asciiTheme="minorHAnsi" w:hAnsiTheme="minorHAnsi" w:cstheme="minorHAnsi"/>
                <w:sz w:val="16"/>
                <w:szCs w:val="16"/>
              </w:rPr>
              <w:t xml:space="preserve">+5</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−1.73 (−4.7)</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−0.15 (−0.3)</w:t>
            </w:r>
          </w:p>
        </w:tc>
        <w:tc>
          <w:tcPr>
            <w:tcW w:type="dxa" w:w="1865"/>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1.58 (2.5)</w:t>
            </w:r>
          </w:p>
        </w:tc>
        <w:tc>
          <w:tcPr>
            <w:tcW w:type="dxa" w:w="1243"/>
            <w:tcBorders>
              <w:bottom w:val="single" w:sz="8" w:space="0" w:color="000000"/>
            </w:tcBorders>
          </w:tcPr>
          <w:p>
            <w:pPr>
              <w:spacing w:before="10" w:after="10" w:line="240" w:lineRule="auto"/>
              <w:jc w:val="left"/>
            </w:pPr>
            <w:r>
              <w:rPr>
                <w:rFonts w:asciiTheme="minorHAnsi" w:hAnsiTheme="minorHAnsi" w:cstheme="minorHAnsi"/>
                <w:sz w:val="16"/>
                <w:szCs w:val="16"/>
              </w:rPr>
              <w:t xml:space="preserve">891 / 1,217</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Periods are split by the date of the opening that defines the gap; the difference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 treats the periods as independent.</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5</w:t>
      </w:r>
      <w:r>
        <w:rPr>
          <w:rFonts w:asciiTheme="minorHAnsi" w:eastAsia="Georgia" w:hAnsiTheme="minorHAnsi" w:cstheme="minorHAnsi"/>
          <w:color w:val="000000"/>
          <w:sz w:val="18"/>
          <w:szCs w:val="18"/>
          <w:bdr w:val="nil"/>
          <w:lang w:val="hr-HR" w:eastAsia="es-MX"/>
        </w:rPr>
        <w:t xml:space="preserve"> Events and overnight gaps by calendar quarter</w:t>
      </w:r>
    </w:p>
    <w:tbl>
      <w:tblPr>
        <w:tblW w:type="pct" w:w="5000"/>
        <w:jc w:val="center"/>
        <w:tblLayout w:type="fixed"/>
      </w:tblPr>
      <w:tblGrid>
        <w:gridCol w:w="1758"/>
        <w:gridCol w:w="1758"/>
        <w:gridCol w:w="2462"/>
        <w:gridCol w:w="1582"/>
        <w:gridCol w:w="2637"/>
      </w:tblGrid>
      <w:tr>
        <w:trPr>
          <w:cantSplit/>
          <w:tblHeader w:val="true"/>
        </w:trPr>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Quarter</w:t>
            </w:r>
          </w:p>
        </w:tc>
        <w:tc>
          <w:tcPr>
            <w:tcW w:type="dxa" w:w="1758"/>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events</w:t>
            </w:r>
          </w:p>
        </w:tc>
        <w:tc>
          <w:tcPr>
            <w:tcW w:type="dxa" w:w="24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Ceiling gap</w:t>
            </w:r>
          </w:p>
        </w:tc>
        <w:tc>
          <w:tcPr>
            <w:tcW w:type="dxa" w:w="158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events</w:t>
            </w:r>
          </w:p>
        </w:tc>
        <w:tc>
          <w:tcPr>
            <w:tcW w:type="dxa" w:w="263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Floor gap</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2024-Q4</w:t>
            </w:r>
          </w:p>
        </w:tc>
        <w:tc>
          <w:tcPr>
            <w:tcW w:type="dxa" w:w="1758"/>
            <w:tcBorders/>
          </w:tcPr>
          <w:p>
            <w:pPr>
              <w:keepNext/>
              <w:spacing w:before="10" w:after="10" w:line="240" w:lineRule="auto"/>
              <w:jc w:val="left"/>
            </w:pPr>
            <w:r>
              <w:rPr>
                <w:rFonts w:asciiTheme="minorHAnsi" w:hAnsiTheme="minorHAnsi" w:cstheme="minorHAnsi"/>
                <w:sz w:val="16"/>
                <w:szCs w:val="16"/>
              </w:rPr>
              <w:t xml:space="preserve">177</w:t>
            </w:r>
          </w:p>
        </w:tc>
        <w:tc>
          <w:tcPr>
            <w:tcW w:type="dxa" w:w="2462"/>
            <w:tcBorders/>
          </w:tcPr>
          <w:p>
            <w:pPr>
              <w:keepNext/>
              <w:spacing w:before="10" w:after="10" w:line="240" w:lineRule="auto"/>
              <w:jc w:val="left"/>
            </w:pPr>
            <w:r>
              <w:rPr>
                <w:rFonts w:asciiTheme="minorHAnsi" w:hAnsiTheme="minorHAnsi" w:cstheme="minorHAnsi"/>
                <w:sz w:val="16"/>
                <w:szCs w:val="16"/>
              </w:rPr>
              <w:t xml:space="preserve">2.16 (5.6)</w:t>
            </w:r>
          </w:p>
        </w:tc>
        <w:tc>
          <w:tcPr>
            <w:tcW w:type="dxa" w:w="1582"/>
            <w:tcBorders/>
          </w:tcPr>
          <w:p>
            <w:pPr>
              <w:keepNext/>
              <w:spacing w:before="10" w:after="10" w:line="240" w:lineRule="auto"/>
              <w:jc w:val="left"/>
            </w:pPr>
            <w:r>
              <w:rPr>
                <w:rFonts w:asciiTheme="minorHAnsi" w:hAnsiTheme="minorHAnsi" w:cstheme="minorHAnsi"/>
                <w:sz w:val="16"/>
                <w:szCs w:val="16"/>
              </w:rPr>
              <w:t xml:space="preserve">48</w:t>
            </w:r>
          </w:p>
        </w:tc>
        <w:tc>
          <w:tcPr>
            <w:tcW w:type="dxa" w:w="2637"/>
            <w:tcBorders/>
          </w:tcPr>
          <w:p>
            <w:pPr>
              <w:keepNext/>
              <w:spacing w:before="10" w:after="10" w:line="240" w:lineRule="auto"/>
              <w:jc w:val="left"/>
            </w:pPr>
            <w:r>
              <w:rPr>
                <w:rFonts w:asciiTheme="minorHAnsi" w:hAnsiTheme="minorHAnsi" w:cstheme="minorHAnsi"/>
                <w:sz w:val="16"/>
                <w:szCs w:val="16"/>
              </w:rPr>
              <w:t xml:space="preserve">−1.50 (−2.5)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2025-Q1</w:t>
            </w:r>
          </w:p>
        </w:tc>
        <w:tc>
          <w:tcPr>
            <w:tcW w:type="dxa" w:w="1758"/>
            <w:tcBorders/>
          </w:tcPr>
          <w:p>
            <w:pPr>
              <w:keepNext/>
              <w:spacing w:before="10" w:after="10" w:line="240" w:lineRule="auto"/>
              <w:jc w:val="left"/>
            </w:pPr>
            <w:r>
              <w:rPr>
                <w:rFonts w:asciiTheme="minorHAnsi" w:hAnsiTheme="minorHAnsi" w:cstheme="minorHAnsi"/>
                <w:sz w:val="16"/>
                <w:szCs w:val="16"/>
              </w:rPr>
              <w:t xml:space="preserve">295</w:t>
            </w:r>
          </w:p>
        </w:tc>
        <w:tc>
          <w:tcPr>
            <w:tcW w:type="dxa" w:w="2462"/>
            <w:tcBorders/>
          </w:tcPr>
          <w:p>
            <w:pPr>
              <w:keepNext/>
              <w:spacing w:before="10" w:after="10" w:line="240" w:lineRule="auto"/>
              <w:jc w:val="left"/>
            </w:pPr>
            <w:r>
              <w:rPr>
                <w:rFonts w:asciiTheme="minorHAnsi" w:hAnsiTheme="minorHAnsi" w:cstheme="minorHAnsi"/>
                <w:sz w:val="16"/>
                <w:szCs w:val="16"/>
              </w:rPr>
              <w:t xml:space="preserve">2.78 (9.1)</w:t>
            </w:r>
          </w:p>
        </w:tc>
        <w:tc>
          <w:tcPr>
            <w:tcW w:type="dxa" w:w="1582"/>
            <w:tcBorders/>
          </w:tcPr>
          <w:p>
            <w:pPr>
              <w:keepNext/>
              <w:spacing w:before="10" w:after="10" w:line="240" w:lineRule="auto"/>
              <w:jc w:val="left"/>
            </w:pPr>
            <w:r>
              <w:rPr>
                <w:rFonts w:asciiTheme="minorHAnsi" w:hAnsiTheme="minorHAnsi" w:cstheme="minorHAnsi"/>
                <w:sz w:val="16"/>
                <w:szCs w:val="16"/>
              </w:rPr>
              <w:t xml:space="preserve">79</w:t>
            </w:r>
          </w:p>
        </w:tc>
        <w:tc>
          <w:tcPr>
            <w:tcW w:type="dxa" w:w="2637"/>
            <w:tcBorders/>
          </w:tcPr>
          <w:p>
            <w:pPr>
              <w:keepNext/>
              <w:spacing w:before="10" w:after="10" w:line="240" w:lineRule="auto"/>
              <w:jc w:val="left"/>
            </w:pPr>
            <w:r>
              <w:rPr>
                <w:rFonts w:asciiTheme="minorHAnsi" w:hAnsiTheme="minorHAnsi" w:cstheme="minorHAnsi"/>
                <w:sz w:val="16"/>
                <w:szCs w:val="16"/>
              </w:rPr>
              <w:t xml:space="preserve">−1.70 (−3.9)</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2025-Q2</w:t>
            </w:r>
          </w:p>
        </w:tc>
        <w:tc>
          <w:tcPr>
            <w:tcW w:type="dxa" w:w="1758"/>
            <w:tcBorders/>
          </w:tcPr>
          <w:p>
            <w:pPr>
              <w:keepNext/>
              <w:spacing w:before="10" w:after="10" w:line="240" w:lineRule="auto"/>
              <w:jc w:val="left"/>
            </w:pPr>
            <w:r>
              <w:rPr>
                <w:rFonts w:asciiTheme="minorHAnsi" w:hAnsiTheme="minorHAnsi" w:cstheme="minorHAnsi"/>
                <w:sz w:val="16"/>
                <w:szCs w:val="16"/>
              </w:rPr>
              <w:t xml:space="preserve">686</w:t>
            </w:r>
          </w:p>
        </w:tc>
        <w:tc>
          <w:tcPr>
            <w:tcW w:type="dxa" w:w="2462"/>
            <w:tcBorders/>
          </w:tcPr>
          <w:p>
            <w:pPr>
              <w:keepNext/>
              <w:spacing w:before="10" w:after="10" w:line="240" w:lineRule="auto"/>
              <w:jc w:val="left"/>
            </w:pPr>
            <w:r>
              <w:rPr>
                <w:rFonts w:asciiTheme="minorHAnsi" w:hAnsiTheme="minorHAnsi" w:cstheme="minorHAnsi"/>
                <w:sz w:val="16"/>
                <w:szCs w:val="16"/>
              </w:rPr>
              <w:t xml:space="preserve">1.33 (2.5)</w:t>
            </w:r>
          </w:p>
        </w:tc>
        <w:tc>
          <w:tcPr>
            <w:tcW w:type="dxa" w:w="1582"/>
            <w:tcBorders/>
          </w:tcPr>
          <w:p>
            <w:pPr>
              <w:keepNext/>
              <w:spacing w:before="10" w:after="10" w:line="240" w:lineRule="auto"/>
              <w:jc w:val="left"/>
            </w:pPr>
            <w:r>
              <w:rPr>
                <w:rFonts w:asciiTheme="minorHAnsi" w:hAnsiTheme="minorHAnsi" w:cstheme="minorHAnsi"/>
                <w:sz w:val="16"/>
                <w:szCs w:val="16"/>
              </w:rPr>
              <w:t xml:space="preserve">802</w:t>
            </w:r>
          </w:p>
        </w:tc>
        <w:tc>
          <w:tcPr>
            <w:tcW w:type="dxa" w:w="2637"/>
            <w:tcBorders/>
          </w:tcPr>
          <w:p>
            <w:pPr>
              <w:keepNext/>
              <w:spacing w:before="10" w:after="10" w:line="240" w:lineRule="auto"/>
              <w:jc w:val="left"/>
            </w:pPr>
            <w:r>
              <w:rPr>
                <w:rFonts w:asciiTheme="minorHAnsi" w:hAnsiTheme="minorHAnsi" w:cstheme="minorHAnsi"/>
                <w:sz w:val="16"/>
                <w:szCs w:val="16"/>
              </w:rPr>
              <w:t xml:space="preserve">−0.34 (−1.5)</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2025-Q3</w:t>
            </w:r>
          </w:p>
        </w:tc>
        <w:tc>
          <w:tcPr>
            <w:tcW w:type="dxa" w:w="1758"/>
            <w:tcBorders/>
          </w:tcPr>
          <w:p>
            <w:pPr>
              <w:keepNext/>
              <w:spacing w:before="10" w:after="10" w:line="240" w:lineRule="auto"/>
              <w:jc w:val="left"/>
            </w:pPr>
            <w:r>
              <w:rPr>
                <w:rFonts w:asciiTheme="minorHAnsi" w:hAnsiTheme="minorHAnsi" w:cstheme="minorHAnsi"/>
                <w:sz w:val="16"/>
                <w:szCs w:val="16"/>
              </w:rPr>
              <w:t xml:space="preserve">624</w:t>
            </w:r>
          </w:p>
        </w:tc>
        <w:tc>
          <w:tcPr>
            <w:tcW w:type="dxa" w:w="2462"/>
            <w:tcBorders/>
          </w:tcPr>
          <w:p>
            <w:pPr>
              <w:keepNext/>
              <w:spacing w:before="10" w:after="10" w:line="240" w:lineRule="auto"/>
              <w:jc w:val="left"/>
            </w:pPr>
            <w:r>
              <w:rPr>
                <w:rFonts w:asciiTheme="minorHAnsi" w:hAnsiTheme="minorHAnsi" w:cstheme="minorHAnsi"/>
                <w:sz w:val="16"/>
                <w:szCs w:val="16"/>
              </w:rPr>
              <w:t xml:space="preserve">2.99 (16.8)</w:t>
            </w:r>
          </w:p>
        </w:tc>
        <w:tc>
          <w:tcPr>
            <w:tcW w:type="dxa" w:w="1582"/>
            <w:tcBorders/>
          </w:tcPr>
          <w:p>
            <w:pPr>
              <w:keepNext/>
              <w:spacing w:before="10" w:after="10" w:line="240" w:lineRule="auto"/>
              <w:jc w:val="left"/>
            </w:pPr>
            <w:r>
              <w:rPr>
                <w:rFonts w:asciiTheme="minorHAnsi" w:hAnsiTheme="minorHAnsi" w:cstheme="minorHAnsi"/>
                <w:sz w:val="16"/>
                <w:szCs w:val="16"/>
              </w:rPr>
              <w:t xml:space="preserve">195</w:t>
            </w:r>
          </w:p>
        </w:tc>
        <w:tc>
          <w:tcPr>
            <w:tcW w:type="dxa" w:w="2637"/>
            <w:tcBorders/>
          </w:tcPr>
          <w:p>
            <w:pPr>
              <w:keepNext/>
              <w:spacing w:before="10" w:after="10" w:line="240" w:lineRule="auto"/>
              <w:jc w:val="left"/>
            </w:pPr>
            <w:r>
              <w:rPr>
                <w:rFonts w:asciiTheme="minorHAnsi" w:hAnsiTheme="minorHAnsi" w:cstheme="minorHAnsi"/>
                <w:sz w:val="16"/>
                <w:szCs w:val="16"/>
              </w:rPr>
              <w:t xml:space="preserve">−0.86 (−4.1)</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2025-Q4</w:t>
            </w:r>
          </w:p>
        </w:tc>
        <w:tc>
          <w:tcPr>
            <w:tcW w:type="dxa" w:w="1758"/>
            <w:tcBorders/>
          </w:tcPr>
          <w:p>
            <w:pPr>
              <w:keepNext/>
              <w:spacing w:before="10" w:after="10" w:line="240" w:lineRule="auto"/>
              <w:jc w:val="left"/>
            </w:pPr>
            <w:r>
              <w:rPr>
                <w:rFonts w:asciiTheme="minorHAnsi" w:hAnsiTheme="minorHAnsi" w:cstheme="minorHAnsi"/>
                <w:sz w:val="16"/>
                <w:szCs w:val="16"/>
              </w:rPr>
              <w:t xml:space="preserve">426</w:t>
            </w:r>
          </w:p>
        </w:tc>
        <w:tc>
          <w:tcPr>
            <w:tcW w:type="dxa" w:w="2462"/>
            <w:tcBorders/>
          </w:tcPr>
          <w:p>
            <w:pPr>
              <w:keepNext/>
              <w:spacing w:before="10" w:after="10" w:line="240" w:lineRule="auto"/>
              <w:jc w:val="left"/>
            </w:pPr>
            <w:r>
              <w:rPr>
                <w:rFonts w:asciiTheme="minorHAnsi" w:hAnsiTheme="minorHAnsi" w:cstheme="minorHAnsi"/>
                <w:sz w:val="16"/>
                <w:szCs w:val="16"/>
              </w:rPr>
              <w:t xml:space="preserve">2.64 (7.4)</w:t>
            </w:r>
          </w:p>
        </w:tc>
        <w:tc>
          <w:tcPr>
            <w:tcW w:type="dxa" w:w="1582"/>
            <w:tcBorders/>
          </w:tcPr>
          <w:p>
            <w:pPr>
              <w:keepNext/>
              <w:spacing w:before="10" w:after="10" w:line="240" w:lineRule="auto"/>
              <w:jc w:val="left"/>
            </w:pPr>
            <w:r>
              <w:rPr>
                <w:rFonts w:asciiTheme="minorHAnsi" w:hAnsiTheme="minorHAnsi" w:cstheme="minorHAnsi"/>
                <w:sz w:val="16"/>
                <w:szCs w:val="16"/>
              </w:rPr>
              <w:t xml:space="preserve">280</w:t>
            </w:r>
          </w:p>
        </w:tc>
        <w:tc>
          <w:tcPr>
            <w:tcW w:type="dxa" w:w="2637"/>
            <w:tcBorders/>
          </w:tcPr>
          <w:p>
            <w:pPr>
              <w:keepNext/>
              <w:spacing w:before="10" w:after="10" w:line="240" w:lineRule="auto"/>
              <w:jc w:val="left"/>
            </w:pPr>
            <w:r>
              <w:rPr>
                <w:rFonts w:asciiTheme="minorHAnsi" w:hAnsiTheme="minorHAnsi" w:cstheme="minorHAnsi"/>
                <w:sz w:val="16"/>
                <w:szCs w:val="16"/>
              </w:rPr>
              <w:t xml:space="preserve">−1.39 (−2.4)</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2026-Q1</w:t>
            </w:r>
          </w:p>
        </w:tc>
        <w:tc>
          <w:tcPr>
            <w:tcW w:type="dxa" w:w="1758"/>
            <w:tcBorders/>
          </w:tcPr>
          <w:p>
            <w:pPr>
              <w:keepNext/>
              <w:spacing w:before="10" w:after="10" w:line="240" w:lineRule="auto"/>
              <w:jc w:val="left"/>
            </w:pPr>
            <w:r>
              <w:rPr>
                <w:rFonts w:asciiTheme="minorHAnsi" w:hAnsiTheme="minorHAnsi" w:cstheme="minorHAnsi"/>
                <w:sz w:val="16"/>
                <w:szCs w:val="16"/>
              </w:rPr>
              <w:t xml:space="preserve">455</w:t>
            </w:r>
          </w:p>
        </w:tc>
        <w:tc>
          <w:tcPr>
            <w:tcW w:type="dxa" w:w="2462"/>
            <w:tcBorders/>
          </w:tcPr>
          <w:p>
            <w:pPr>
              <w:keepNext/>
              <w:spacing w:before="10" w:after="10" w:line="240" w:lineRule="auto"/>
              <w:jc w:val="left"/>
            </w:pPr>
            <w:r>
              <w:rPr>
                <w:rFonts w:asciiTheme="minorHAnsi" w:hAnsiTheme="minorHAnsi" w:cstheme="minorHAnsi"/>
                <w:sz w:val="16"/>
                <w:szCs w:val="16"/>
              </w:rPr>
              <w:t xml:space="preserve">2.35 (10.4)</w:t>
            </w:r>
          </w:p>
        </w:tc>
        <w:tc>
          <w:tcPr>
            <w:tcW w:type="dxa" w:w="1582"/>
            <w:tcBorders/>
          </w:tcPr>
          <w:p>
            <w:pPr>
              <w:keepNext/>
              <w:spacing w:before="10" w:after="10" w:line="240" w:lineRule="auto"/>
              <w:jc w:val="left"/>
            </w:pPr>
            <w:r>
              <w:rPr>
                <w:rFonts w:asciiTheme="minorHAnsi" w:hAnsiTheme="minorHAnsi" w:cstheme="minorHAnsi"/>
                <w:sz w:val="16"/>
                <w:szCs w:val="16"/>
              </w:rPr>
              <w:t xml:space="preserve">433</w:t>
            </w:r>
          </w:p>
        </w:tc>
        <w:tc>
          <w:tcPr>
            <w:tcW w:type="dxa" w:w="2637"/>
            <w:tcBorders/>
          </w:tcPr>
          <w:p>
            <w:pPr>
              <w:keepNext/>
              <w:spacing w:before="10" w:after="10" w:line="240" w:lineRule="auto"/>
              <w:jc w:val="left"/>
            </w:pPr>
            <w:r>
              <w:rPr>
                <w:rFonts w:asciiTheme="minorHAnsi" w:hAnsiTheme="minorHAnsi" w:cstheme="minorHAnsi"/>
                <w:sz w:val="16"/>
                <w:szCs w:val="16"/>
              </w:rPr>
              <w:t xml:space="preserve">−1.39 (−7.8)</w:t>
            </w:r>
          </w:p>
        </w:tc>
      </w:tr>
      <w:tr>
        <w:trPr>
          <w:cantSplit/>
        </w:trPr>
        <w:tc>
          <w:tcPr>
            <w:tcW w:type="dxa" w:w="1758"/>
            <w:tcBorders/>
          </w:tcPr>
          <w:p>
            <w:pPr>
              <w:keepNext/>
              <w:spacing w:before="10" w:after="10" w:line="240" w:lineRule="auto"/>
              <w:jc w:val="left"/>
            </w:pPr>
            <w:r>
              <w:rPr>
                <w:rFonts w:asciiTheme="minorHAnsi" w:hAnsiTheme="minorHAnsi" w:cstheme="minorHAnsi"/>
                <w:sz w:val="16"/>
                <w:szCs w:val="16"/>
              </w:rPr>
              <w:t xml:space="preserve">2026-Q2</w:t>
            </w:r>
          </w:p>
        </w:tc>
        <w:tc>
          <w:tcPr>
            <w:tcW w:type="dxa" w:w="1758"/>
            <w:tcBorders/>
          </w:tcPr>
          <w:p>
            <w:pPr>
              <w:keepNext/>
              <w:spacing w:before="10" w:after="10" w:line="240" w:lineRule="auto"/>
              <w:jc w:val="left"/>
            </w:pPr>
            <w:r>
              <w:rPr>
                <w:rFonts w:asciiTheme="minorHAnsi" w:hAnsiTheme="minorHAnsi" w:cstheme="minorHAnsi"/>
                <w:sz w:val="16"/>
                <w:szCs w:val="16"/>
              </w:rPr>
              <w:t xml:space="preserve">297</w:t>
            </w:r>
          </w:p>
        </w:tc>
        <w:tc>
          <w:tcPr>
            <w:tcW w:type="dxa" w:w="2462"/>
            <w:tcBorders/>
          </w:tcPr>
          <w:p>
            <w:pPr>
              <w:keepNext/>
              <w:spacing w:before="10" w:after="10" w:line="240" w:lineRule="auto"/>
              <w:jc w:val="left"/>
            </w:pPr>
            <w:r>
              <w:rPr>
                <w:rFonts w:asciiTheme="minorHAnsi" w:hAnsiTheme="minorHAnsi" w:cstheme="minorHAnsi"/>
                <w:sz w:val="16"/>
                <w:szCs w:val="16"/>
              </w:rPr>
              <w:t xml:space="preserve">2.08 (7.0)</w:t>
            </w:r>
          </w:p>
        </w:tc>
        <w:tc>
          <w:tcPr>
            <w:tcW w:type="dxa" w:w="1582"/>
            <w:tcBorders/>
          </w:tcPr>
          <w:p>
            <w:pPr>
              <w:keepNext/>
              <w:spacing w:before="10" w:after="10" w:line="240" w:lineRule="auto"/>
              <w:jc w:val="left"/>
            </w:pPr>
            <w:r>
              <w:rPr>
                <w:rFonts w:asciiTheme="minorHAnsi" w:hAnsiTheme="minorHAnsi" w:cstheme="minorHAnsi"/>
                <w:sz w:val="16"/>
                <w:szCs w:val="16"/>
              </w:rPr>
              <w:t xml:space="preserve">99</w:t>
            </w:r>
          </w:p>
        </w:tc>
        <w:tc>
          <w:tcPr>
            <w:tcW w:type="dxa" w:w="2637"/>
            <w:tcBorders/>
          </w:tcPr>
          <w:p>
            <w:pPr>
              <w:keepNext/>
              <w:spacing w:before="10" w:after="10" w:line="240" w:lineRule="auto"/>
              <w:jc w:val="left"/>
            </w:pPr>
            <w:r>
              <w:rPr>
                <w:rFonts w:asciiTheme="minorHAnsi" w:hAnsiTheme="minorHAnsi" w:cstheme="minorHAnsi"/>
                <w:sz w:val="16"/>
                <w:szCs w:val="16"/>
              </w:rPr>
              <w:t xml:space="preserve">−1.46 (−3.3)</w:t>
            </w:r>
          </w:p>
        </w:tc>
      </w:tr>
      <w:tr>
        <w:trPr>
          <w:cantSplit/>
        </w:trPr>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2026-Q3</w:t>
            </w:r>
          </w:p>
        </w:tc>
        <w:tc>
          <w:tcPr>
            <w:tcW w:type="dxa" w:w="1758"/>
            <w:tcBorders>
              <w:bottom w:val="single" w:sz="8" w:space="0" w:color="000000"/>
            </w:tcBorders>
          </w:tcPr>
          <w:p>
            <w:pPr>
              <w:spacing w:before="10" w:after="10" w:line="240" w:lineRule="auto"/>
              <w:jc w:val="left"/>
            </w:pPr>
            <w:r>
              <w:rPr>
                <w:rFonts w:asciiTheme="minorHAnsi" w:hAnsiTheme="minorHAnsi" w:cstheme="minorHAnsi"/>
                <w:sz w:val="16"/>
                <w:szCs w:val="16"/>
              </w:rPr>
              <w:t xml:space="preserve">239</w:t>
            </w:r>
          </w:p>
        </w:tc>
        <w:tc>
          <w:tcPr>
            <w:tcW w:type="dxa" w:w="24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1.61 (5.4)</w:t>
            </w:r>
          </w:p>
        </w:tc>
        <w:tc>
          <w:tcPr>
            <w:tcW w:type="dxa" w:w="1582"/>
            <w:tcBorders>
              <w:bottom w:val="single" w:sz="8" w:space="0" w:color="000000"/>
            </w:tcBorders>
          </w:tcPr>
          <w:p>
            <w:pPr>
              <w:spacing w:before="10" w:after="10" w:line="240" w:lineRule="auto"/>
              <w:jc w:val="left"/>
            </w:pPr>
            <w:r>
              <w:rPr>
                <w:rFonts w:asciiTheme="minorHAnsi" w:hAnsiTheme="minorHAnsi" w:cstheme="minorHAnsi"/>
                <w:sz w:val="16"/>
                <w:szCs w:val="16"/>
              </w:rPr>
              <w:t xml:space="preserve">175</w:t>
            </w:r>
          </w:p>
        </w:tc>
        <w:tc>
          <w:tcPr>
            <w:tcW w:type="dxa" w:w="2637"/>
            <w:tcBorders>
              <w:bottom w:val="single" w:sz="8" w:space="0" w:color="000000"/>
            </w:tcBorders>
          </w:tcPr>
          <w:p>
            <w:pPr>
              <w:spacing w:before="10" w:after="10" w:line="240" w:lineRule="auto"/>
              <w:jc w:val="left"/>
            </w:pPr>
            <w:r>
              <w:rPr>
                <w:rFonts w:asciiTheme="minorHAnsi" w:hAnsiTheme="minorHAnsi" w:cstheme="minorHAnsi"/>
                <w:sz w:val="16"/>
                <w:szCs w:val="16"/>
              </w:rPr>
              <w:t xml:space="preserve">−1.55 (−2.8)</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Market-adjusted gaps in percent; two-way-clustered</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t</w:t>
      </w:r>
      <w:r>
        <w:rPr>
          <w:rFonts w:asciiTheme="minorHAnsi" w:eastAsia="Georgia" w:hAnsiTheme="minorHAnsi" w:cstheme="minorHAnsi"/>
          <w:color w:val="000000"/>
          <w:sz w:val="18"/>
          <w:szCs w:val="18"/>
          <w:bdr w:val="nil"/>
          <w:lang w:val="hr-HR" w:eastAsia="es-MX"/>
        </w:rPr>
        <w:t xml:space="preserve">-statistics in parentheses. Counts are events with a day-</w:t>
      </w:r>
      <w:r>
        <w:rPr>
          <w:rFonts w:asciiTheme="minorHAnsi" w:eastAsia="Georgia" w:hAnsiTheme="minorHAnsi" w:cstheme="minorHAnsi"/>
          <w:i/>
          <w:color w:val="000000"/>
          <w:sz w:val="18"/>
          <w:szCs w:val="18"/>
          <w:bdr w:val="nil"/>
          <w:lang w:val="hr-HR" w:eastAsia="es-MX"/>
        </w:rPr>
        <w:t xml:space="preserve">d</w:t>
      </w:r>
      <w:r>
        <w:rPr>
          <w:rFonts w:asciiTheme="minorHAnsi" w:eastAsia="Georgia" w:hAnsiTheme="minorHAnsi" w:cstheme="minorHAnsi"/>
          <w:color w:val="000000"/>
          <w:sz w:val="18"/>
          <w:szCs w:val="18"/>
          <w:bdr w:val="nil"/>
          <w:lang w:val="hr-HR" w:eastAsia="es-MX"/>
        </w:rPr>
        <w:t xml:space="preserve">+1 open. The first and last quarters are partial; the KRX change falls in 2025-Q2.</w:t>
      </w:r>
    </w:p>
    <w:p w14:paraId="0ED581F1" w14:textId="3CA2130A" w:rsidR="00CF7DCB" w:rsidRDefault="007010C3" w:rsidP="007010C3">
      <w:pPr>
        <w:tabs>
          <w:tab w:val="left" w:pos="1740"/>
        </w:tabs>
        <w:spacing w:after="0" w:line="240" w:lineRule="auto"/>
        <w:ind w:firstLine="567"/>
        <w:jc w:val="both"/>
        <w:rPr>
          <w:rFonts w:asciiTheme="minorHAnsi" w:eastAsia="Georgia" w:hAnsiTheme="minorHAnsi" w:cstheme="minorHAnsi"/>
          <w:bCs/>
          <w:color w:val="000000"/>
          <w:sz w:val="20"/>
          <w:szCs w:val="20"/>
          <w:u w:color="000000"/>
          <w:bdr w:val="nil"/>
          <w:lang w:val="hr-HR" w:eastAsia="es-MX"/>
        </w:rPr>
      </w:pPr>
    </w:p>
    <w:p w14:paraId="401D168E" w14:textId="77777777" w:rsidR="00820C36" w:rsidRDefault="00820C36" w:rsidP="00820C36">
      <w:pPr>
        <w:keepNext/>
        <w:tabs>
          <w:tab w:val="left" w:pos="1740"/>
        </w:tabs>
        <w:spacing w:after="0"/>
        <w:jc w:val="center"/>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b/>
          <w:bCs/>
          <w:color w:val="632423" w:themeColor="accent2" w:themeShade="80"/>
          <w:sz w:val="18"/>
          <w:szCs w:val="18"/>
          <w:u w:color="000000"/>
          <w:bdr w:val="nil"/>
          <w:lang w:val="hr-HR" w:eastAsia="es-MX"/>
        </w:rPr>
        <w:t xml:space="preserve">Table 6</w:t>
      </w:r>
      <w:r>
        <w:rPr>
          <w:rFonts w:asciiTheme="minorHAnsi" w:eastAsia="Georgia" w:hAnsiTheme="minorHAnsi" w:cstheme="minorHAnsi"/>
          <w:color w:val="000000"/>
          <w:sz w:val="18"/>
          <w:szCs w:val="18"/>
          <w:bdr w:val="nil"/>
          <w:lang w:val="hr-HR" w:eastAsia="es-MX"/>
        </w:rPr>
        <w:t xml:space="preserve"> Comparison with earlier studies</w:t>
      </w:r>
    </w:p>
    <w:tbl>
      <w:tblPr>
        <w:tblW w:type="pct" w:w="5000"/>
        <w:jc w:val="center"/>
        <w:tblLayout w:type="fixed"/>
      </w:tblPr>
      <w:tblGrid>
        <w:gridCol w:w="2562"/>
        <w:gridCol w:w="1607"/>
        <w:gridCol w:w="3014"/>
        <w:gridCol w:w="3014"/>
      </w:tblGrid>
      <w:tr>
        <w:trPr>
          <w:cantSplit/>
          <w:tblHeader w:val="true"/>
        </w:trPr>
        <w:tc>
          <w:tcPr>
            <w:tcW w:type="dxa" w:w="2562"/>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Study</w:t>
            </w:r>
          </w:p>
        </w:tc>
        <w:tc>
          <w:tcPr>
            <w:tcW w:type="dxa" w:w="1607"/>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Setting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Reported finding</w:t>
            </w:r>
          </w:p>
        </w:tc>
        <w:tc>
          <w:tcPr>
            <w:tcW w:type="dxa" w:w="3014"/>
            <w:tcBorders>
              <w:top w:val="single" w:sz="8" w:space="0" w:color="000000"/>
              <w:bottom w:val="single" w:sz="6" w:space="0" w:color="000000"/>
            </w:tcBorders>
          </w:tcPr>
          <w:p>
            <w:pPr>
              <w:keepNext/>
              <w:spacing w:before="10" w:after="10" w:line="240" w:lineRule="auto"/>
              <w:jc w:val="left"/>
            </w:pPr>
            <w:r>
              <w:rPr>
                <w:rFonts w:asciiTheme="minorHAnsi" w:hAnsiTheme="minorHAnsi" w:cstheme="minorHAnsi"/>
                <w:sz w:val="16"/>
                <w:szCs w:val="16"/>
              </w:rPr>
              <w:t xml:space="preserve">Relation to our result</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Kim and Rhee (1997)</w:t>
            </w:r>
          </w:p>
        </w:tc>
        <w:tc>
          <w:tcPr>
            <w:tcW w:type="dxa" w:w="1607"/>
            <w:tcBorders/>
          </w:tcPr>
          <w:p>
            <w:pPr>
              <w:keepNext/>
              <w:spacing w:before="10" w:after="10" w:line="240" w:lineRule="auto"/>
              <w:jc w:val="left"/>
            </w:pPr>
            <w:r>
              <w:rPr>
                <w:rFonts w:asciiTheme="minorHAnsi" w:hAnsiTheme="minorHAnsi" w:cstheme="minorHAnsi"/>
                <w:sz w:val="16"/>
                <w:szCs w:val="16"/>
              </w:rPr>
              <w:t xml:space="preserve">Tokyo, 1989–1992; limit hits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continuation after limit hits in 65% (upper) and 49% (lower) of cases, against 50% and 32% for stocks reaching 90% of the limit; volatility spillover and trading interference</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direction: the overnight move is larger at the limit than near it; we measure its size, not its frequency; spillover and interference not tested</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and Lee (2002)</w:t>
            </w:r>
          </w:p>
        </w:tc>
        <w:tc>
          <w:tcPr>
            <w:tcW w:type="dxa" w:w="1607"/>
            <w:tcBorders/>
          </w:tcPr>
          <w:p>
            <w:pPr>
              <w:keepNext/>
              <w:spacing w:before="10" w:after="10" w:line="240" w:lineRule="auto"/>
              <w:jc w:val="left"/>
            </w:pPr>
            <w:r>
              <w:rPr>
                <w:rFonts w:asciiTheme="minorHAnsi" w:hAnsiTheme="minorHAnsi" w:cstheme="minorHAnsi"/>
                <w:sz w:val="16"/>
                <w:szCs w:val="16"/>
              </w:rPr>
              <w:t xml:space="preserve">Korea; limit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Volatility and trading activity around the revision</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question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Huang et al. (2001)</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1990–1996; 7% band</w:t>
            </w:r>
          </w:p>
        </w:tc>
        <w:tc>
          <w:tcPr>
            <w:tcW w:type="dxa" w:w="3014"/>
            <w:tcBorders/>
          </w:tcPr>
          <w:p>
            <w:pPr>
              <w:keepNext/>
              <w:spacing w:before="10" w:after="10" w:line="240" w:lineRule="auto"/>
              <w:jc w:val="left"/>
            </w:pPr>
            <w:r>
              <w:rPr>
                <w:rFonts w:asciiTheme="minorHAnsi" w:hAnsiTheme="minorHAnsi" w:cstheme="minorHAnsi"/>
                <w:sz w:val="16"/>
                <w:szCs w:val="16"/>
              </w:rPr>
              <w:t xml:space="preserve">One-day up-limit closes: +1.18% overnight, −0.77% in the next session; near-limit rises: +0.23% and −0.72%; down-limit closes: −2.17% and +1.24%</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timing; our ceiling gap (2.24%) is larger, and the session reverses a smaller share (24% against about two thirds)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Cho et al. (2003)</w:t>
            </w:r>
          </w:p>
        </w:tc>
        <w:tc>
          <w:tcPr>
            <w:tcW w:type="dxa" w:w="1607"/>
            <w:tcBorders/>
          </w:tcPr>
          <w:p>
            <w:pPr>
              <w:keepNext/>
              <w:spacing w:before="10" w:after="10" w:line="240" w:lineRule="auto"/>
              <w:jc w:val="left"/>
            </w:pPr>
            <w:r>
              <w:rPr>
                <w:rFonts w:asciiTheme="minorHAnsi" w:hAnsiTheme="minorHAnsi" w:cstheme="minorHAnsi"/>
                <w:sz w:val="16"/>
                <w:szCs w:val="16"/>
              </w:rPr>
              <w:t xml:space="preserve">Taiwan; five-minute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Prices accelerate toward the upper limit</w:t>
            </w:r>
          </w:p>
        </w:tc>
        <w:tc>
          <w:tcPr>
            <w:tcW w:type="dxa" w:w="3014"/>
            <w:tcBorders/>
          </w:tcPr>
          <w:p>
            <w:pPr>
              <w:keepNext/>
              <w:spacing w:before="10" w:after="10" w:line="240" w:lineRule="auto"/>
              <w:jc w:val="left"/>
            </w:pPr>
            <w:r>
              <w:rPr>
                <w:rFonts w:asciiTheme="minorHAnsi" w:hAnsiTheme="minorHAnsi" w:cstheme="minorHAnsi"/>
                <w:sz w:val="16"/>
                <w:szCs w:val="16"/>
              </w:rPr>
              <w:t xml:space="preserve">Not tested; no intraday prices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Chen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Shenzhen; accounts</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investors buy on the limit day and sell the next; their net buying predicts long-run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Consistent with our intraday reversal; no account identities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 (2023)</w:t>
            </w:r>
          </w:p>
        </w:tc>
        <w:tc>
          <w:tcPr>
            <w:tcW w:type="dxa" w:w="1607"/>
            <w:tcBorders/>
          </w:tcPr>
          <w:p>
            <w:pPr>
              <w:keepNext/>
              <w:spacing w:before="10" w:after="10" w:line="240" w:lineRule="auto"/>
              <w:jc w:val="left"/>
            </w:pPr>
            <w:r>
              <w:rPr>
                <w:rFonts w:asciiTheme="minorHAnsi" w:hAnsiTheme="minorHAnsi" w:cstheme="minorHAnsi"/>
                <w:sz w:val="16"/>
                <w:szCs w:val="16"/>
              </w:rPr>
              <w:t xml:space="preserve">ChiNext, 2020–2021; band 10% to 20%</w:t>
            </w:r>
          </w:p>
        </w:tc>
        <w:tc>
          <w:tcPr>
            <w:tcW w:type="dxa" w:w="3014"/>
            <w:tcBorders/>
          </w:tcPr>
          <w:p>
            <w:pPr>
              <w:keepNext/>
              <w:spacing w:before="10" w:after="10" w:line="240" w:lineRule="auto"/>
              <w:jc w:val="left"/>
            </w:pPr>
            <w:r>
              <w:rPr>
                <w:rFonts w:asciiTheme="minorHAnsi" w:hAnsiTheme="minorHAnsi" w:cstheme="minorHAnsi"/>
                <w:sz w:val="16"/>
                <w:szCs w:val="16"/>
              </w:rPr>
              <w:t xml:space="preserve">Day-1 abnormal return +0.24% after upper-limit closes and −3.37% after lower-limit closes under the 10% band; spillover and interference, stronger at the lower limit; no magnet effect</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asymmetry: our day-</w:t>
            </w:r>
            <w:r>
              <w:rPr>
                <w:rFonts w:asciiTheme="minorHAnsi" w:hAnsiTheme="minorHAnsi" w:cstheme="minorHAnsi"/>
                <w:i/>
                <w:iCs/>
                <w:sz w:val="16"/>
                <w:szCs w:val="16"/>
              </w:rPr>
              <w:t xml:space="preserve">d</w:t>
            </w:r>
            <w:r>
              <w:rPr>
                <w:rFonts w:asciiTheme="minorHAnsi" w:hAnsiTheme="minorHAnsi" w:cstheme="minorHAnsi"/>
                <w:sz w:val="16"/>
                <w:szCs w:val="16"/>
              </w:rPr>
              <w:t xml:space="preserve">+1 return is 1.66% after ceiling and −0.71% after floor closes</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Lin et al. (2023); Zeng et al. (2024)</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cross-section</w:t>
            </w:r>
          </w:p>
        </w:tc>
        <w:tc>
          <w:tcPr>
            <w:tcW w:type="dxa" w:w="3014"/>
            <w:tcBorders/>
          </w:tcPr>
          <w:p>
            <w:pPr>
              <w:keepNext/>
              <w:spacing w:before="10" w:after="10" w:line="240" w:lineRule="auto"/>
              <w:jc w:val="left"/>
            </w:pPr>
            <w:r>
              <w:rPr>
                <w:rFonts w:asciiTheme="minorHAnsi" w:hAnsiTheme="minorHAnsi" w:cstheme="minorHAnsi"/>
                <w:sz w:val="16"/>
                <w:szCs w:val="16"/>
              </w:rPr>
              <w:t xml:space="preserve">Large limit exposure or frequent upper-limit hits predict lower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Different horizon; a one-day gain can coexist with later reversal, which we do not measure</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Berkman et al. (2012)</w:t>
            </w:r>
          </w:p>
        </w:tc>
        <w:tc>
          <w:tcPr>
            <w:tcW w:type="dxa" w:w="1607"/>
            <w:tcBorders/>
          </w:tcPr>
          <w:p>
            <w:pPr>
              <w:keepNext/>
              <w:spacing w:before="10" w:after="10" w:line="240" w:lineRule="auto"/>
              <w:jc w:val="left"/>
            </w:pPr>
            <w:r>
              <w:rPr>
                <w:rFonts w:asciiTheme="minorHAnsi" w:hAnsiTheme="minorHAnsi" w:cstheme="minorHAnsi"/>
                <w:sz w:val="16"/>
                <w:szCs w:val="16"/>
              </w:rPr>
              <w:t xml:space="preserve">U.S.; intraday data</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gains, intraday reversals, concentrated in high-attention stocks</w:t>
            </w:r>
          </w:p>
        </w:tc>
        <w:tc>
          <w:tcPr>
            <w:tcW w:type="dxa" w:w="3014"/>
            <w:tcBorders/>
          </w:tcPr>
          <w:p>
            <w:pPr>
              <w:keepNext/>
              <w:spacing w:before="10" w:after="10" w:line="240" w:lineRule="auto"/>
              <w:jc w:val="left"/>
            </w:pPr>
            <w:r>
              <w:rPr>
                <w:rFonts w:asciiTheme="minorHAnsi" w:hAnsiTheme="minorHAnsi" w:cstheme="minorHAnsi"/>
                <w:sz w:val="16"/>
                <w:szCs w:val="16"/>
              </w:rPr>
              <w:t xml:space="preserve">Same signs; the gap also rises with volume and prior return</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Lou et al. (2019)</w:t>
            </w:r>
          </w:p>
        </w:tc>
        <w:tc>
          <w:tcPr>
            <w:tcW w:type="dxa" w:w="1607"/>
            <w:tcBorders/>
          </w:tcPr>
          <w:p>
            <w:pPr>
              <w:keepNext/>
              <w:spacing w:before="10" w:after="10" w:line="240" w:lineRule="auto"/>
              <w:jc w:val="left"/>
            </w:pPr>
            <w:r>
              <w:rPr>
                <w:rFonts w:asciiTheme="minorHAnsi" w:hAnsiTheme="minorHAnsi" w:cstheme="minorHAnsi"/>
                <w:sz w:val="16"/>
                <w:szCs w:val="16"/>
              </w:rPr>
              <w:t xml:space="preserve">U.S.; stock returns</w:t>
            </w:r>
          </w:p>
        </w:tc>
        <w:tc>
          <w:tcPr>
            <w:tcW w:type="dxa" w:w="3014"/>
            <w:tcBorders/>
          </w:tcPr>
          <w:p>
            <w:pPr>
              <w:keepNext/>
              <w:spacing w:before="10" w:after="10" w:line="240" w:lineRule="auto"/>
              <w:jc w:val="left"/>
            </w:pPr>
            <w:r>
              <w:rPr>
                <w:rFonts w:asciiTheme="minorHAnsi" w:hAnsiTheme="minorHAnsi" w:cstheme="minorHAnsi"/>
                <w:sz w:val="16"/>
                <w:szCs w:val="16"/>
              </w:rPr>
              <w:t xml:space="preserve">Overnight and intraday continuation, offsetting cross-period reversal</w:t>
            </w:r>
          </w:p>
        </w:tc>
        <w:tc>
          <w:tcPr>
            <w:tcW w:type="dxa" w:w="3014"/>
            <w:tcBorders/>
          </w:tcPr>
          <w:p>
            <w:pPr>
              <w:keepNext/>
              <w:spacing w:before="10" w:after="10" w:line="240" w:lineRule="auto"/>
              <w:jc w:val="left"/>
            </w:pPr>
            <w:r>
              <w:rPr>
                <w:rFonts w:asciiTheme="minorHAnsi" w:hAnsiTheme="minorHAnsi" w:cstheme="minorHAnsi"/>
                <w:sz w:val="16"/>
                <w:szCs w:val="16"/>
              </w:rPr>
              <w:t xml:space="preserve">Gap-then-reversal has the sign of that cross-period reversal at one day</w:t>
            </w:r>
          </w:p>
        </w:tc>
      </w:tr>
      <w:tr>
        <w:trPr>
          <w:cantSplit/>
        </w:trPr>
        <w:tc>
          <w:tcPr>
            <w:tcW w:type="dxa" w:w="2562"/>
            <w:tcBorders/>
          </w:tcPr>
          <w:p>
            <w:pPr>
              <w:keepNext/>
              <w:spacing w:before="10" w:after="10" w:line="240" w:lineRule="auto"/>
              <w:jc w:val="left"/>
            </w:pPr>
            <w:r>
              <w:rPr>
                <w:rFonts w:asciiTheme="minorHAnsi" w:hAnsiTheme="minorHAnsi" w:cstheme="minorHAnsi"/>
                <w:sz w:val="16"/>
                <w:szCs w:val="16"/>
              </w:rPr>
              <w:t xml:space="preserve">Qiao and Dam (2020)</w:t>
            </w:r>
          </w:p>
        </w:tc>
        <w:tc>
          <w:tcPr>
            <w:tcW w:type="dxa" w:w="1607"/>
            <w:tcBorders/>
          </w:tcPr>
          <w:p>
            <w:pPr>
              <w:keepNext/>
              <w:spacing w:before="10" w:after="10" w:line="240" w:lineRule="auto"/>
              <w:jc w:val="left"/>
            </w:pPr>
            <w:r>
              <w:rPr>
                <w:rFonts w:asciiTheme="minorHAnsi" w:hAnsiTheme="minorHAnsi" w:cstheme="minorHAnsi"/>
                <w:sz w:val="16"/>
                <w:szCs w:val="16"/>
              </w:rPr>
              <w:t xml:space="preserve">China A-shares</w:t>
            </w:r>
          </w:p>
        </w:tc>
        <w:tc>
          <w:tcPr>
            <w:tcW w:type="dxa" w:w="3014"/>
            <w:tcBorders/>
          </w:tcPr>
          <w:p>
            <w:pPr>
              <w:keepNext/>
              <w:spacing w:before="10" w:after="10" w:line="240" w:lineRule="auto"/>
              <w:jc w:val="left"/>
            </w:pPr>
            <w:r>
              <w:rPr>
                <w:rFonts w:asciiTheme="minorHAnsi" w:hAnsiTheme="minorHAnsi" w:cstheme="minorHAnsi"/>
                <w:sz w:val="16"/>
                <w:szCs w:val="16"/>
              </w:rPr>
              <w:t xml:space="preserve">Negative average overnight return; T+1 rule lowers opening prices</w:t>
            </w:r>
          </w:p>
        </w:tc>
        <w:tc>
          <w:tcPr>
            <w:tcW w:type="dxa" w:w="3014"/>
            <w:tcBorders/>
          </w:tcPr>
          <w:p>
            <w:pPr>
              <w:keepNext/>
              <w:spacing w:before="10" w:after="10" w:line="240" w:lineRule="auto"/>
              <w:jc w:val="left"/>
            </w:pPr>
            <w:r>
              <w:rPr>
                <w:rFonts w:asciiTheme="minorHAnsi" w:hAnsiTheme="minorHAnsi" w:cstheme="minorHAnsi"/>
                <w:sz w:val="16"/>
                <w:szCs w:val="16"/>
              </w:rPr>
              <w:t xml:space="preserve">Opposite sign: positive overnight return after ceiling closes</w:t>
            </w:r>
          </w:p>
        </w:tc>
      </w:tr>
      <w:tr>
        <w:trPr>
          <w:cantSplit/>
        </w:trPr>
        <w:tc>
          <w:tcPr>
            <w:tcW w:type="dxa" w:w="2562"/>
            <w:tcBorders>
              <w:bottom w:val="single" w:sz="8" w:space="0" w:color="000000"/>
            </w:tcBorders>
          </w:tcPr>
          <w:p>
            <w:pPr>
              <w:spacing w:before="10" w:after="10" w:line="240" w:lineRule="auto"/>
              <w:jc w:val="left"/>
            </w:pPr>
            <w:r>
              <w:rPr>
                <w:rFonts w:asciiTheme="minorHAnsi" w:hAnsiTheme="minorHAnsi" w:cstheme="minorHAnsi"/>
                <w:sz w:val="16"/>
                <w:szCs w:val="16"/>
              </w:rPr>
              <w:t xml:space="preserve">Hou et al. (2020); Harvey et al. (2016)</w:t>
            </w:r>
          </w:p>
        </w:tc>
        <w:tc>
          <w:tcPr>
            <w:tcW w:type="dxa" w:w="1607"/>
            <w:tcBorders>
              <w:bottom w:val="single" w:sz="8" w:space="0" w:color="000000"/>
            </w:tcBorders>
          </w:tcPr>
          <w:p>
            <w:pPr>
              <w:spacing w:before="10" w:after="10" w:line="240" w:lineRule="auto"/>
              <w:jc w:val="left"/>
            </w:pPr>
            <w:r>
              <w:rPr>
                <w:rFonts w:asciiTheme="minorHAnsi" w:hAnsiTheme="minorHAnsi" w:cstheme="minorHAnsi"/>
                <w:sz w:val="16"/>
                <w:szCs w:val="16"/>
              </w:rPr>
              <w:t xml:space="preserve">U.S.; anomalies</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With microcaps mitigated, 65% of 452 anomalies fail the 1.96 hurdle; a new factor needs</w:t>
            </w:r>
            <w:r>
              <w:rPr>
                <w:rFonts w:asciiTheme="minorHAnsi" w:hAnsiTheme="minorHAnsi" w:cstheme="minorHAnsi"/>
                <w:sz w:val="16"/>
                <w:szCs w:val="16"/>
              </w:rPr>
              <w:t xml:space="preserve"> </w:t>
            </w:r>
            <w:r>
              <w:rPr>
                <w:rFonts w:asciiTheme="minorHAnsi" w:hAnsiTheme="minorHAnsi" w:cstheme="minorHAnsi"/>
                <w:i/>
                <w:iCs/>
                <w:sz w:val="16"/>
                <w:szCs w:val="16"/>
              </w:rPr>
              <w:t xml:space="preserve">t</w:t>
            </w:r>
            <w:r>
              <w:rPr>
                <w:rFonts w:asciiTheme="minorHAnsi" w:hAnsiTheme="minorHAnsi" w:cstheme="minorHAnsi"/>
                <w:sz w:val="16"/>
                <w:szCs w:val="16"/>
              </w:rPr>
              <w:t xml:space="preserve"> </w:t>
            </w:r>
            <w:r>
              <w:rPr>
                <w:rFonts w:asciiTheme="minorHAnsi" w:hAnsiTheme="minorHAnsi" w:cstheme="minorHAnsi"/>
                <w:sz w:val="16"/>
                <w:szCs w:val="16"/>
              </w:rPr>
              <w:t xml:space="preserve">above 3.0</w:t>
            </w:r>
          </w:p>
        </w:tc>
        <w:tc>
          <w:tcPr>
            <w:tcW w:type="dxa" w:w="3014"/>
            <w:tcBorders>
              <w:bottom w:val="single" w:sz="8" w:space="0" w:color="000000"/>
            </w:tcBorders>
          </w:tcPr>
          <w:p>
            <w:pPr>
              <w:spacing w:before="10" w:after="10" w:line="240" w:lineRule="auto"/>
              <w:jc w:val="left"/>
            </w:pPr>
            <w:r>
              <w:rPr>
                <w:rFonts w:asciiTheme="minorHAnsi" w:hAnsiTheme="minorHAnsi" w:cstheme="minorHAnsi"/>
                <w:sz w:val="16"/>
                <w:szCs w:val="16"/>
              </w:rPr>
              <w:t xml:space="preserve">None of our 22 characteristics reaches 1.96 in the full sample</w:t>
            </w:r>
          </w:p>
        </w:tc>
      </w:tr>
    </w:tbl>
    <w:p w14:paraId="601B9612" w14:textId="77777777" w:rsidR="00820C36" w:rsidRDefault="00820C36" w:rsidP="00820C36">
      <w:pPr>
        <w:autoSpaceDE w:val="0"/>
        <w:autoSpaceDN w:val="0"/>
        <w:adjustRightInd w:val="0"/>
        <w:spacing w:after="0"/>
        <w:jc w:val="both"/>
        <w:rPr>
          <w:rFonts w:asciiTheme="minorHAnsi" w:eastAsia="Georgia" w:hAnsiTheme="minorHAnsi" w:cstheme="minorHAnsi"/>
          <w:bCs/>
          <w:color w:val="000000"/>
          <w:sz w:val="18"/>
          <w:szCs w:val="18"/>
          <w:u w:color="000000"/>
          <w:bdr w:val="nil"/>
          <w:lang w:val="hr-HR" w:eastAsia="es-MX"/>
        </w:rPr>
      </w:pPr>
      <w:r>
        <w:rPr>
          <w:rFonts w:asciiTheme="minorHAnsi" w:eastAsia="Georgia" w:hAnsiTheme="minorHAnsi" w:cstheme="minorHAnsi"/>
          <w:color w:val="000000"/>
          <w:sz w:val="18"/>
          <w:szCs w:val="18"/>
          <w:bdr w:val="nil"/>
          <w:lang w:val="hr-HR" w:eastAsia="es-MX"/>
        </w:rPr>
        <w:t xml:space="preserve"/>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i/>
          <w:color w:val="000000"/>
          <w:sz w:val="18"/>
          <w:szCs w:val="18"/>
          <w:bdr w:val="nil"/>
          <w:lang w:val="hr-HR" w:eastAsia="es-MX"/>
        </w:rPr>
        <w:t xml:space="preserve">Note.</w:t>
      </w:r>
      <w:r>
        <w:rPr>
          <w:rFonts w:asciiTheme="minorHAnsi" w:eastAsia="Georgia" w:hAnsiTheme="minorHAnsi" w:cstheme="minorHAnsi"/>
          <w:color w:val="000000"/>
          <w:sz w:val="18"/>
          <w:szCs w:val="18"/>
          <w:bdr w:val="nil"/>
          <w:lang w:val="hr-HR" w:eastAsia="es-MX"/>
        </w:rPr>
        <w:t xml:space="preserve"> </w:t>
      </w:r>
      <w:r>
        <w:rPr>
          <w:rFonts w:asciiTheme="minorHAnsi" w:eastAsia="Georgia" w:hAnsiTheme="minorHAnsi" w:cstheme="minorHAnsi"/>
          <w:color w:val="000000"/>
          <w:sz w:val="18"/>
          <w:szCs w:val="18"/>
          <w:bdr w:val="nil"/>
          <w:lang w:val="hr-HR" w:eastAsia="es-MX"/>
        </w:rPr>
        <w:t xml:space="preserve">Entries for Kim and Rhee (1997), Huang et al. (2001), and Qi (2023) report results from the full texts; the other entries summarize each study’s abstract.</w:t>
      </w:r>
    </w:p>
    <w:sectPr w:rsidR="006F2D9E" w:rsidRPr="006F2D9E" w:rsidSect="001E3F3A">
      <w:type w:val="continuous"/>
      <w:pgSz w:w="11906" w:h="16838"/>
      <w:pgMar w:top="1418" w:right="849" w:bottom="1418" w:left="851" w:header="709" w:footer="709" w:gutter="0"/>
      <w:lnNumType w:countBy="1" w:restart="continuous"/>
      <w:cols w:space="3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93B8A" w14:textId="77777777" w:rsidR="00570226" w:rsidRDefault="00570226" w:rsidP="00201BED">
      <w:pPr>
        <w:spacing w:after="0" w:line="240" w:lineRule="auto"/>
      </w:pPr>
      <w:r>
        <w:separator/>
      </w:r>
    </w:p>
  </w:endnote>
  <w:endnote w:type="continuationSeparator" w:id="0">
    <w:p w14:paraId="53D39E30" w14:textId="77777777" w:rsidR="00570226" w:rsidRDefault="00570226" w:rsidP="0020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RSKHIL+WarnockPro-Regular">
    <w:altName w:val="Times New Roman"/>
    <w:panose1 w:val="020B0604020202020204"/>
    <w:charset w:val="00"/>
    <w:family w:val="roman"/>
    <w:notTrueType/>
    <w:pitch w:val="default"/>
    <w:sig w:usb0="00000003" w:usb1="00000000" w:usb2="00000000" w:usb3="00000000" w:csb0="00000001" w:csb1="00000000"/>
  </w:font>
  <w:font w:name="DejaVu Sans">
    <w:panose1 w:val="020B0604020202020204"/>
    <w:charset w:val="00"/>
    <w:family w:val="swiss"/>
    <w:pitch w:val="variable"/>
    <w:sig w:usb0="E7000EFF" w:usb1="5200F5FF" w:usb2="0A242021" w:usb3="00000000" w:csb0="000001BF" w:csb1="00000000"/>
  </w:font>
  <w:font w:name="TimesNewRomanPSMT">
    <w:altName w:val="Times New Roman"/>
    <w:panose1 w:val="020B0604020202020204"/>
    <w:charset w:val="00"/>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Helvetica Neue">
    <w:altName w:val="Arial"/>
    <w:panose1 w:val="02000503000000020004"/>
    <w:charset w:val="00"/>
    <w:family w:val="auto"/>
    <w:pitch w:val="variable"/>
    <w:sig w:usb0="E50002FF" w:usb1="500079DB" w:usb2="00000010" w:usb3="00000000" w:csb0="0000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5B43" w14:textId="4DA9117E" w:rsidR="005705D6" w:rsidRDefault="006E7F0C" w:rsidP="0040758B">
    <w:pPr>
      <w:pStyle w:val="Rodap"/>
      <w:tabs>
        <w:tab w:val="clear" w:pos="4252"/>
        <w:tab w:val="clear" w:pos="8504"/>
        <w:tab w:val="left" w:pos="6969"/>
      </w:tabs>
    </w:pPr>
    <w:r w:rsidRPr="00047AD1">
      <w:rPr>
        <w:noProof/>
        <w:color w:val="0070C0"/>
        <w:sz w:val="20"/>
        <w:lang w:eastAsia="pt-BR"/>
      </w:rPr>
      <w:drawing>
        <wp:anchor distT="0" distB="0" distL="114300" distR="114300" simplePos="0" relativeHeight="251711488" behindDoc="1" locked="0" layoutInCell="1" allowOverlap="1" wp14:anchorId="6A10E517" wp14:editId="127DFA18">
          <wp:simplePos x="0" y="0"/>
          <wp:positionH relativeFrom="column">
            <wp:posOffset>6233491</wp:posOffset>
          </wp:positionH>
          <wp:positionV relativeFrom="paragraph">
            <wp:posOffset>-195580</wp:posOffset>
          </wp:positionV>
          <wp:extent cx="193040" cy="187325"/>
          <wp:effectExtent l="0" t="0" r="0" b="3175"/>
          <wp:wrapNone/>
          <wp:docPr id="1442428094" name="Imagem 1442428094">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r w:rsidR="005705D6">
      <w:rPr>
        <w:noProof/>
        <w:lang w:eastAsia="pt-BR"/>
      </w:rPr>
      <mc:AlternateContent>
        <mc:Choice Requires="wps">
          <w:drawing>
            <wp:anchor distT="0" distB="0" distL="114300" distR="114300" simplePos="0" relativeHeight="251707392" behindDoc="0" locked="0" layoutInCell="1" allowOverlap="1" wp14:anchorId="648CBBA5" wp14:editId="76F3EF6D">
              <wp:simplePos x="0" y="0"/>
              <wp:positionH relativeFrom="column">
                <wp:posOffset>-47404</wp:posOffset>
              </wp:positionH>
              <wp:positionV relativeFrom="paragraph">
                <wp:posOffset>-171726</wp:posOffset>
              </wp:positionV>
              <wp:extent cx="2107096" cy="238836"/>
              <wp:effectExtent l="0" t="0" r="7620" b="8890"/>
              <wp:wrapNone/>
              <wp:docPr id="2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7096" cy="23883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44C6F6" w14:textId="77777777" w:rsidR="00225D49" w:rsidRPr="00B33510" w:rsidRDefault="00570226" w:rsidP="00225D49">
                          <w:pPr>
                            <w:rPr>
                              <w:rFonts w:cs="Calibri"/>
                              <w:color w:val="A6A6A6" w:themeColor="background1" w:themeShade="A6"/>
                              <w:sz w:val="16"/>
                              <w:szCs w:val="16"/>
                            </w:rPr>
                          </w:pPr>
                          <w:hyperlink r:id="rId3"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648CBBA5" id="_x0000_t202" coordsize="21600,21600" o:spt="202" path="m,l,21600r21600,l21600,xe">
              <v:stroke joinstyle="miter"/>
              <v:path gradientshapeok="t" o:connecttype="rect"/>
            </v:shapetype>
            <v:shape id="_x0000_s1029" type="#_x0000_t202" style="position:absolute;margin-left:-3.75pt;margin-top:-13.5pt;width:165.9pt;height:18.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" stroked="f">
              <v:textbox>
                <w:txbxContent>
                  <w:p w14:paraId="4C44C6F6" w14:textId="77777777" w:rsidR="00225D49" w:rsidRPr="00B33510" w:rsidRDefault="00000000" w:rsidP="00225D49">
                    <w:pPr>
                      <w:rPr>
                        <w:rFonts w:cs="Calibri"/>
                        <w:color w:val="A6A6A6" w:themeColor="background1" w:themeShade="A6"/>
                        <w:sz w:val="16"/>
                        <w:szCs w:val="16"/>
                      </w:rPr>
                    </w:pPr>
                    <w:hyperlink r:id="rId4" w:history="1">
                      <w:r w:rsidR="00225D49" w:rsidRPr="00B33510">
                        <w:rPr>
                          <w:rStyle w:val="Hyperlink"/>
                          <w:rFonts w:cs="Calibri"/>
                          <w:color w:val="A6A6A6" w:themeColor="background1" w:themeShade="A6"/>
                          <w:sz w:val="16"/>
                          <w:szCs w:val="16"/>
                          <w:u w:val="none"/>
                        </w:rPr>
                        <w:t>https://www.malque.pub/ojs/index.php/msj</w:t>
                      </w:r>
                    </w:hyperlink>
                  </w:p>
                  <w:p w14:paraId="68C7ACC2" w14:textId="6592D00F" w:rsidR="005705D6" w:rsidRPr="00A37526" w:rsidRDefault="005705D6" w:rsidP="0040758B">
                    <w:pPr>
                      <w:rPr>
                        <w:rFonts w:cs="Calibri"/>
                        <w:color w:val="A6A6A6" w:themeColor="background1" w:themeShade="A6"/>
                        <w:sz w:val="16"/>
                        <w:szCs w:val="16"/>
                      </w:rPr>
                    </w:pPr>
                  </w:p>
                </w:txbxContent>
              </v:textbox>
            </v:shape>
          </w:pict>
        </mc:Fallback>
      </mc:AlternateContent>
    </w:r>
    <w:r w:rsidR="005705D6">
      <w:rPr>
        <w:noProof/>
        <w:lang w:eastAsia="pt-BR"/>
      </w:rPr>
      <mc:AlternateContent>
        <mc:Choice Requires="wps">
          <w:drawing>
            <wp:anchor distT="4294967295" distB="4294967295" distL="114300" distR="114300" simplePos="0" relativeHeight="251684864" behindDoc="0" locked="0" layoutInCell="1" allowOverlap="1" wp14:anchorId="23817E40" wp14:editId="55DB80C1">
              <wp:simplePos x="0" y="0"/>
              <wp:positionH relativeFrom="column">
                <wp:posOffset>33020</wp:posOffset>
              </wp:positionH>
              <wp:positionV relativeFrom="paragraph">
                <wp:posOffset>-220345</wp:posOffset>
              </wp:positionV>
              <wp:extent cx="6417945" cy="0"/>
              <wp:effectExtent l="0" t="0" r="8255" b="12700"/>
              <wp:wrapNone/>
              <wp:docPr id="6"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94AD2D" id="_x0000_t32" coordsize="21600,21600" o:spt="32" o:oned="t" path="m,l21600,21600e" filled="f">
              <v:path arrowok="t" fillok="f" o:connecttype="none"/>
              <o:lock v:ext="edit" shapetype="t"/>
            </v:shapetype>
            <v:shape id="AutoShape 16" o:spid="_x0000_s1026" type="#_x0000_t32" style="position:absolute;margin-left:2.6pt;margin-top:-17.35pt;width:505.35pt;height:0;z-index:25168486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" strokecolor="#83150e" strokeweight="1pt"/>
          </w:pict>
        </mc:Fallback>
      </mc:AlternateContent>
    </w:r>
    <w:r w:rsidR="005705D6">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102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4394"/>
      <w:gridCol w:w="2747"/>
    </w:tblGrid>
    <w:tr w:rsidR="007409D7" w:rsidRPr="00A94872" w14:paraId="27DA4ED7" w14:textId="77777777" w:rsidTr="00870D6E">
      <w:trPr>
        <w:trHeight w:val="532"/>
      </w:trPr>
      <w:tc>
        <w:tcPr>
          <w:tcW w:w="3119" w:type="dxa"/>
        </w:tcPr>
        <w:p w14:paraId="37DD1B26" w14:textId="5397B12F" w:rsidR="00877B75" w:rsidRPr="007409D7" w:rsidRDefault="004C6D61" w:rsidP="00877B75">
          <w:pPr>
            <w:spacing w:after="0" w:line="240" w:lineRule="auto"/>
            <w:jc w:val="center"/>
            <w:rPr>
              <w:rFonts w:asciiTheme="minorHAnsi" w:hAnsiTheme="minorHAnsi" w:cstheme="minorHAnsi"/>
              <w:color w:val="BFBFBF" w:themeColor="background1" w:themeShade="BF"/>
              <w:sz w:val="8"/>
              <w:szCs w:val="8"/>
              <w:lang w:val="en-US"/>
            </w:rPr>
          </w:pPr>
          <w:r w:rsidRPr="007409D7">
            <w:rPr>
              <w:noProof/>
              <w:color w:val="BFBFBF" w:themeColor="background1" w:themeShade="BF"/>
              <w:lang w:eastAsia="pt-BR"/>
            </w:rPr>
            <mc:AlternateContent>
              <mc:Choice Requires="wps">
                <w:drawing>
                  <wp:anchor distT="4294967295" distB="4294967295" distL="114300" distR="114300" simplePos="0" relativeHeight="251691008" behindDoc="0" locked="0" layoutInCell="1" allowOverlap="1" wp14:anchorId="5C0D3489" wp14:editId="739CDAFE">
                    <wp:simplePos x="0" y="0"/>
                    <wp:positionH relativeFrom="column">
                      <wp:posOffset>-43815</wp:posOffset>
                    </wp:positionH>
                    <wp:positionV relativeFrom="paragraph">
                      <wp:posOffset>4752</wp:posOffset>
                    </wp:positionV>
                    <wp:extent cx="6417945" cy="0"/>
                    <wp:effectExtent l="0" t="0" r="8255" b="12700"/>
                    <wp:wrapNone/>
                    <wp:docPr id="1"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E2FD8A" id="_x0000_t32" coordsize="21600,21600" o:spt="32" o:oned="t" path="m,l21600,21600e" filled="f">
                    <v:path arrowok="t" fillok="f" o:connecttype="none"/>
                    <o:lock v:ext="edit" shapetype="t"/>
                  </v:shapetype>
                  <v:shape id="AutoShape 31" o:spid="_x0000_s1026" type="#_x0000_t32" style="position:absolute;margin-left:-3.45pt;margin-top:.35pt;width:505.35pt;height:0;z-index:251691008;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Ma98H4AAAAAoBAAAPAAAAZHJzL2Rv&#13;&#10;d25yZXYueG1sTI9LT8MwEITvSPwHa5G4oNYuRQHSOBXicWg59QFnJ16SiHgdYrcN/Ho2J7isNJrd&#13;&#10;2fmy5eBaccQ+NJ40zKYKBFLpbUOVhv3uZXIHIkRD1rSeUMM3Bljm52eZSa0/0QaP21gJDqGQGg11&#13;&#10;jF0qZShrdCZMfYfE3ofvnYks+0ra3pw43LXyWqlEOtMQf6hNh481lp/bg9PwmhTxK5Hvq7fZunr+&#13;&#10;md8MqyvcaH15MTwteDwsQEQc4t8FjAzcH3IuVvgD2SBaDZPknjc13IIYXaXmjFOMWuaZ/I+Q/wI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Ma98H4AAAAAoBAAAPAAAAAAAAAAAAAAAA&#13;&#10;ABcEAABkcnMvZG93bnJldi54bWxQSwUGAAAAAAQABADzAAAAJAUAAAAA&#13;&#10;" strokecolor="#83150e" strokeweight="1pt"/>
                </w:pict>
              </mc:Fallback>
            </mc:AlternateContent>
          </w:r>
        </w:p>
        <w:p w14:paraId="5C53F5FB" w14:textId="331E5FFA" w:rsidR="00877B75" w:rsidRPr="007409D7" w:rsidRDefault="00870D6E" w:rsidP="00F8581F">
          <w:pPr>
            <w:spacing w:after="0" w:line="240" w:lineRule="auto"/>
            <w:rPr>
              <w:rFonts w:asciiTheme="minorHAnsi" w:hAnsiTheme="minorHAnsi" w:cstheme="minorHAnsi"/>
              <w:color w:val="BFBFBF" w:themeColor="background1" w:themeShade="BF"/>
              <w:sz w:val="16"/>
              <w:szCs w:val="16"/>
              <w:lang w:val="en-US"/>
            </w:rPr>
          </w:pPr>
          <w:proofErr w:type="spellStart"/>
          <w:r w:rsidRPr="007409D7">
            <w:rPr>
              <w:rFonts w:asciiTheme="minorHAnsi" w:hAnsiTheme="minorHAnsi" w:cstheme="minorHAnsi"/>
              <w:color w:val="BFBFBF" w:themeColor="background1" w:themeShade="BF"/>
              <w:sz w:val="16"/>
              <w:szCs w:val="16"/>
              <w:lang w:val="en-US"/>
            </w:rPr>
            <w:t>Multidiscip</w:t>
          </w:r>
          <w:proofErr w:type="spellEnd"/>
          <w:r w:rsidRPr="007409D7">
            <w:rPr>
              <w:rFonts w:asciiTheme="minorHAnsi" w:hAnsiTheme="minorHAnsi" w:cstheme="minorHAnsi"/>
              <w:color w:val="BFBFBF" w:themeColor="background1" w:themeShade="BF"/>
              <w:sz w:val="16"/>
              <w:szCs w:val="16"/>
              <w:lang w:val="en-US"/>
            </w:rPr>
            <w:t>. Sci. J. (202</w:t>
          </w:r>
          <w:r w:rsidR="004D3017">
            <w:rPr>
              <w:rFonts w:asciiTheme="minorHAnsi" w:hAnsiTheme="minorHAnsi" w:cstheme="minorHAnsi"/>
              <w:color w:val="BFBFBF" w:themeColor="background1" w:themeShade="BF"/>
              <w:sz w:val="16"/>
              <w:szCs w:val="16"/>
              <w:lang w:val="en-US"/>
            </w:rPr>
            <w:t>6</w:t>
          </w:r>
          <w:r w:rsidRPr="007409D7">
            <w:rPr>
              <w:rFonts w:asciiTheme="minorHAnsi" w:hAnsiTheme="minorHAnsi" w:cstheme="minorHAnsi"/>
              <w:color w:val="BFBFBF" w:themeColor="background1" w:themeShade="BF"/>
              <w:sz w:val="16"/>
              <w:szCs w:val="16"/>
              <w:lang w:val="en-US"/>
            </w:rPr>
            <w:t xml:space="preserve">) </w:t>
          </w:r>
          <w:proofErr w:type="gramStart"/>
          <w:r w:rsidR="004D3017">
            <w:rPr>
              <w:rFonts w:asciiTheme="minorHAnsi" w:hAnsiTheme="minorHAnsi" w:cstheme="minorHAnsi"/>
              <w:color w:val="BFBFBF" w:themeColor="background1" w:themeShade="BF"/>
              <w:sz w:val="16"/>
              <w:szCs w:val="16"/>
              <w:lang w:val="en-US"/>
            </w:rPr>
            <w:t>1</w:t>
          </w:r>
          <w:r w:rsidRPr="007409D7">
            <w:rPr>
              <w:rFonts w:asciiTheme="minorHAnsi" w:hAnsiTheme="minorHAnsi" w:cstheme="minorHAnsi"/>
              <w:color w:val="BFBFBF" w:themeColor="background1" w:themeShade="BF"/>
              <w:sz w:val="16"/>
              <w:szCs w:val="16"/>
              <w:lang w:val="en-US"/>
            </w:rPr>
            <w:t>:e</w:t>
          </w:r>
          <w:proofErr w:type="gramEnd"/>
          <w:r w:rsidRPr="007409D7">
            <w:rPr>
              <w:rFonts w:asciiTheme="minorHAnsi" w:hAnsiTheme="minorHAnsi" w:cstheme="minorHAnsi"/>
              <w:color w:val="BFBFBF" w:themeColor="background1" w:themeShade="BF"/>
              <w:sz w:val="16"/>
              <w:szCs w:val="16"/>
              <w:lang w:val="en-US"/>
            </w:rPr>
            <w:t>202</w:t>
          </w:r>
          <w:r w:rsidR="004D3017">
            <w:rPr>
              <w:rFonts w:asciiTheme="minorHAnsi" w:hAnsiTheme="minorHAnsi" w:cstheme="minorHAnsi"/>
              <w:color w:val="BFBFBF" w:themeColor="background1" w:themeShade="BF"/>
              <w:sz w:val="16"/>
              <w:szCs w:val="16"/>
              <w:lang w:val="en-US"/>
            </w:rPr>
            <w:t>6</w:t>
          </w:r>
          <w:r w:rsidR="00157323" w:rsidRPr="007409D7">
            <w:rPr>
              <w:rFonts w:asciiTheme="minorHAnsi" w:hAnsiTheme="minorHAnsi" w:cstheme="minorHAnsi"/>
              <w:color w:val="BFBFBF" w:themeColor="background1" w:themeShade="BF"/>
              <w:sz w:val="16"/>
              <w:szCs w:val="16"/>
              <w:lang w:val="en-US"/>
            </w:rPr>
            <w:t>xxx</w:t>
          </w:r>
        </w:p>
      </w:tc>
      <w:tc>
        <w:tcPr>
          <w:tcW w:w="4394" w:type="dxa"/>
        </w:tcPr>
        <w:p w14:paraId="29D72858" w14:textId="77777777" w:rsidR="00877B75" w:rsidRPr="007409D7" w:rsidRDefault="00877B75" w:rsidP="00877B75">
          <w:pPr>
            <w:spacing w:after="0" w:line="240" w:lineRule="auto"/>
            <w:jc w:val="center"/>
            <w:rPr>
              <w:rStyle w:val="Hyperlink"/>
              <w:rFonts w:cs="Calibri"/>
              <w:color w:val="BFBFBF" w:themeColor="background1" w:themeShade="BF"/>
              <w:sz w:val="8"/>
              <w:szCs w:val="8"/>
              <w:u w:val="none"/>
              <w:lang w:val="en-US"/>
            </w:rPr>
          </w:pPr>
        </w:p>
        <w:p w14:paraId="1C107E05" w14:textId="3B13B28D" w:rsidR="00877B75" w:rsidRPr="007409D7" w:rsidRDefault="00877B75" w:rsidP="00877B75">
          <w:pPr>
            <w:spacing w:after="0" w:line="240" w:lineRule="auto"/>
            <w:jc w:val="center"/>
            <w:rPr>
              <w:rFonts w:cs="Calibri"/>
              <w:color w:val="BFBFBF" w:themeColor="background1" w:themeShade="BF"/>
              <w:sz w:val="16"/>
              <w:szCs w:val="16"/>
              <w:lang w:val="en-US"/>
            </w:rPr>
          </w:pPr>
          <w:r w:rsidRPr="007409D7">
            <w:rPr>
              <w:rStyle w:val="Hyperlink"/>
              <w:rFonts w:cs="Calibri"/>
              <w:color w:val="BFBFBF" w:themeColor="background1" w:themeShade="BF"/>
              <w:sz w:val="16"/>
              <w:szCs w:val="16"/>
              <w:u w:val="none"/>
              <w:lang w:val="en-US"/>
            </w:rPr>
            <w:t xml:space="preserve">Received: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r w:rsidRPr="007409D7">
            <w:rPr>
              <w:rStyle w:val="Hyperlink"/>
              <w:rFonts w:cs="Calibri"/>
              <w:color w:val="BFBFBF" w:themeColor="background1" w:themeShade="BF"/>
              <w:sz w:val="16"/>
              <w:szCs w:val="16"/>
              <w:u w:val="none"/>
              <w:lang w:val="en-US"/>
            </w:rPr>
            <w:t xml:space="preserve"> | Accepted: </w:t>
          </w:r>
          <w:r w:rsidR="00157323" w:rsidRPr="007409D7">
            <w:rPr>
              <w:rStyle w:val="Hyperlink"/>
              <w:rFonts w:cs="Calibri"/>
              <w:color w:val="BFBFBF" w:themeColor="background1" w:themeShade="BF"/>
              <w:sz w:val="16"/>
              <w:szCs w:val="16"/>
              <w:u w:val="none"/>
              <w:lang w:val="en-US"/>
            </w:rPr>
            <w:t>XXXX</w:t>
          </w:r>
          <w:r w:rsidRPr="007409D7">
            <w:rPr>
              <w:rStyle w:val="Hyperlink"/>
              <w:rFonts w:cs="Calibri"/>
              <w:color w:val="BFBFBF" w:themeColor="background1" w:themeShade="BF"/>
              <w:sz w:val="16"/>
              <w:szCs w:val="16"/>
              <w:u w:val="none"/>
              <w:lang w:val="en-US"/>
            </w:rPr>
            <w:t xml:space="preserve"> </w:t>
          </w:r>
          <w:r w:rsidR="00157323" w:rsidRPr="007409D7">
            <w:rPr>
              <w:rStyle w:val="Hyperlink"/>
              <w:rFonts w:cs="Calibri"/>
              <w:color w:val="BFBFBF" w:themeColor="background1" w:themeShade="BF"/>
              <w:sz w:val="16"/>
              <w:szCs w:val="16"/>
              <w:u w:val="none"/>
              <w:lang w:val="en-US"/>
            </w:rPr>
            <w:t>XX</w:t>
          </w:r>
          <w:r w:rsidRPr="007409D7">
            <w:rPr>
              <w:rStyle w:val="Hyperlink"/>
              <w:rFonts w:cs="Calibri"/>
              <w:color w:val="BFBFBF" w:themeColor="background1" w:themeShade="BF"/>
              <w:sz w:val="16"/>
              <w:szCs w:val="16"/>
              <w:u w:val="none"/>
              <w:lang w:val="en-US"/>
            </w:rPr>
            <w:t>, 202</w:t>
          </w:r>
          <w:r w:rsidR="007409D7" w:rsidRPr="007409D7">
            <w:rPr>
              <w:rStyle w:val="Hyperlink"/>
              <w:rFonts w:cs="Calibri"/>
              <w:color w:val="BFBFBF" w:themeColor="background1" w:themeShade="BF"/>
              <w:sz w:val="16"/>
              <w:szCs w:val="16"/>
              <w:u w:val="none"/>
              <w:lang w:val="en-US"/>
            </w:rPr>
            <w:t>X</w:t>
          </w:r>
        </w:p>
      </w:tc>
      <w:tc>
        <w:tcPr>
          <w:tcW w:w="2747" w:type="dxa"/>
        </w:tcPr>
        <w:p w14:paraId="3FBF4581" w14:textId="54EE4520" w:rsidR="00877B75" w:rsidRPr="007409D7" w:rsidRDefault="006E7F0C" w:rsidP="00877B75">
          <w:pPr>
            <w:pStyle w:val="Rodap"/>
            <w:tabs>
              <w:tab w:val="clear" w:pos="4252"/>
              <w:tab w:val="clear" w:pos="8504"/>
              <w:tab w:val="right" w:pos="8941"/>
            </w:tabs>
            <w:jc w:val="right"/>
            <w:rPr>
              <w:color w:val="BFBFBF" w:themeColor="background1" w:themeShade="BF"/>
              <w:lang w:val="en-US"/>
            </w:rPr>
          </w:pPr>
          <w:r w:rsidRPr="007409D7">
            <w:rPr>
              <w:noProof/>
              <w:color w:val="BFBFBF" w:themeColor="background1" w:themeShade="BF"/>
              <w:sz w:val="20"/>
              <w:lang w:eastAsia="pt-BR"/>
            </w:rPr>
            <w:drawing>
              <wp:anchor distT="0" distB="0" distL="114300" distR="114300" simplePos="0" relativeHeight="251709440" behindDoc="1" locked="0" layoutInCell="1" allowOverlap="1" wp14:anchorId="53DEBCD5" wp14:editId="1B6B5AB5">
                <wp:simplePos x="0" y="0"/>
                <wp:positionH relativeFrom="column">
                  <wp:posOffset>1384604</wp:posOffset>
                </wp:positionH>
                <wp:positionV relativeFrom="paragraph">
                  <wp:posOffset>26670</wp:posOffset>
                </wp:positionV>
                <wp:extent cx="193040" cy="187325"/>
                <wp:effectExtent l="0" t="0" r="0" b="3175"/>
                <wp:wrapNone/>
                <wp:docPr id="1744181391" name="Imagem 1744181391">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lite705g3Mini\Desktop\malque logo.png"/>
                        <pic:cNvPicPr>
                          <a:picLocks noChangeAspect="1" noChangeArrowheads="1"/>
                        </pic:cNvPicPr>
                      </pic:nvPicPr>
                      <pic:blipFill>
                        <a:blip r:embed="rId2" cstate="print">
                          <a:duotone>
                            <a:schemeClr val="accent2">
                              <a:shade val="45000"/>
                              <a:satMod val="135000"/>
                            </a:schemeClr>
                            <a:prstClr val="white"/>
                          </a:duotone>
                          <a:extLst>
                            <a:ext uri="{BEBA8EAE-BF5A-486C-A8C5-ECC9F3942E4B}">
                              <a14:imgProps xmlns:a14="http://schemas.microsoft.com/office/drawing/2010/main">
                                <a14:imgLayer r:embed="rId3">
                                  <a14:imgEffect>
                                    <a14:colorTemperature colorTemp="11200"/>
                                  </a14:imgEffect>
                                </a14:imgLayer>
                              </a14:imgProps>
                            </a:ext>
                            <a:ext uri="{28A0092B-C50C-407E-A947-70E740481C1C}">
                              <a14:useLocalDpi xmlns:a14="http://schemas.microsoft.com/office/drawing/2010/main" val="0"/>
                            </a:ext>
                          </a:extLst>
                        </a:blip>
                        <a:stretch>
                          <a:fillRect/>
                        </a:stretch>
                      </pic:blipFill>
                      <pic:spPr bwMode="auto">
                        <a:xfrm>
                          <a:off x="0" y="0"/>
                          <a:ext cx="193040" cy="187325"/>
                        </a:xfrm>
                        <a:prstGeom prst="rect">
                          <a:avLst/>
                        </a:prstGeom>
                        <a:noFill/>
                        <a:ln>
                          <a:noFill/>
                        </a:ln>
                      </pic:spPr>
                    </pic:pic>
                  </a:graphicData>
                </a:graphic>
              </wp:anchor>
            </w:drawing>
          </w:r>
        </w:p>
      </w:tc>
    </w:tr>
  </w:tbl>
  <w:p w14:paraId="2162BF73" w14:textId="2B057C6E" w:rsidR="005705D6" w:rsidRPr="00F8581F" w:rsidRDefault="005705D6" w:rsidP="00877B75">
    <w:pPr>
      <w:pStyle w:val="Rodap"/>
      <w:tabs>
        <w:tab w:val="clear" w:pos="4252"/>
        <w:tab w:val="clear" w:pos="8504"/>
        <w:tab w:val="right" w:pos="8941"/>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37784" w14:textId="77777777" w:rsidR="00570226" w:rsidRDefault="00570226" w:rsidP="00201BED">
      <w:pPr>
        <w:spacing w:after="0" w:line="240" w:lineRule="auto"/>
      </w:pPr>
      <w:r>
        <w:separator/>
      </w:r>
    </w:p>
  </w:footnote>
  <w:footnote w:type="continuationSeparator" w:id="0">
    <w:p w14:paraId="7E6754FF" w14:textId="77777777" w:rsidR="00570226" w:rsidRDefault="00570226" w:rsidP="00201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D2B7B" w14:textId="49DB1785" w:rsidR="005705D6" w:rsidRDefault="005705D6" w:rsidP="00BB4D23">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705344" behindDoc="0" locked="0" layoutInCell="1" allowOverlap="1" wp14:anchorId="085E5375" wp14:editId="05034055">
              <wp:simplePos x="0" y="0"/>
              <wp:positionH relativeFrom="column">
                <wp:posOffset>-1080770</wp:posOffset>
              </wp:positionH>
              <wp:positionV relativeFrom="paragraph">
                <wp:posOffset>-1019649</wp:posOffset>
              </wp:positionV>
              <wp:extent cx="975360" cy="238760"/>
              <wp:effectExtent l="0" t="0" r="0" b="8890"/>
              <wp:wrapNone/>
              <wp:docPr id="2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238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8CAD5" w14:textId="77777777" w:rsidR="005705D6" w:rsidRPr="00A37526" w:rsidRDefault="00570226" w:rsidP="0040758B">
                          <w:pPr>
                            <w:rPr>
                              <w:rFonts w:cs="Calibri"/>
                              <w:color w:val="A6A6A6" w:themeColor="background1" w:themeShade="A6"/>
                              <w:sz w:val="16"/>
                              <w:szCs w:val="16"/>
                            </w:rPr>
                          </w:pPr>
                          <w:hyperlink r:id="rId1" w:history="1">
                            <w:r w:rsidR="005705D6" w:rsidRPr="00A37526">
                              <w:rPr>
                                <w:rStyle w:val="Hyperlink"/>
                                <w:rFonts w:cs="Calibri"/>
                                <w:color w:val="A6A6A6" w:themeColor="background1" w:themeShade="A6"/>
                                <w:sz w:val="16"/>
                                <w:szCs w:val="16"/>
                                <w:u w:val="none"/>
                              </w:rPr>
                              <w:t>www.jabbnet.com</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type w14:anchorId="085E5375" id="_x0000_t202" coordsize="21600,21600" o:spt="202" path="m,l,21600r21600,l21600,xe">
              <v:stroke joinstyle="miter"/>
              <v:path gradientshapeok="t" o:connecttype="rect"/>
            </v:shapetype>
            <v:shape id="Text Box 32" o:spid="_x0000_s1027" type="#_x0000_t202" style="position:absolute;margin-left:-85.1pt;margin-top:-80.3pt;width:76.8pt;height:18.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" stroked="f">
              <v:textbox>
                <w:txbxContent>
                  <w:p w14:paraId="2A28CAD5" w14:textId="77777777" w:rsidR="005705D6" w:rsidRPr="00A37526" w:rsidRDefault="00000000" w:rsidP="0040758B">
                    <w:pPr>
                      <w:rPr>
                        <w:rFonts w:cs="Calibri"/>
                        <w:color w:val="A6A6A6" w:themeColor="background1" w:themeShade="A6"/>
                        <w:sz w:val="16"/>
                        <w:szCs w:val="16"/>
                      </w:rPr>
                    </w:pPr>
                    <w:hyperlink r:id="rId2" w:history="1">
                      <w:r w:rsidR="005705D6" w:rsidRPr="00A37526">
                        <w:rPr>
                          <w:rStyle w:val="Hyperlink"/>
                          <w:rFonts w:cs="Calibri"/>
                          <w:color w:val="A6A6A6" w:themeColor="background1" w:themeShade="A6"/>
                          <w:sz w:val="16"/>
                          <w:szCs w:val="16"/>
                          <w:u w:val="none"/>
                        </w:rPr>
                        <w:t>www.jabbnet.com</w:t>
                      </w:r>
                    </w:hyperlink>
                  </w:p>
                </w:txbxContent>
              </v:textbox>
            </v:shape>
          </w:pict>
        </mc:Fallback>
      </mc:AlternateContent>
    </w:r>
    <w:r>
      <w:rPr>
        <w:noProof/>
        <w:lang w:eastAsia="pt-BR"/>
      </w:rPr>
      <mc:AlternateContent>
        <mc:Choice Requires="wps">
          <w:drawing>
            <wp:anchor distT="0" distB="0" distL="114300" distR="114300" simplePos="0" relativeHeight="251693056" behindDoc="0" locked="0" layoutInCell="1" allowOverlap="1" wp14:anchorId="073A3F6C" wp14:editId="609FD90A">
              <wp:simplePos x="0" y="0"/>
              <wp:positionH relativeFrom="column">
                <wp:posOffset>-80010</wp:posOffset>
              </wp:positionH>
              <wp:positionV relativeFrom="paragraph">
                <wp:posOffset>1270</wp:posOffset>
              </wp:positionV>
              <wp:extent cx="2216150" cy="367030"/>
              <wp:effectExtent l="3175" t="3810" r="0" b="635"/>
              <wp:wrapNone/>
              <wp:docPr id="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6150" cy="367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shape w14:anchorId="073A3F6C" id="Text Box 37" o:spid="_x0000_s1028" type="#_x0000_t202" style="position:absolute;margin-left:-6.3pt;margin-top:.1pt;width:174.5pt;height:28.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" filled="f" stroked="f">
              <v:textbox>
                <w:txbxContent>
                  <w:p w14:paraId="12F42705" w14:textId="77777777" w:rsidR="005705D6" w:rsidRDefault="005705D6" w:rsidP="00246C98">
                    <w:pPr>
                      <w:spacing w:after="0" w:line="240" w:lineRule="auto"/>
                      <w:rPr>
                        <w:rFonts w:ascii="Times New Roman" w:hAnsi="Times New Roman"/>
                        <w:color w:val="131413"/>
                        <w:sz w:val="16"/>
                        <w:szCs w:val="16"/>
                        <w:lang w:val="en-US"/>
                      </w:rPr>
                    </w:pPr>
                  </w:p>
                  <w:p w14:paraId="3B8994A1" w14:textId="04E322EB" w:rsidR="005705D6" w:rsidRPr="00885E53" w:rsidRDefault="00582B2E" w:rsidP="00246C98">
                    <w:pPr>
                      <w:spacing w:after="0" w:line="240" w:lineRule="auto"/>
                      <w:rPr>
                        <w:rFonts w:asciiTheme="minorHAnsi" w:hAnsiTheme="minorHAnsi" w:cstheme="minorHAnsi"/>
                        <w:color w:val="A6A6A6" w:themeColor="background1" w:themeShade="A6"/>
                        <w:sz w:val="20"/>
                        <w:szCs w:val="20"/>
                        <w:lang w:val="en-US"/>
                      </w:rPr>
                    </w:pPr>
                    <w:r>
                      <w:rPr>
                        <w:rFonts w:asciiTheme="minorHAnsi" w:hAnsiTheme="minorHAnsi" w:cstheme="minorHAnsi"/>
                        <w:bCs/>
                        <w:color w:val="A6A6A6" w:themeColor="background1" w:themeShade="A6"/>
                        <w:sz w:val="16"/>
                        <w:szCs w:val="16"/>
                        <w:lang w:val="hr-HR"/>
                      </w:rPr>
                      <w:t>XXXXX</w:t>
                    </w:r>
                    <w:r w:rsidR="00545EE0" w:rsidRPr="00C574FA">
                      <w:rPr>
                        <w:rFonts w:asciiTheme="minorHAnsi" w:hAnsiTheme="minorHAnsi" w:cstheme="minorHAnsi"/>
                        <w:color w:val="A6A6A6" w:themeColor="background1" w:themeShade="A6"/>
                        <w:sz w:val="16"/>
                        <w:szCs w:val="16"/>
                        <w:lang w:val="en-US"/>
                      </w:rPr>
                      <w:t xml:space="preserve"> </w:t>
                    </w:r>
                    <w:r w:rsidR="00545EE0">
                      <w:rPr>
                        <w:rFonts w:asciiTheme="minorHAnsi" w:hAnsiTheme="minorHAnsi" w:cstheme="minorHAnsi"/>
                        <w:color w:val="A6A6A6" w:themeColor="background1" w:themeShade="A6"/>
                        <w:sz w:val="16"/>
                        <w:szCs w:val="16"/>
                        <w:lang w:val="en-US"/>
                      </w:rPr>
                      <w:t>et al.</w:t>
                    </w:r>
                    <w:r w:rsidR="00CC60A2">
                      <w:rPr>
                        <w:rFonts w:asciiTheme="minorHAnsi" w:hAnsiTheme="minorHAnsi" w:cstheme="minorHAnsi"/>
                        <w:color w:val="A6A6A6" w:themeColor="background1" w:themeShade="A6"/>
                        <w:sz w:val="16"/>
                        <w:szCs w:val="16"/>
                        <w:lang w:val="en-US"/>
                      </w:rPr>
                      <w:t xml:space="preserve"> </w:t>
                    </w:r>
                    <w:r w:rsidR="005705D6" w:rsidRPr="00885E53">
                      <w:rPr>
                        <w:rFonts w:asciiTheme="minorHAnsi" w:hAnsiTheme="minorHAnsi" w:cstheme="minorHAnsi"/>
                        <w:color w:val="A6A6A6" w:themeColor="background1" w:themeShade="A6"/>
                        <w:sz w:val="16"/>
                        <w:szCs w:val="16"/>
                        <w:lang w:val="en-US"/>
                      </w:rPr>
                      <w:t>(202</w:t>
                    </w:r>
                    <w:r w:rsidR="004D3017">
                      <w:rPr>
                        <w:rFonts w:asciiTheme="minorHAnsi" w:hAnsiTheme="minorHAnsi" w:cstheme="minorHAnsi"/>
                        <w:color w:val="A6A6A6" w:themeColor="background1" w:themeShade="A6"/>
                        <w:sz w:val="16"/>
                        <w:szCs w:val="16"/>
                        <w:lang w:val="en-US"/>
                      </w:rPr>
                      <w:t>6</w:t>
                    </w:r>
                    <w:r w:rsidR="005705D6" w:rsidRPr="00885E53">
                      <w:rPr>
                        <w:rFonts w:asciiTheme="minorHAnsi" w:hAnsiTheme="minorHAnsi" w:cstheme="minorHAnsi"/>
                        <w:color w:val="A6A6A6" w:themeColor="background1" w:themeShade="A6"/>
                        <w:sz w:val="16"/>
                        <w:szCs w:val="16"/>
                        <w:lang w:val="en-US"/>
                      </w:rPr>
                      <w:t>)</w:t>
                    </w:r>
                  </w:p>
                </w:txbxContent>
              </v:textbox>
            </v:shape>
          </w:pict>
        </mc:Fallback>
      </mc:AlternateContent>
    </w:r>
  </w:p>
  <w:p w14:paraId="5369CDAC" w14:textId="70E62EEA" w:rsidR="005705D6" w:rsidRPr="00885E53" w:rsidRDefault="005705D6" w:rsidP="00885E53">
    <w:pPr>
      <w:pStyle w:val="Cabealho"/>
      <w:jc w:val="right"/>
      <w:rPr>
        <w:rFonts w:asciiTheme="minorHAnsi" w:hAnsiTheme="minorHAnsi" w:cstheme="minorHAnsi"/>
        <w:color w:val="A6A6A6" w:themeColor="background1" w:themeShade="A6"/>
        <w:sz w:val="16"/>
        <w:szCs w:val="16"/>
      </w:rPr>
    </w:pPr>
    <w:r w:rsidRPr="00885E53">
      <w:rPr>
        <w:rFonts w:asciiTheme="minorHAnsi" w:hAnsiTheme="minorHAnsi" w:cstheme="minorHAnsi"/>
        <w:color w:val="A6A6A6" w:themeColor="background1" w:themeShade="A6"/>
        <w:sz w:val="16"/>
        <w:szCs w:val="16"/>
      </w:rPr>
      <w:fldChar w:fldCharType="begin"/>
    </w:r>
    <w:r w:rsidRPr="00885E53">
      <w:rPr>
        <w:rFonts w:asciiTheme="minorHAnsi" w:hAnsiTheme="minorHAnsi" w:cstheme="minorHAnsi"/>
        <w:color w:val="A6A6A6" w:themeColor="background1" w:themeShade="A6"/>
        <w:sz w:val="16"/>
        <w:szCs w:val="16"/>
      </w:rPr>
      <w:instrText>PAGE   \* MERGEFORMAT</w:instrText>
    </w:r>
    <w:r w:rsidRPr="00885E53">
      <w:rPr>
        <w:rFonts w:asciiTheme="minorHAnsi" w:hAnsiTheme="minorHAnsi" w:cstheme="minorHAnsi"/>
        <w:color w:val="A6A6A6" w:themeColor="background1" w:themeShade="A6"/>
        <w:sz w:val="16"/>
        <w:szCs w:val="16"/>
      </w:rPr>
      <w:fldChar w:fldCharType="separate"/>
    </w:r>
    <w:r w:rsidR="00563845">
      <w:rPr>
        <w:rFonts w:asciiTheme="minorHAnsi" w:hAnsiTheme="minorHAnsi" w:cstheme="minorHAnsi"/>
        <w:noProof/>
        <w:color w:val="A6A6A6" w:themeColor="background1" w:themeShade="A6"/>
        <w:sz w:val="16"/>
        <w:szCs w:val="16"/>
      </w:rPr>
      <w:t>7</w:t>
    </w:r>
    <w:r w:rsidRPr="00885E53">
      <w:rPr>
        <w:rFonts w:asciiTheme="minorHAnsi" w:hAnsiTheme="minorHAnsi" w:cstheme="minorHAnsi"/>
        <w:color w:val="A6A6A6" w:themeColor="background1" w:themeShade="A6"/>
        <w:sz w:val="16"/>
        <w:szCs w:val="16"/>
      </w:rPr>
      <w:fldChar w:fldCharType="end"/>
    </w:r>
  </w:p>
  <w:p w14:paraId="1D041DF9" w14:textId="41FA98C8" w:rsidR="005705D6" w:rsidRDefault="005705D6" w:rsidP="00416E53">
    <w:pPr>
      <w:pStyle w:val="Cabealho"/>
      <w:tabs>
        <w:tab w:val="clear" w:pos="4252"/>
        <w:tab w:val="clear" w:pos="8504"/>
        <w:tab w:val="left" w:pos="1425"/>
      </w:tabs>
    </w:pPr>
    <w:r>
      <w:rPr>
        <w:noProof/>
        <w:lang w:eastAsia="pt-BR"/>
      </w:rPr>
      <mc:AlternateContent>
        <mc:Choice Requires="wps">
          <w:drawing>
            <wp:anchor distT="4294967295" distB="4294967295" distL="114300" distR="114300" simplePos="0" relativeHeight="251686912" behindDoc="0" locked="0" layoutInCell="1" allowOverlap="1" wp14:anchorId="6F56476C" wp14:editId="06D1D022">
              <wp:simplePos x="0" y="0"/>
              <wp:positionH relativeFrom="column">
                <wp:posOffset>13970</wp:posOffset>
              </wp:positionH>
              <wp:positionV relativeFrom="paragraph">
                <wp:posOffset>20320</wp:posOffset>
              </wp:positionV>
              <wp:extent cx="6443980" cy="0"/>
              <wp:effectExtent l="0" t="0" r="7620" b="12700"/>
              <wp:wrapNone/>
              <wp:docPr id="8"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43980"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F57104E" id="_x0000_t32" coordsize="21600,21600" o:spt="32" o:oned="t" path="m,l21600,21600e" filled="f">
              <v:path arrowok="t" fillok="f" o:connecttype="none"/>
              <o:lock v:ext="edit" shapetype="t"/>
            </v:shapetype>
            <v:shape id="AutoShape 26" o:spid="_x0000_s1026" type="#_x0000_t32" style="position:absolute;margin-left:1.1pt;margin-top:1.6pt;width:507.4pt;height:0;z-index:251686912;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" strokecolor="#83150e"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18957" w14:textId="5FFC299D" w:rsidR="005705D6" w:rsidRDefault="005705D6" w:rsidP="004A7D25">
    <w:pPr>
      <w:pStyle w:val="Cabealho"/>
      <w:tabs>
        <w:tab w:val="clear" w:pos="4252"/>
        <w:tab w:val="clear" w:pos="8504"/>
        <w:tab w:val="left" w:pos="1425"/>
      </w:tabs>
    </w:pPr>
    <w:r>
      <w:rPr>
        <w:noProof/>
        <w:lang w:eastAsia="pt-BR"/>
      </w:rPr>
      <mc:AlternateContent>
        <mc:Choice Requires="wps">
          <w:drawing>
            <wp:anchor distT="0" distB="0" distL="114300" distR="114300" simplePos="0" relativeHeight="251697152" behindDoc="0" locked="0" layoutInCell="1" allowOverlap="1" wp14:anchorId="258D89D1" wp14:editId="603D11BC">
              <wp:simplePos x="0" y="0"/>
              <wp:positionH relativeFrom="margin">
                <wp:posOffset>2696301</wp:posOffset>
              </wp:positionH>
              <wp:positionV relativeFrom="paragraph">
                <wp:posOffset>316865</wp:posOffset>
              </wp:positionV>
              <wp:extent cx="3834130" cy="496850"/>
              <wp:effectExtent l="0" t="0" r="0" b="0"/>
              <wp:wrapNone/>
              <wp:docPr id="1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4130" cy="4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1"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8D89D1" id="_x0000_t202" coordsize="21600,21600" o:spt="202" path="m,l,21600r21600,l21600,xe">
              <v:stroke joinstyle="miter"/>
              <v:path gradientshapeok="t" o:connecttype="rect"/>
            </v:shapetype>
            <v:shape id="_x0000_s1030" type="#_x0000_t202" style="position:absolute;margin-left:212.3pt;margin-top:24.95pt;width:301.9pt;height:39.1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" filled="f" stroked="f">
              <v:textbox>
                <w:txbxContent>
                  <w:p w14:paraId="4873E3E8" w14:textId="3AE24303" w:rsidR="005705D6" w:rsidRPr="004A7D25" w:rsidRDefault="006A3BB7" w:rsidP="002B1AB7">
                    <w:pPr>
                      <w:spacing w:after="0" w:line="240" w:lineRule="auto"/>
                      <w:jc w:val="right"/>
                      <w:rPr>
                        <w:rFonts w:cs="Calibri"/>
                        <w:b/>
                        <w:i/>
                        <w:color w:val="808080" w:themeColor="background1" w:themeShade="80"/>
                        <w:sz w:val="20"/>
                        <w:szCs w:val="20"/>
                        <w:lang w:val="en-US"/>
                      </w:rPr>
                    </w:pPr>
                    <w:r>
                      <w:rPr>
                        <w:rFonts w:cs="Calibri"/>
                        <w:b/>
                        <w:i/>
                        <w:color w:val="808080" w:themeColor="background1" w:themeShade="80"/>
                        <w:sz w:val="20"/>
                        <w:szCs w:val="20"/>
                        <w:highlight w:val="yellow"/>
                        <w:lang w:val="en-US"/>
                      </w:rPr>
                      <w:t>TYPE OF THE PAPER</w:t>
                    </w:r>
                  </w:p>
                  <w:p w14:paraId="20FB2528" w14:textId="2B7E54A9" w:rsidR="005705D6" w:rsidRPr="004A7D25" w:rsidRDefault="005705D6" w:rsidP="002B1AB7">
                    <w:pPr>
                      <w:spacing w:after="0" w:line="240" w:lineRule="auto"/>
                      <w:jc w:val="right"/>
                      <w:rPr>
                        <w:rFonts w:cs="Calibri"/>
                        <w:color w:val="808080" w:themeColor="background1" w:themeShade="80"/>
                        <w:sz w:val="16"/>
                        <w:szCs w:val="16"/>
                        <w:lang w:val="en-US"/>
                      </w:rPr>
                    </w:pPr>
                    <w:r w:rsidRPr="00A46664">
                      <w:rPr>
                        <w:rFonts w:cs="Calibri"/>
                        <w:color w:val="808080" w:themeColor="background1" w:themeShade="80"/>
                        <w:sz w:val="16"/>
                        <w:szCs w:val="16"/>
                        <w:highlight w:val="yellow"/>
                        <w:lang w:val="en-US"/>
                      </w:rPr>
                      <w:t xml:space="preserve">Published Online: </w:t>
                    </w:r>
                    <w:r w:rsidR="00582B2E">
                      <w:rPr>
                        <w:rFonts w:cs="Calibri"/>
                        <w:color w:val="808080" w:themeColor="background1" w:themeShade="80"/>
                        <w:sz w:val="16"/>
                        <w:szCs w:val="16"/>
                        <w:highlight w:val="yellow"/>
                        <w:lang w:val="en-US"/>
                      </w:rPr>
                      <w:t>XXXX</w:t>
                    </w:r>
                    <w:r w:rsidR="0048208B" w:rsidRPr="00A46664">
                      <w:rPr>
                        <w:rFonts w:cs="Calibri"/>
                        <w:color w:val="808080" w:themeColor="background1" w:themeShade="80"/>
                        <w:sz w:val="16"/>
                        <w:szCs w:val="16"/>
                        <w:highlight w:val="yellow"/>
                        <w:lang w:val="en-US"/>
                      </w:rPr>
                      <w:t xml:space="preserve"> </w:t>
                    </w:r>
                    <w:r w:rsidR="00A46664" w:rsidRPr="00A46664">
                      <w:rPr>
                        <w:rFonts w:cs="Calibri"/>
                        <w:color w:val="808080" w:themeColor="background1" w:themeShade="80"/>
                        <w:sz w:val="16"/>
                        <w:szCs w:val="16"/>
                        <w:highlight w:val="yellow"/>
                        <w:lang w:val="en-US"/>
                      </w:rPr>
                      <w:t>xx</w:t>
                    </w:r>
                    <w:r w:rsidRPr="00A46664">
                      <w:rPr>
                        <w:rFonts w:cs="Calibri"/>
                        <w:color w:val="808080" w:themeColor="background1" w:themeShade="80"/>
                        <w:sz w:val="16"/>
                        <w:szCs w:val="16"/>
                        <w:highlight w:val="yellow"/>
                        <w:lang w:val="en-US"/>
                      </w:rPr>
                      <w:t>, 202</w:t>
                    </w:r>
                    <w:r w:rsidR="004D3017">
                      <w:rPr>
                        <w:rFonts w:cs="Calibri"/>
                        <w:color w:val="808080" w:themeColor="background1" w:themeShade="80"/>
                        <w:sz w:val="16"/>
                        <w:szCs w:val="16"/>
                        <w:lang w:val="en-US"/>
                      </w:rPr>
                      <w:t>6</w:t>
                    </w:r>
                  </w:p>
                  <w:p w14:paraId="14C29484" w14:textId="126A2B12" w:rsidR="005705D6" w:rsidRPr="00DD2D9C" w:rsidRDefault="00570226" w:rsidP="002B1AB7">
                    <w:pPr>
                      <w:spacing w:after="0" w:line="240" w:lineRule="auto"/>
                      <w:jc w:val="right"/>
                      <w:rPr>
                        <w:rFonts w:cs="Calibri"/>
                        <w:color w:val="808080" w:themeColor="background1" w:themeShade="80"/>
                        <w:sz w:val="20"/>
                        <w:szCs w:val="20"/>
                        <w:lang w:val="en-US"/>
                      </w:rPr>
                    </w:pPr>
                    <w:hyperlink r:id="rId2" w:history="1">
                      <w:r w:rsidR="004D3017">
                        <w:rPr>
                          <w:rStyle w:val="Hyperlink"/>
                          <w:rFonts w:cs="Calibri"/>
                          <w:color w:val="808080" w:themeColor="background1" w:themeShade="80"/>
                          <w:sz w:val="16"/>
                          <w:szCs w:val="16"/>
                          <w:highlight w:val="yellow"/>
                          <w:u w:val="none"/>
                          <w:lang w:val="en-US"/>
                        </w:rPr>
                        <w:t>https://doi.org/10.31893/multiscience.2026xxx</w:t>
                      </w:r>
                    </w:hyperlink>
                  </w:p>
                </w:txbxContent>
              </v:textbox>
              <w10:wrap anchorx="margin"/>
            </v:shape>
          </w:pict>
        </mc:Fallback>
      </mc:AlternateContent>
    </w:r>
    <w:r w:rsidR="00A94872">
      <w:rPr>
        <w:noProof/>
      </w:rPr>
      <w:drawing>
        <wp:inline distT="0" distB="0" distL="0" distR="0" wp14:anchorId="67D55E13" wp14:editId="57142FE4">
          <wp:extent cx="2660015" cy="783569"/>
          <wp:effectExtent l="0" t="0" r="0" b="4445"/>
          <wp:docPr id="2" name="Imagem 2">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a:hlinkClick r:id="rId3"/>
                  </pic:cNvPr>
                  <pic:cNvPicPr/>
                </pic:nvPicPr>
                <pic:blipFill rotWithShape="1">
                  <a:blip r:embed="rId4">
                    <a:extLst>
                      <a:ext uri="{28A0092B-C50C-407E-A947-70E740481C1C}">
                        <a14:useLocalDpi xmlns:a14="http://schemas.microsoft.com/office/drawing/2010/main" val="0"/>
                      </a:ext>
                    </a:extLst>
                  </a:blip>
                  <a:srcRect t="14871" b="23077"/>
                  <a:stretch/>
                </pic:blipFill>
                <pic:spPr bwMode="auto">
                  <a:xfrm>
                    <a:off x="0" y="0"/>
                    <a:ext cx="2698928" cy="795032"/>
                  </a:xfrm>
                  <a:prstGeom prst="rect">
                    <a:avLst/>
                  </a:prstGeom>
                  <a:ln>
                    <a:noFill/>
                  </a:ln>
                  <a:extLst>
                    <a:ext uri="{53640926-AAD7-44D8-BBD7-CCE9431645EC}">
                      <a14:shadowObscured xmlns:a14="http://schemas.microsoft.com/office/drawing/2010/main"/>
                    </a:ext>
                  </a:extLst>
                </pic:spPr>
              </pic:pic>
            </a:graphicData>
          </a:graphic>
        </wp:inline>
      </w:drawing>
    </w:r>
  </w:p>
  <w:p w14:paraId="0EEE8F0C" w14:textId="150244FB" w:rsidR="005705D6" w:rsidRDefault="005705D6">
    <w:pPr>
      <w:pStyle w:val="Cabealho"/>
    </w:pPr>
    <w:r w:rsidRPr="00A94872">
      <w:rPr>
        <w:noProof/>
        <w:highlight w:val="darkRed"/>
        <w:lang w:eastAsia="pt-BR"/>
      </w:rPr>
      <mc:AlternateContent>
        <mc:Choice Requires="wps">
          <w:drawing>
            <wp:anchor distT="4294967295" distB="4294967295" distL="114300" distR="114300" simplePos="0" relativeHeight="251695104" behindDoc="0" locked="0" layoutInCell="1" allowOverlap="1" wp14:anchorId="650D6A51" wp14:editId="45D652DF">
              <wp:simplePos x="0" y="0"/>
              <wp:positionH relativeFrom="column">
                <wp:posOffset>23072</wp:posOffset>
              </wp:positionH>
              <wp:positionV relativeFrom="paragraph">
                <wp:posOffset>52070</wp:posOffset>
              </wp:positionV>
              <wp:extent cx="6417945" cy="0"/>
              <wp:effectExtent l="0" t="0" r="8255" b="12700"/>
              <wp:wrapNone/>
              <wp:docPr id="3"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945" cy="0"/>
                      </a:xfrm>
                      <a:prstGeom prst="straightConnector1">
                        <a:avLst/>
                      </a:prstGeom>
                      <a:noFill/>
                      <a:ln w="12700">
                        <a:solidFill>
                          <a:srgbClr val="83150E"/>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B81E20" id="_x0000_t32" coordsize="21600,21600" o:spt="32" o:oned="t" path="m,l21600,21600e" filled="f">
              <v:path arrowok="t" fillok="f" o:connecttype="none"/>
              <o:lock v:ext="edit" shapetype="t"/>
            </v:shapetype>
            <v:shape id="AutoShape 29" o:spid="_x0000_s1026" type="#_x0000_t32" style="position:absolute;margin-left:1.8pt;margin-top:4.1pt;width:505.35pt;height:0;z-index:251695104;visibility:visible;mso-wrap-style:square;mso-width-percent:0;mso-height-percent:0;mso-wrap-distance-left:9pt;mso-wrap-distance-top:.Æmm;mso-wrap-distance-right:9pt;mso-wrap-distance-bottom:.Æ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" strokecolor="#83150e"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DDA8D8E"/>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13863477"/>
    <w:multiLevelType w:val="multilevel"/>
    <w:tmpl w:val="06788DA6"/>
    <w:lvl w:ilvl="0">
      <w:start w:val="3"/>
      <w:numFmt w:val="decimal"/>
      <w:lvlText w:val="%1."/>
      <w:lvlJc w:val="left"/>
      <w:pPr>
        <w:ind w:left="360" w:hanging="360"/>
      </w:pPr>
      <w:rPr>
        <w:rFonts w:hint="default"/>
        <w:sz w:val="20"/>
      </w:rPr>
    </w:lvl>
    <w:lvl w:ilvl="1">
      <w:start w:val="9"/>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2" w15:restartNumberingAfterBreak="0">
    <w:nsid w:val="22635DC2"/>
    <w:multiLevelType w:val="multilevel"/>
    <w:tmpl w:val="342627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6D278B4"/>
    <w:multiLevelType w:val="hybridMultilevel"/>
    <w:tmpl w:val="D274517A"/>
    <w:styleLink w:val="Nmero"/>
    <w:lvl w:ilvl="0" w:tplc="4D08BDBC">
      <w:start w:val="1"/>
      <w:numFmt w:val="decimal"/>
      <w:lvlText w:val="%1."/>
      <w:lvlJc w:val="left"/>
      <w:pPr>
        <w:ind w:left="327" w:hanging="327"/>
      </w:pPr>
      <w:rPr>
        <w:rFonts w:hAnsi="Arial Unicode MS"/>
        <w:caps w:val="0"/>
        <w:smallCaps w:val="0"/>
        <w:strike w:val="0"/>
        <w:dstrike w:val="0"/>
        <w:spacing w:val="0"/>
        <w:w w:val="100"/>
        <w:kern w:val="0"/>
        <w:position w:val="0"/>
        <w:highlight w:val="none"/>
        <w:vertAlign w:val="baseline"/>
      </w:rPr>
    </w:lvl>
    <w:lvl w:ilvl="1" w:tplc="5EEE58DA">
      <w:start w:val="1"/>
      <w:numFmt w:val="decimal"/>
      <w:lvlText w:val="%2."/>
      <w:lvlJc w:val="left"/>
      <w:pPr>
        <w:ind w:left="627" w:hanging="327"/>
      </w:pPr>
      <w:rPr>
        <w:rFonts w:hAnsi="Arial Unicode MS"/>
        <w:caps w:val="0"/>
        <w:smallCaps w:val="0"/>
        <w:strike w:val="0"/>
        <w:dstrike w:val="0"/>
        <w:spacing w:val="0"/>
        <w:w w:val="100"/>
        <w:kern w:val="0"/>
        <w:position w:val="0"/>
        <w:highlight w:val="none"/>
        <w:vertAlign w:val="baseline"/>
      </w:rPr>
    </w:lvl>
    <w:lvl w:ilvl="2" w:tplc="3CA02042">
      <w:start w:val="1"/>
      <w:numFmt w:val="decimal"/>
      <w:lvlText w:val="%3."/>
      <w:lvlJc w:val="left"/>
      <w:pPr>
        <w:ind w:left="898" w:hanging="298"/>
      </w:pPr>
      <w:rPr>
        <w:rFonts w:hAnsi="Arial Unicode MS"/>
        <w:caps w:val="0"/>
        <w:smallCaps w:val="0"/>
        <w:strike w:val="0"/>
        <w:dstrike w:val="0"/>
        <w:color w:val="000000"/>
        <w:spacing w:val="0"/>
        <w:w w:val="100"/>
        <w:kern w:val="0"/>
        <w:position w:val="0"/>
        <w:highlight w:val="none"/>
        <w:vertAlign w:val="baseline"/>
      </w:rPr>
    </w:lvl>
    <w:lvl w:ilvl="3" w:tplc="103874C6">
      <w:start w:val="1"/>
      <w:numFmt w:val="decimal"/>
      <w:lvlText w:val="%4."/>
      <w:lvlJc w:val="left"/>
      <w:pPr>
        <w:ind w:left="1227" w:hanging="327"/>
      </w:pPr>
      <w:rPr>
        <w:rFonts w:hAnsi="Arial Unicode MS"/>
        <w:caps w:val="0"/>
        <w:smallCaps w:val="0"/>
        <w:strike w:val="0"/>
        <w:dstrike w:val="0"/>
        <w:color w:val="000000"/>
        <w:spacing w:val="0"/>
        <w:w w:val="100"/>
        <w:kern w:val="0"/>
        <w:position w:val="0"/>
        <w:highlight w:val="none"/>
        <w:vertAlign w:val="baseline"/>
      </w:rPr>
    </w:lvl>
    <w:lvl w:ilvl="4" w:tplc="4D7616C0">
      <w:start w:val="1"/>
      <w:numFmt w:val="decimal"/>
      <w:lvlText w:val="%5."/>
      <w:lvlJc w:val="left"/>
      <w:pPr>
        <w:ind w:left="1527" w:hanging="327"/>
      </w:pPr>
      <w:rPr>
        <w:rFonts w:hAnsi="Arial Unicode MS"/>
        <w:caps w:val="0"/>
        <w:smallCaps w:val="0"/>
        <w:strike w:val="0"/>
        <w:dstrike w:val="0"/>
        <w:color w:val="000000"/>
        <w:spacing w:val="0"/>
        <w:w w:val="100"/>
        <w:kern w:val="0"/>
        <w:position w:val="0"/>
        <w:highlight w:val="none"/>
        <w:vertAlign w:val="baseline"/>
      </w:rPr>
    </w:lvl>
    <w:lvl w:ilvl="5" w:tplc="2E6C7344">
      <w:start w:val="1"/>
      <w:numFmt w:val="decimal"/>
      <w:lvlText w:val="%6."/>
      <w:lvlJc w:val="left"/>
      <w:pPr>
        <w:ind w:left="1827" w:hanging="327"/>
      </w:pPr>
      <w:rPr>
        <w:rFonts w:hAnsi="Arial Unicode MS"/>
        <w:caps w:val="0"/>
        <w:smallCaps w:val="0"/>
        <w:strike w:val="0"/>
        <w:dstrike w:val="0"/>
        <w:color w:val="000000"/>
        <w:spacing w:val="0"/>
        <w:w w:val="100"/>
        <w:kern w:val="0"/>
        <w:position w:val="0"/>
        <w:highlight w:val="none"/>
        <w:vertAlign w:val="baseline"/>
      </w:rPr>
    </w:lvl>
    <w:lvl w:ilvl="6" w:tplc="908E3280">
      <w:start w:val="1"/>
      <w:numFmt w:val="decimal"/>
      <w:lvlText w:val="%7."/>
      <w:lvlJc w:val="left"/>
      <w:pPr>
        <w:ind w:left="2127" w:hanging="327"/>
      </w:pPr>
      <w:rPr>
        <w:rFonts w:hAnsi="Arial Unicode MS"/>
        <w:caps w:val="0"/>
        <w:smallCaps w:val="0"/>
        <w:strike w:val="0"/>
        <w:dstrike w:val="0"/>
        <w:color w:val="000000"/>
        <w:spacing w:val="0"/>
        <w:w w:val="100"/>
        <w:kern w:val="0"/>
        <w:position w:val="0"/>
        <w:highlight w:val="none"/>
        <w:vertAlign w:val="baseline"/>
      </w:rPr>
    </w:lvl>
    <w:lvl w:ilvl="7" w:tplc="AC74834C">
      <w:start w:val="1"/>
      <w:numFmt w:val="decimal"/>
      <w:lvlText w:val="%8."/>
      <w:lvlJc w:val="left"/>
      <w:pPr>
        <w:ind w:left="2427" w:hanging="327"/>
      </w:pPr>
      <w:rPr>
        <w:rFonts w:hAnsi="Arial Unicode MS"/>
        <w:caps w:val="0"/>
        <w:smallCaps w:val="0"/>
        <w:strike w:val="0"/>
        <w:dstrike w:val="0"/>
        <w:color w:val="000000"/>
        <w:spacing w:val="0"/>
        <w:w w:val="100"/>
        <w:kern w:val="0"/>
        <w:position w:val="0"/>
        <w:highlight w:val="none"/>
        <w:vertAlign w:val="baseline"/>
      </w:rPr>
    </w:lvl>
    <w:lvl w:ilvl="8" w:tplc="A0D246A2">
      <w:start w:val="1"/>
      <w:numFmt w:val="decimal"/>
      <w:lvlText w:val="%9."/>
      <w:lvlJc w:val="left"/>
      <w:pPr>
        <w:ind w:left="2727" w:hanging="327"/>
      </w:pPr>
      <w:rPr>
        <w:rFonts w:hAnsi="Arial Unicode MS"/>
        <w:caps w:val="0"/>
        <w:smallCaps w:val="0"/>
        <w:strike w:val="0"/>
        <w:dstrike w:val="0"/>
        <w:color w:val="000000"/>
        <w:spacing w:val="0"/>
        <w:w w:val="100"/>
        <w:kern w:val="0"/>
        <w:position w:val="0"/>
        <w:highlight w:val="none"/>
        <w:vertAlign w:val="baseline"/>
      </w:rPr>
    </w:lvl>
  </w:abstractNum>
  <w:abstractNum w:abstractNumId="4" w15:restartNumberingAfterBreak="0">
    <w:nsid w:val="56E60C97"/>
    <w:multiLevelType w:val="multilevel"/>
    <w:tmpl w:val="5C7EA836"/>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5" w15:restartNumberingAfterBreak="0">
    <w:nsid w:val="63EC2FBB"/>
    <w:multiLevelType w:val="multilevel"/>
    <w:tmpl w:val="C2163D8A"/>
    <w:lvl w:ilvl="0">
      <w:start w:val="1"/>
      <w:numFmt w:val="decimal"/>
      <w:suff w:val="space"/>
      <w:lvlText w:val="%1."/>
      <w:lvlJc w:val="left"/>
      <w:pPr>
        <w:ind w:left="-247" w:firstLine="247"/>
      </w:pPr>
      <w:rPr>
        <w:rFonts w:hint="default"/>
        <w:b/>
      </w:rPr>
    </w:lvl>
    <w:lvl w:ilvl="1">
      <w:start w:val="1"/>
      <w:numFmt w:val="decimal"/>
      <w:isLgl/>
      <w:lvlText w:val="%1.%2."/>
      <w:lvlJc w:val="left"/>
      <w:pPr>
        <w:ind w:left="360" w:hanging="360"/>
      </w:pPr>
      <w:rPr>
        <w:rFonts w:hint="default"/>
        <w:sz w:val="20"/>
      </w:rPr>
    </w:lvl>
    <w:lvl w:ilvl="2">
      <w:start w:val="1"/>
      <w:numFmt w:val="decimal"/>
      <w:isLgl/>
      <w:lvlText w:val="%1.%2.%3."/>
      <w:lvlJc w:val="left"/>
      <w:pPr>
        <w:ind w:left="0" w:firstLine="0"/>
      </w:pPr>
      <w:rPr>
        <w:rFonts w:hint="default"/>
        <w:sz w:val="20"/>
      </w:rPr>
    </w:lvl>
    <w:lvl w:ilvl="3">
      <w:start w:val="1"/>
      <w:numFmt w:val="decimal"/>
      <w:isLgl/>
      <w:lvlText w:val="%1.%2.%3.%4."/>
      <w:lvlJc w:val="left"/>
      <w:pPr>
        <w:ind w:left="360" w:hanging="360"/>
      </w:pPr>
      <w:rPr>
        <w:rFonts w:hint="default"/>
        <w:sz w:val="20"/>
      </w:rPr>
    </w:lvl>
    <w:lvl w:ilvl="4">
      <w:start w:val="1"/>
      <w:numFmt w:val="decimal"/>
      <w:isLgl/>
      <w:lvlText w:val="%1.%2.%3.%4.%5."/>
      <w:lvlJc w:val="left"/>
      <w:pPr>
        <w:ind w:left="720" w:hanging="720"/>
      </w:pPr>
      <w:rPr>
        <w:rFonts w:hint="default"/>
        <w:sz w:val="20"/>
      </w:rPr>
    </w:lvl>
    <w:lvl w:ilvl="5">
      <w:start w:val="1"/>
      <w:numFmt w:val="decimal"/>
      <w:isLgl/>
      <w:lvlText w:val="%1.%2.%3.%4.%5.%6."/>
      <w:lvlJc w:val="left"/>
      <w:pPr>
        <w:ind w:left="720" w:hanging="720"/>
      </w:pPr>
      <w:rPr>
        <w:rFonts w:hint="default"/>
        <w:sz w:val="20"/>
      </w:rPr>
    </w:lvl>
    <w:lvl w:ilvl="6">
      <w:start w:val="1"/>
      <w:numFmt w:val="decimal"/>
      <w:isLgl/>
      <w:lvlText w:val="%1.%2.%3.%4.%5.%6.%7."/>
      <w:lvlJc w:val="left"/>
      <w:pPr>
        <w:ind w:left="720" w:hanging="720"/>
      </w:pPr>
      <w:rPr>
        <w:rFonts w:hint="default"/>
        <w:sz w:val="20"/>
      </w:rPr>
    </w:lvl>
    <w:lvl w:ilvl="7">
      <w:start w:val="1"/>
      <w:numFmt w:val="decimal"/>
      <w:isLgl/>
      <w:lvlText w:val="%1.%2.%3.%4.%5.%6.%7.%8."/>
      <w:lvlJc w:val="left"/>
      <w:pPr>
        <w:ind w:left="720" w:hanging="720"/>
      </w:pPr>
      <w:rPr>
        <w:rFonts w:hint="default"/>
        <w:sz w:val="20"/>
      </w:rPr>
    </w:lvl>
    <w:lvl w:ilvl="8">
      <w:start w:val="1"/>
      <w:numFmt w:val="decimal"/>
      <w:isLgl/>
      <w:lvlText w:val="%1.%2.%3.%4.%5.%6.%7.%8.%9."/>
      <w:lvlJc w:val="left"/>
      <w:pPr>
        <w:ind w:left="1080" w:hanging="1080"/>
      </w:pPr>
      <w:rPr>
        <w:rFonts w:hint="default"/>
        <w:sz w:val="20"/>
      </w:rPr>
    </w:lvl>
  </w:abstractNum>
  <w:abstractNum w:abstractNumId="6" w15:restartNumberingAfterBreak="0">
    <w:nsid w:val="7A2653C9"/>
    <w:multiLevelType w:val="multilevel"/>
    <w:tmpl w:val="04DAA218"/>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abstractNum w:abstractNumId="7" w15:restartNumberingAfterBreak="0">
    <w:nsid w:val="7D7F5595"/>
    <w:multiLevelType w:val="multilevel"/>
    <w:tmpl w:val="04DAA21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360" w:hanging="360"/>
      </w:pPr>
      <w:rPr>
        <w:rFonts w:hint="default"/>
        <w:sz w:val="20"/>
      </w:rPr>
    </w:lvl>
    <w:lvl w:ilvl="3">
      <w:start w:val="1"/>
      <w:numFmt w:val="decimal"/>
      <w:lvlText w:val="%1.%2.%3.%4"/>
      <w:lvlJc w:val="left"/>
      <w:pPr>
        <w:ind w:left="360" w:hanging="36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720" w:hanging="720"/>
      </w:pPr>
      <w:rPr>
        <w:rFonts w:hint="default"/>
        <w:sz w:val="20"/>
      </w:rPr>
    </w:lvl>
    <w:lvl w:ilvl="6">
      <w:start w:val="1"/>
      <w:numFmt w:val="decimal"/>
      <w:lvlText w:val="%1.%2.%3.%4.%5.%6.%7"/>
      <w:lvlJc w:val="left"/>
      <w:pPr>
        <w:ind w:left="720" w:hanging="720"/>
      </w:pPr>
      <w:rPr>
        <w:rFonts w:hint="default"/>
        <w:sz w:val="20"/>
      </w:rPr>
    </w:lvl>
    <w:lvl w:ilvl="7">
      <w:start w:val="1"/>
      <w:numFmt w:val="decimal"/>
      <w:lvlText w:val="%1.%2.%3.%4.%5.%6.%7.%8"/>
      <w:lvlJc w:val="left"/>
      <w:pPr>
        <w:ind w:left="720" w:hanging="720"/>
      </w:pPr>
      <w:rPr>
        <w:rFonts w:hint="default"/>
        <w:sz w:val="20"/>
      </w:rPr>
    </w:lvl>
    <w:lvl w:ilvl="8">
      <w:start w:val="1"/>
      <w:numFmt w:val="decimal"/>
      <w:lvlText w:val="%1.%2.%3.%4.%5.%6.%7.%8.%9"/>
      <w:lvlJc w:val="left"/>
      <w:pPr>
        <w:ind w:left="1080" w:hanging="1080"/>
      </w:pPr>
      <w:rPr>
        <w:rFonts w:hint="default"/>
        <w:sz w:val="20"/>
      </w:rPr>
    </w:lvl>
  </w:abstractNum>
  <w:num w:numId="1">
    <w:abstractNumId w:val="0"/>
  </w:num>
  <w:num w:numId="2">
    <w:abstractNumId w:val="3"/>
  </w:num>
  <w:num w:numId="3">
    <w:abstractNumId w:val="5"/>
  </w:num>
  <w:num w:numId="4">
    <w:abstractNumId w:val="2"/>
  </w:num>
  <w:num w:numId="5">
    <w:abstractNumId w:val="6"/>
  </w:num>
  <w:num w:numId="6">
    <w:abstractNumId w:val="7"/>
  </w:num>
  <w:num w:numId="7">
    <w:abstractNumId w:val="1"/>
  </w:num>
  <w:num w:numId="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hideSpellingErrors/>
  <w:hideGrammaticalErrors/>
  <w:activeWritingStyle w:appName="MSWord" w:lang="pt-BR" w:vendorID="64" w:dllVersion="6" w:nlCheck="1" w:checkStyle="0"/>
  <w:activeWritingStyle w:appName="MSWord" w:lang="en-US" w:vendorID="64" w:dllVersion="6" w:nlCheck="1" w:checkStyle="0"/>
  <w:activeWritingStyle w:appName="MSWord" w:lang="es-MX" w:vendorID="64" w:dllVersion="6" w:nlCheck="1" w:checkStyle="1"/>
  <w:activeWritingStyle w:appName="MSWord" w:lang="en-GB" w:vendorID="64" w:dllVersion="6" w:nlCheck="1" w:checkStyle="1"/>
  <w:activeWritingStyle w:appName="MSWord" w:lang="es-ES_tradnl" w:vendorID="64" w:dllVersion="6" w:nlCheck="1" w:checkStyle="1"/>
  <w:activeWritingStyle w:appName="MSWord" w:lang="en-AU" w:vendorID="64" w:dllVersion="6" w:nlCheck="1" w:checkStyle="1"/>
  <w:activeWritingStyle w:appName="MSWord" w:lang="es-ES" w:vendorID="64" w:dllVersion="6" w:nlCheck="1" w:checkStyle="0"/>
  <w:activeWritingStyle w:appName="MSWord" w:lang="es-CO" w:vendorID="64" w:dllVersion="6" w:nlCheck="1" w:checkStyle="1"/>
  <w:activeWritingStyle w:appName="MSWord" w:lang="es-US" w:vendorID="64" w:dllVersion="6" w:nlCheck="1" w:checkStyle="1"/>
  <w:activeWritingStyle w:appName="MSWord" w:lang="en-US" w:vendorID="64" w:dllVersion="4096" w:nlCheck="1" w:checkStyle="0"/>
  <w:activeWritingStyle w:appName="MSWord" w:lang="pt-BR"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TI2s7Q0MDUyMLIwNjFS0lEKTi0uzszPAymwMKkFAOKdTBktAAAA"/>
  </w:docVars>
  <w:rsids>
    <w:rsidRoot w:val="00201BED"/>
    <w:rsid w:val="00001560"/>
    <w:rsid w:val="000031B2"/>
    <w:rsid w:val="0000330C"/>
    <w:rsid w:val="00005553"/>
    <w:rsid w:val="00005DA8"/>
    <w:rsid w:val="00010A33"/>
    <w:rsid w:val="000117F0"/>
    <w:rsid w:val="00014A0E"/>
    <w:rsid w:val="00020586"/>
    <w:rsid w:val="00021882"/>
    <w:rsid w:val="00021FFC"/>
    <w:rsid w:val="00022010"/>
    <w:rsid w:val="00024BF1"/>
    <w:rsid w:val="00026648"/>
    <w:rsid w:val="00026B8C"/>
    <w:rsid w:val="00026E37"/>
    <w:rsid w:val="00026EDA"/>
    <w:rsid w:val="0002797B"/>
    <w:rsid w:val="00027F65"/>
    <w:rsid w:val="00030052"/>
    <w:rsid w:val="00031152"/>
    <w:rsid w:val="000318AC"/>
    <w:rsid w:val="000331A8"/>
    <w:rsid w:val="00034898"/>
    <w:rsid w:val="00034F23"/>
    <w:rsid w:val="00036646"/>
    <w:rsid w:val="00036CAE"/>
    <w:rsid w:val="0003730A"/>
    <w:rsid w:val="00040216"/>
    <w:rsid w:val="00040996"/>
    <w:rsid w:val="00040B36"/>
    <w:rsid w:val="000422EC"/>
    <w:rsid w:val="00043F77"/>
    <w:rsid w:val="00044590"/>
    <w:rsid w:val="000459F8"/>
    <w:rsid w:val="00045B9B"/>
    <w:rsid w:val="00046EE9"/>
    <w:rsid w:val="00052EFC"/>
    <w:rsid w:val="0005471C"/>
    <w:rsid w:val="00056F4A"/>
    <w:rsid w:val="00057676"/>
    <w:rsid w:val="00057ABC"/>
    <w:rsid w:val="00066E3F"/>
    <w:rsid w:val="0007201D"/>
    <w:rsid w:val="000724C7"/>
    <w:rsid w:val="00075AF0"/>
    <w:rsid w:val="00076189"/>
    <w:rsid w:val="00076309"/>
    <w:rsid w:val="0007634A"/>
    <w:rsid w:val="000773D2"/>
    <w:rsid w:val="0008129C"/>
    <w:rsid w:val="0008314D"/>
    <w:rsid w:val="000842F8"/>
    <w:rsid w:val="00084A41"/>
    <w:rsid w:val="00085C92"/>
    <w:rsid w:val="00086464"/>
    <w:rsid w:val="000865E6"/>
    <w:rsid w:val="00086DAD"/>
    <w:rsid w:val="00090DCF"/>
    <w:rsid w:val="00090FD1"/>
    <w:rsid w:val="00091C2E"/>
    <w:rsid w:val="00094A4A"/>
    <w:rsid w:val="00096044"/>
    <w:rsid w:val="00097296"/>
    <w:rsid w:val="000A0D73"/>
    <w:rsid w:val="000A1FDE"/>
    <w:rsid w:val="000A25C2"/>
    <w:rsid w:val="000A2658"/>
    <w:rsid w:val="000A370F"/>
    <w:rsid w:val="000A4AED"/>
    <w:rsid w:val="000A72E4"/>
    <w:rsid w:val="000B02B8"/>
    <w:rsid w:val="000B1093"/>
    <w:rsid w:val="000B14C3"/>
    <w:rsid w:val="000B2C92"/>
    <w:rsid w:val="000B4572"/>
    <w:rsid w:val="000B4586"/>
    <w:rsid w:val="000B4CF7"/>
    <w:rsid w:val="000B5984"/>
    <w:rsid w:val="000B5C4C"/>
    <w:rsid w:val="000B6D88"/>
    <w:rsid w:val="000C050E"/>
    <w:rsid w:val="000C1A39"/>
    <w:rsid w:val="000C3046"/>
    <w:rsid w:val="000C310B"/>
    <w:rsid w:val="000C31E2"/>
    <w:rsid w:val="000C4809"/>
    <w:rsid w:val="000C4A0A"/>
    <w:rsid w:val="000C4FF5"/>
    <w:rsid w:val="000C70C9"/>
    <w:rsid w:val="000D04A1"/>
    <w:rsid w:val="000D0560"/>
    <w:rsid w:val="000D0E1F"/>
    <w:rsid w:val="000D1097"/>
    <w:rsid w:val="000D1B93"/>
    <w:rsid w:val="000D32FC"/>
    <w:rsid w:val="000D3709"/>
    <w:rsid w:val="000D582F"/>
    <w:rsid w:val="000D7827"/>
    <w:rsid w:val="000E05AF"/>
    <w:rsid w:val="000E11E1"/>
    <w:rsid w:val="000E19F6"/>
    <w:rsid w:val="000E2DDE"/>
    <w:rsid w:val="000F1A86"/>
    <w:rsid w:val="000F599B"/>
    <w:rsid w:val="000F602E"/>
    <w:rsid w:val="000F66D9"/>
    <w:rsid w:val="000F7387"/>
    <w:rsid w:val="00105426"/>
    <w:rsid w:val="001058F0"/>
    <w:rsid w:val="001062B5"/>
    <w:rsid w:val="00106CB7"/>
    <w:rsid w:val="00106E9F"/>
    <w:rsid w:val="00111FC2"/>
    <w:rsid w:val="001139E4"/>
    <w:rsid w:val="0011430C"/>
    <w:rsid w:val="00115EAE"/>
    <w:rsid w:val="001200F5"/>
    <w:rsid w:val="0012216C"/>
    <w:rsid w:val="00122B3A"/>
    <w:rsid w:val="00123610"/>
    <w:rsid w:val="00124C89"/>
    <w:rsid w:val="00125253"/>
    <w:rsid w:val="001307B0"/>
    <w:rsid w:val="00130C93"/>
    <w:rsid w:val="0013598B"/>
    <w:rsid w:val="0013727C"/>
    <w:rsid w:val="00137AF0"/>
    <w:rsid w:val="00140599"/>
    <w:rsid w:val="00141260"/>
    <w:rsid w:val="001422DC"/>
    <w:rsid w:val="001464A6"/>
    <w:rsid w:val="00146B0C"/>
    <w:rsid w:val="001473A2"/>
    <w:rsid w:val="00147EE2"/>
    <w:rsid w:val="001516A9"/>
    <w:rsid w:val="00151BEC"/>
    <w:rsid w:val="0015320F"/>
    <w:rsid w:val="001536C0"/>
    <w:rsid w:val="00153DFC"/>
    <w:rsid w:val="00154AB0"/>
    <w:rsid w:val="00156265"/>
    <w:rsid w:val="001564E1"/>
    <w:rsid w:val="0015723E"/>
    <w:rsid w:val="00157323"/>
    <w:rsid w:val="0016025A"/>
    <w:rsid w:val="001603A7"/>
    <w:rsid w:val="00160467"/>
    <w:rsid w:val="00160C29"/>
    <w:rsid w:val="001622C6"/>
    <w:rsid w:val="00164DFD"/>
    <w:rsid w:val="00165953"/>
    <w:rsid w:val="001675D4"/>
    <w:rsid w:val="00172135"/>
    <w:rsid w:val="001721C8"/>
    <w:rsid w:val="00173790"/>
    <w:rsid w:val="00174912"/>
    <w:rsid w:val="001808D1"/>
    <w:rsid w:val="00187BB4"/>
    <w:rsid w:val="001904AB"/>
    <w:rsid w:val="0019442B"/>
    <w:rsid w:val="0019449F"/>
    <w:rsid w:val="00195634"/>
    <w:rsid w:val="001A20AE"/>
    <w:rsid w:val="001A2274"/>
    <w:rsid w:val="001A23CB"/>
    <w:rsid w:val="001A3BA4"/>
    <w:rsid w:val="001B01F5"/>
    <w:rsid w:val="001B22B2"/>
    <w:rsid w:val="001B3901"/>
    <w:rsid w:val="001B64EC"/>
    <w:rsid w:val="001C0742"/>
    <w:rsid w:val="001C08CB"/>
    <w:rsid w:val="001C1191"/>
    <w:rsid w:val="001C2527"/>
    <w:rsid w:val="001C4C40"/>
    <w:rsid w:val="001C6A81"/>
    <w:rsid w:val="001D3457"/>
    <w:rsid w:val="001D429C"/>
    <w:rsid w:val="001D6C29"/>
    <w:rsid w:val="001D6FC9"/>
    <w:rsid w:val="001E0A20"/>
    <w:rsid w:val="001E3F3A"/>
    <w:rsid w:val="001E40BC"/>
    <w:rsid w:val="001E47C8"/>
    <w:rsid w:val="001E5327"/>
    <w:rsid w:val="001E535C"/>
    <w:rsid w:val="001E602A"/>
    <w:rsid w:val="001F0982"/>
    <w:rsid w:val="001F2033"/>
    <w:rsid w:val="001F29B6"/>
    <w:rsid w:val="001F6327"/>
    <w:rsid w:val="002017B1"/>
    <w:rsid w:val="00201BED"/>
    <w:rsid w:val="00201E24"/>
    <w:rsid w:val="002058EF"/>
    <w:rsid w:val="00206983"/>
    <w:rsid w:val="002077A5"/>
    <w:rsid w:val="002130F4"/>
    <w:rsid w:val="002148FB"/>
    <w:rsid w:val="002227DA"/>
    <w:rsid w:val="00223204"/>
    <w:rsid w:val="00224188"/>
    <w:rsid w:val="00224E59"/>
    <w:rsid w:val="00225D49"/>
    <w:rsid w:val="0023032D"/>
    <w:rsid w:val="002306EC"/>
    <w:rsid w:val="00231B7F"/>
    <w:rsid w:val="00232419"/>
    <w:rsid w:val="00236DA3"/>
    <w:rsid w:val="0024070C"/>
    <w:rsid w:val="002434F9"/>
    <w:rsid w:val="002453A7"/>
    <w:rsid w:val="00246349"/>
    <w:rsid w:val="00246C98"/>
    <w:rsid w:val="00247A1B"/>
    <w:rsid w:val="002504A6"/>
    <w:rsid w:val="0025078A"/>
    <w:rsid w:val="0025117E"/>
    <w:rsid w:val="002513C7"/>
    <w:rsid w:val="00251715"/>
    <w:rsid w:val="00251AD6"/>
    <w:rsid w:val="0025319F"/>
    <w:rsid w:val="00254538"/>
    <w:rsid w:val="002549E2"/>
    <w:rsid w:val="00257286"/>
    <w:rsid w:val="00257D49"/>
    <w:rsid w:val="00260F64"/>
    <w:rsid w:val="00261939"/>
    <w:rsid w:val="0026238E"/>
    <w:rsid w:val="00262BBA"/>
    <w:rsid w:val="00266105"/>
    <w:rsid w:val="002675E1"/>
    <w:rsid w:val="00270847"/>
    <w:rsid w:val="00271E2A"/>
    <w:rsid w:val="00272400"/>
    <w:rsid w:val="00273197"/>
    <w:rsid w:val="00273838"/>
    <w:rsid w:val="0027441B"/>
    <w:rsid w:val="00276E93"/>
    <w:rsid w:val="00286728"/>
    <w:rsid w:val="00294166"/>
    <w:rsid w:val="00295695"/>
    <w:rsid w:val="00297C80"/>
    <w:rsid w:val="00297FBB"/>
    <w:rsid w:val="002A0A1C"/>
    <w:rsid w:val="002A23DF"/>
    <w:rsid w:val="002A3A56"/>
    <w:rsid w:val="002A43B8"/>
    <w:rsid w:val="002A4644"/>
    <w:rsid w:val="002B1AB7"/>
    <w:rsid w:val="002B2670"/>
    <w:rsid w:val="002B3191"/>
    <w:rsid w:val="002B46D6"/>
    <w:rsid w:val="002B58D0"/>
    <w:rsid w:val="002B598F"/>
    <w:rsid w:val="002C0C53"/>
    <w:rsid w:val="002C15DB"/>
    <w:rsid w:val="002C1686"/>
    <w:rsid w:val="002C462E"/>
    <w:rsid w:val="002C5A9F"/>
    <w:rsid w:val="002C6973"/>
    <w:rsid w:val="002C701E"/>
    <w:rsid w:val="002C7621"/>
    <w:rsid w:val="002C7E10"/>
    <w:rsid w:val="002D0616"/>
    <w:rsid w:val="002D2143"/>
    <w:rsid w:val="002D4D69"/>
    <w:rsid w:val="002D4FB1"/>
    <w:rsid w:val="002E088C"/>
    <w:rsid w:val="002E1F2D"/>
    <w:rsid w:val="002E42A8"/>
    <w:rsid w:val="002E5740"/>
    <w:rsid w:val="002E7C58"/>
    <w:rsid w:val="002F104E"/>
    <w:rsid w:val="002F252D"/>
    <w:rsid w:val="002F29A3"/>
    <w:rsid w:val="002F4159"/>
    <w:rsid w:val="002F6369"/>
    <w:rsid w:val="002F7CC5"/>
    <w:rsid w:val="0030043E"/>
    <w:rsid w:val="003021F4"/>
    <w:rsid w:val="0030492B"/>
    <w:rsid w:val="003071C3"/>
    <w:rsid w:val="003072B1"/>
    <w:rsid w:val="0031040D"/>
    <w:rsid w:val="00311FD8"/>
    <w:rsid w:val="00312FEC"/>
    <w:rsid w:val="00313A36"/>
    <w:rsid w:val="003141A0"/>
    <w:rsid w:val="00314C3A"/>
    <w:rsid w:val="00317F0D"/>
    <w:rsid w:val="00321470"/>
    <w:rsid w:val="003226BB"/>
    <w:rsid w:val="00323949"/>
    <w:rsid w:val="00323BDE"/>
    <w:rsid w:val="003255FE"/>
    <w:rsid w:val="00326401"/>
    <w:rsid w:val="003273C7"/>
    <w:rsid w:val="00327DDC"/>
    <w:rsid w:val="0033075B"/>
    <w:rsid w:val="00331576"/>
    <w:rsid w:val="003318ED"/>
    <w:rsid w:val="003322B0"/>
    <w:rsid w:val="003335B4"/>
    <w:rsid w:val="00333F04"/>
    <w:rsid w:val="00334CAE"/>
    <w:rsid w:val="00340D90"/>
    <w:rsid w:val="00340FBB"/>
    <w:rsid w:val="00341EF1"/>
    <w:rsid w:val="00342013"/>
    <w:rsid w:val="00342ACC"/>
    <w:rsid w:val="0034322B"/>
    <w:rsid w:val="00343A8F"/>
    <w:rsid w:val="00343B16"/>
    <w:rsid w:val="00343C8A"/>
    <w:rsid w:val="00343D05"/>
    <w:rsid w:val="00344541"/>
    <w:rsid w:val="003458E8"/>
    <w:rsid w:val="0034715E"/>
    <w:rsid w:val="00347A8D"/>
    <w:rsid w:val="00350707"/>
    <w:rsid w:val="003513FB"/>
    <w:rsid w:val="00351673"/>
    <w:rsid w:val="0035281F"/>
    <w:rsid w:val="003529A3"/>
    <w:rsid w:val="00354B0D"/>
    <w:rsid w:val="003564AB"/>
    <w:rsid w:val="00365D50"/>
    <w:rsid w:val="003679F1"/>
    <w:rsid w:val="0037020D"/>
    <w:rsid w:val="00374E89"/>
    <w:rsid w:val="003750BA"/>
    <w:rsid w:val="003772B4"/>
    <w:rsid w:val="003778F5"/>
    <w:rsid w:val="00381E95"/>
    <w:rsid w:val="003836E4"/>
    <w:rsid w:val="00383DCE"/>
    <w:rsid w:val="00384B9E"/>
    <w:rsid w:val="0038517F"/>
    <w:rsid w:val="00387708"/>
    <w:rsid w:val="00390E03"/>
    <w:rsid w:val="00392B41"/>
    <w:rsid w:val="003948D7"/>
    <w:rsid w:val="00394A99"/>
    <w:rsid w:val="003952A7"/>
    <w:rsid w:val="00395A06"/>
    <w:rsid w:val="00396654"/>
    <w:rsid w:val="00396931"/>
    <w:rsid w:val="003A15A1"/>
    <w:rsid w:val="003A1A25"/>
    <w:rsid w:val="003A36D0"/>
    <w:rsid w:val="003A37C3"/>
    <w:rsid w:val="003A6601"/>
    <w:rsid w:val="003A6FF0"/>
    <w:rsid w:val="003A7B7D"/>
    <w:rsid w:val="003A7ECC"/>
    <w:rsid w:val="003B03EE"/>
    <w:rsid w:val="003B276E"/>
    <w:rsid w:val="003B2A8F"/>
    <w:rsid w:val="003B34DB"/>
    <w:rsid w:val="003B4AAA"/>
    <w:rsid w:val="003B5711"/>
    <w:rsid w:val="003B5FF7"/>
    <w:rsid w:val="003B61FD"/>
    <w:rsid w:val="003B6C63"/>
    <w:rsid w:val="003C08F8"/>
    <w:rsid w:val="003C1F77"/>
    <w:rsid w:val="003C3143"/>
    <w:rsid w:val="003C335F"/>
    <w:rsid w:val="003C6413"/>
    <w:rsid w:val="003D0F96"/>
    <w:rsid w:val="003D102A"/>
    <w:rsid w:val="003D1677"/>
    <w:rsid w:val="003D293B"/>
    <w:rsid w:val="003D632A"/>
    <w:rsid w:val="003E5316"/>
    <w:rsid w:val="003E7A47"/>
    <w:rsid w:val="003F0E67"/>
    <w:rsid w:val="003F252C"/>
    <w:rsid w:val="003F5102"/>
    <w:rsid w:val="003F7EC0"/>
    <w:rsid w:val="00400BCD"/>
    <w:rsid w:val="00403102"/>
    <w:rsid w:val="0040686F"/>
    <w:rsid w:val="0040758B"/>
    <w:rsid w:val="00407599"/>
    <w:rsid w:val="00413ED7"/>
    <w:rsid w:val="00414471"/>
    <w:rsid w:val="004151F9"/>
    <w:rsid w:val="00415B66"/>
    <w:rsid w:val="004166E6"/>
    <w:rsid w:val="00416E53"/>
    <w:rsid w:val="00420FB1"/>
    <w:rsid w:val="00426437"/>
    <w:rsid w:val="00426470"/>
    <w:rsid w:val="00431E93"/>
    <w:rsid w:val="004328C4"/>
    <w:rsid w:val="00433AFC"/>
    <w:rsid w:val="00435E56"/>
    <w:rsid w:val="00436532"/>
    <w:rsid w:val="00440ADD"/>
    <w:rsid w:val="00441C85"/>
    <w:rsid w:val="0044221A"/>
    <w:rsid w:val="00442F55"/>
    <w:rsid w:val="004446BC"/>
    <w:rsid w:val="00446251"/>
    <w:rsid w:val="0045185D"/>
    <w:rsid w:val="00451DD2"/>
    <w:rsid w:val="00452C3F"/>
    <w:rsid w:val="00454601"/>
    <w:rsid w:val="00454FE9"/>
    <w:rsid w:val="0045518C"/>
    <w:rsid w:val="00455AAF"/>
    <w:rsid w:val="0045666E"/>
    <w:rsid w:val="0045696C"/>
    <w:rsid w:val="004569DE"/>
    <w:rsid w:val="00460A84"/>
    <w:rsid w:val="00461012"/>
    <w:rsid w:val="004610AF"/>
    <w:rsid w:val="00463779"/>
    <w:rsid w:val="00463AEF"/>
    <w:rsid w:val="00465526"/>
    <w:rsid w:val="004660EB"/>
    <w:rsid w:val="0047022C"/>
    <w:rsid w:val="00473215"/>
    <w:rsid w:val="00474EF0"/>
    <w:rsid w:val="00477921"/>
    <w:rsid w:val="00481184"/>
    <w:rsid w:val="0048175C"/>
    <w:rsid w:val="0048208B"/>
    <w:rsid w:val="00486A0D"/>
    <w:rsid w:val="00486ED6"/>
    <w:rsid w:val="00487DCC"/>
    <w:rsid w:val="00487F9B"/>
    <w:rsid w:val="00491063"/>
    <w:rsid w:val="00491235"/>
    <w:rsid w:val="0049130D"/>
    <w:rsid w:val="00491A65"/>
    <w:rsid w:val="00494445"/>
    <w:rsid w:val="00494C20"/>
    <w:rsid w:val="00494EFA"/>
    <w:rsid w:val="00494F6B"/>
    <w:rsid w:val="00497946"/>
    <w:rsid w:val="004A1595"/>
    <w:rsid w:val="004A168B"/>
    <w:rsid w:val="004A18C1"/>
    <w:rsid w:val="004A2296"/>
    <w:rsid w:val="004A3672"/>
    <w:rsid w:val="004A3A64"/>
    <w:rsid w:val="004A7242"/>
    <w:rsid w:val="004A7D25"/>
    <w:rsid w:val="004B1CC9"/>
    <w:rsid w:val="004B25E9"/>
    <w:rsid w:val="004B28D9"/>
    <w:rsid w:val="004B35A5"/>
    <w:rsid w:val="004B4378"/>
    <w:rsid w:val="004B6B51"/>
    <w:rsid w:val="004C0CDA"/>
    <w:rsid w:val="004C1AEA"/>
    <w:rsid w:val="004C60A8"/>
    <w:rsid w:val="004C6C56"/>
    <w:rsid w:val="004C6D61"/>
    <w:rsid w:val="004C6E60"/>
    <w:rsid w:val="004C7747"/>
    <w:rsid w:val="004C7BE0"/>
    <w:rsid w:val="004D09E5"/>
    <w:rsid w:val="004D14C7"/>
    <w:rsid w:val="004D1886"/>
    <w:rsid w:val="004D266D"/>
    <w:rsid w:val="004D3017"/>
    <w:rsid w:val="004D3534"/>
    <w:rsid w:val="004D461E"/>
    <w:rsid w:val="004D5421"/>
    <w:rsid w:val="004D5493"/>
    <w:rsid w:val="004D5CB0"/>
    <w:rsid w:val="004D652E"/>
    <w:rsid w:val="004D6DB8"/>
    <w:rsid w:val="004D71AF"/>
    <w:rsid w:val="004E1ADA"/>
    <w:rsid w:val="004E3633"/>
    <w:rsid w:val="004E38D5"/>
    <w:rsid w:val="004E4F07"/>
    <w:rsid w:val="004F2754"/>
    <w:rsid w:val="004F6597"/>
    <w:rsid w:val="0050170C"/>
    <w:rsid w:val="005017C1"/>
    <w:rsid w:val="00502275"/>
    <w:rsid w:val="00507195"/>
    <w:rsid w:val="00507A6B"/>
    <w:rsid w:val="00511B45"/>
    <w:rsid w:val="0051326B"/>
    <w:rsid w:val="00513B4B"/>
    <w:rsid w:val="0051686F"/>
    <w:rsid w:val="00520E91"/>
    <w:rsid w:val="00520FFF"/>
    <w:rsid w:val="005260BB"/>
    <w:rsid w:val="005266D3"/>
    <w:rsid w:val="005273AE"/>
    <w:rsid w:val="00527C91"/>
    <w:rsid w:val="00530010"/>
    <w:rsid w:val="005313DE"/>
    <w:rsid w:val="00533721"/>
    <w:rsid w:val="005352B2"/>
    <w:rsid w:val="00536225"/>
    <w:rsid w:val="00536EC9"/>
    <w:rsid w:val="00537105"/>
    <w:rsid w:val="00540B05"/>
    <w:rsid w:val="00540D32"/>
    <w:rsid w:val="00541B5F"/>
    <w:rsid w:val="005420AA"/>
    <w:rsid w:val="00545EE0"/>
    <w:rsid w:val="0054658D"/>
    <w:rsid w:val="00546790"/>
    <w:rsid w:val="005478C0"/>
    <w:rsid w:val="0055021E"/>
    <w:rsid w:val="00551F03"/>
    <w:rsid w:val="00552359"/>
    <w:rsid w:val="00552DD5"/>
    <w:rsid w:val="005558B0"/>
    <w:rsid w:val="005576C6"/>
    <w:rsid w:val="005603B3"/>
    <w:rsid w:val="00561694"/>
    <w:rsid w:val="00563845"/>
    <w:rsid w:val="0056740C"/>
    <w:rsid w:val="00567A13"/>
    <w:rsid w:val="00570226"/>
    <w:rsid w:val="005705D6"/>
    <w:rsid w:val="00570666"/>
    <w:rsid w:val="00571157"/>
    <w:rsid w:val="005733CA"/>
    <w:rsid w:val="00576A78"/>
    <w:rsid w:val="0057746E"/>
    <w:rsid w:val="005807B3"/>
    <w:rsid w:val="00580C89"/>
    <w:rsid w:val="00580FF5"/>
    <w:rsid w:val="00582B2E"/>
    <w:rsid w:val="00582C07"/>
    <w:rsid w:val="005847DE"/>
    <w:rsid w:val="00587587"/>
    <w:rsid w:val="005929AB"/>
    <w:rsid w:val="00593776"/>
    <w:rsid w:val="00594A6D"/>
    <w:rsid w:val="0059649B"/>
    <w:rsid w:val="005A104D"/>
    <w:rsid w:val="005A315D"/>
    <w:rsid w:val="005A37C7"/>
    <w:rsid w:val="005B1A09"/>
    <w:rsid w:val="005B3FE5"/>
    <w:rsid w:val="005B527E"/>
    <w:rsid w:val="005B5C1C"/>
    <w:rsid w:val="005C0030"/>
    <w:rsid w:val="005C0E66"/>
    <w:rsid w:val="005C1450"/>
    <w:rsid w:val="005C4157"/>
    <w:rsid w:val="005C4DED"/>
    <w:rsid w:val="005C5430"/>
    <w:rsid w:val="005C58B6"/>
    <w:rsid w:val="005C5B23"/>
    <w:rsid w:val="005C6487"/>
    <w:rsid w:val="005D24D6"/>
    <w:rsid w:val="005D30CC"/>
    <w:rsid w:val="005D316D"/>
    <w:rsid w:val="005D3939"/>
    <w:rsid w:val="005D46A9"/>
    <w:rsid w:val="005D7A2B"/>
    <w:rsid w:val="005D7D44"/>
    <w:rsid w:val="005E2612"/>
    <w:rsid w:val="005E5697"/>
    <w:rsid w:val="005E6BFD"/>
    <w:rsid w:val="005E6FC1"/>
    <w:rsid w:val="005E7FDB"/>
    <w:rsid w:val="005E7FF5"/>
    <w:rsid w:val="005F22D9"/>
    <w:rsid w:val="005F28DE"/>
    <w:rsid w:val="005F4098"/>
    <w:rsid w:val="00600DBC"/>
    <w:rsid w:val="006019FE"/>
    <w:rsid w:val="00603406"/>
    <w:rsid w:val="00606AFE"/>
    <w:rsid w:val="00607033"/>
    <w:rsid w:val="00610694"/>
    <w:rsid w:val="00615B38"/>
    <w:rsid w:val="00616066"/>
    <w:rsid w:val="00617E5A"/>
    <w:rsid w:val="00621CD1"/>
    <w:rsid w:val="00622008"/>
    <w:rsid w:val="006221DF"/>
    <w:rsid w:val="006223B4"/>
    <w:rsid w:val="00623484"/>
    <w:rsid w:val="006237D2"/>
    <w:rsid w:val="00623C5E"/>
    <w:rsid w:val="00623C63"/>
    <w:rsid w:val="00624044"/>
    <w:rsid w:val="006338B5"/>
    <w:rsid w:val="006349EE"/>
    <w:rsid w:val="00635E33"/>
    <w:rsid w:val="00637E16"/>
    <w:rsid w:val="006440E7"/>
    <w:rsid w:val="00645136"/>
    <w:rsid w:val="006451A4"/>
    <w:rsid w:val="00646B5D"/>
    <w:rsid w:val="00652D22"/>
    <w:rsid w:val="0065474E"/>
    <w:rsid w:val="00654811"/>
    <w:rsid w:val="0065570C"/>
    <w:rsid w:val="006562C9"/>
    <w:rsid w:val="00657D6A"/>
    <w:rsid w:val="00664D06"/>
    <w:rsid w:val="00666189"/>
    <w:rsid w:val="00666195"/>
    <w:rsid w:val="00666777"/>
    <w:rsid w:val="00673128"/>
    <w:rsid w:val="0067457B"/>
    <w:rsid w:val="00674A42"/>
    <w:rsid w:val="00675F47"/>
    <w:rsid w:val="00680605"/>
    <w:rsid w:val="00680BF7"/>
    <w:rsid w:val="006834C1"/>
    <w:rsid w:val="00684194"/>
    <w:rsid w:val="00686248"/>
    <w:rsid w:val="00691210"/>
    <w:rsid w:val="006928DE"/>
    <w:rsid w:val="00693D55"/>
    <w:rsid w:val="00694C6E"/>
    <w:rsid w:val="00694DE0"/>
    <w:rsid w:val="00695A29"/>
    <w:rsid w:val="00695DA0"/>
    <w:rsid w:val="00695F1A"/>
    <w:rsid w:val="00697AF8"/>
    <w:rsid w:val="006A0DE2"/>
    <w:rsid w:val="006A124A"/>
    <w:rsid w:val="006A15D8"/>
    <w:rsid w:val="006A2322"/>
    <w:rsid w:val="006A3BB7"/>
    <w:rsid w:val="006A3BC3"/>
    <w:rsid w:val="006A74BA"/>
    <w:rsid w:val="006A781A"/>
    <w:rsid w:val="006B05B1"/>
    <w:rsid w:val="006B081F"/>
    <w:rsid w:val="006B09CB"/>
    <w:rsid w:val="006B102D"/>
    <w:rsid w:val="006B28BC"/>
    <w:rsid w:val="006B2FE6"/>
    <w:rsid w:val="006B48E1"/>
    <w:rsid w:val="006C0F7D"/>
    <w:rsid w:val="006C4C88"/>
    <w:rsid w:val="006C4CEB"/>
    <w:rsid w:val="006C51BF"/>
    <w:rsid w:val="006C7C79"/>
    <w:rsid w:val="006D071B"/>
    <w:rsid w:val="006D13CB"/>
    <w:rsid w:val="006D1C7B"/>
    <w:rsid w:val="006E1419"/>
    <w:rsid w:val="006E22ED"/>
    <w:rsid w:val="006E259D"/>
    <w:rsid w:val="006E41C0"/>
    <w:rsid w:val="006E52B5"/>
    <w:rsid w:val="006E6E0F"/>
    <w:rsid w:val="006E6F00"/>
    <w:rsid w:val="006E757F"/>
    <w:rsid w:val="006E7F0C"/>
    <w:rsid w:val="006F0CF9"/>
    <w:rsid w:val="006F1546"/>
    <w:rsid w:val="006F1C88"/>
    <w:rsid w:val="006F2D9E"/>
    <w:rsid w:val="006F496E"/>
    <w:rsid w:val="006F4BE3"/>
    <w:rsid w:val="006F4D83"/>
    <w:rsid w:val="006F5E66"/>
    <w:rsid w:val="007010C3"/>
    <w:rsid w:val="00703169"/>
    <w:rsid w:val="00704BCA"/>
    <w:rsid w:val="007105BE"/>
    <w:rsid w:val="00710831"/>
    <w:rsid w:val="00712C14"/>
    <w:rsid w:val="007139DC"/>
    <w:rsid w:val="0071521A"/>
    <w:rsid w:val="00715390"/>
    <w:rsid w:val="00716902"/>
    <w:rsid w:val="00720304"/>
    <w:rsid w:val="0072579B"/>
    <w:rsid w:val="007264B2"/>
    <w:rsid w:val="0072726C"/>
    <w:rsid w:val="00730B2F"/>
    <w:rsid w:val="00730C18"/>
    <w:rsid w:val="007324DF"/>
    <w:rsid w:val="00736B42"/>
    <w:rsid w:val="00737086"/>
    <w:rsid w:val="00737893"/>
    <w:rsid w:val="0074047C"/>
    <w:rsid w:val="00740672"/>
    <w:rsid w:val="007409D7"/>
    <w:rsid w:val="00740CB6"/>
    <w:rsid w:val="00741235"/>
    <w:rsid w:val="00741F59"/>
    <w:rsid w:val="00742D27"/>
    <w:rsid w:val="00743211"/>
    <w:rsid w:val="00747E88"/>
    <w:rsid w:val="00751C98"/>
    <w:rsid w:val="00752F7B"/>
    <w:rsid w:val="0075775E"/>
    <w:rsid w:val="0075785F"/>
    <w:rsid w:val="00760B12"/>
    <w:rsid w:val="00762627"/>
    <w:rsid w:val="0076541A"/>
    <w:rsid w:val="00765852"/>
    <w:rsid w:val="00770D50"/>
    <w:rsid w:val="00770DD9"/>
    <w:rsid w:val="00771F0C"/>
    <w:rsid w:val="00773245"/>
    <w:rsid w:val="007736B1"/>
    <w:rsid w:val="007749AA"/>
    <w:rsid w:val="007756A2"/>
    <w:rsid w:val="00775CDE"/>
    <w:rsid w:val="00776869"/>
    <w:rsid w:val="00776ED5"/>
    <w:rsid w:val="007773B3"/>
    <w:rsid w:val="0078120D"/>
    <w:rsid w:val="007822EB"/>
    <w:rsid w:val="00785D24"/>
    <w:rsid w:val="00786850"/>
    <w:rsid w:val="007869D7"/>
    <w:rsid w:val="007907C7"/>
    <w:rsid w:val="00791BC9"/>
    <w:rsid w:val="00791F5F"/>
    <w:rsid w:val="00793259"/>
    <w:rsid w:val="007934FD"/>
    <w:rsid w:val="0079538A"/>
    <w:rsid w:val="007973FF"/>
    <w:rsid w:val="00797C90"/>
    <w:rsid w:val="007A033C"/>
    <w:rsid w:val="007A36EE"/>
    <w:rsid w:val="007A4A2D"/>
    <w:rsid w:val="007A60A5"/>
    <w:rsid w:val="007B0C4D"/>
    <w:rsid w:val="007B16E1"/>
    <w:rsid w:val="007B1AAD"/>
    <w:rsid w:val="007B1F89"/>
    <w:rsid w:val="007B2E86"/>
    <w:rsid w:val="007B76F0"/>
    <w:rsid w:val="007C0999"/>
    <w:rsid w:val="007C29C8"/>
    <w:rsid w:val="007C39E5"/>
    <w:rsid w:val="007C47B1"/>
    <w:rsid w:val="007C4BCA"/>
    <w:rsid w:val="007C5533"/>
    <w:rsid w:val="007D0472"/>
    <w:rsid w:val="007D047C"/>
    <w:rsid w:val="007D0A02"/>
    <w:rsid w:val="007D1ED4"/>
    <w:rsid w:val="007D2E0A"/>
    <w:rsid w:val="007D326C"/>
    <w:rsid w:val="007D4D8F"/>
    <w:rsid w:val="007E052B"/>
    <w:rsid w:val="007E1190"/>
    <w:rsid w:val="007E1D4C"/>
    <w:rsid w:val="007E381C"/>
    <w:rsid w:val="007E4769"/>
    <w:rsid w:val="007E4900"/>
    <w:rsid w:val="007E5451"/>
    <w:rsid w:val="007E5B3E"/>
    <w:rsid w:val="007F0E83"/>
    <w:rsid w:val="007F14AD"/>
    <w:rsid w:val="007F2F6B"/>
    <w:rsid w:val="007F74A3"/>
    <w:rsid w:val="00800BC7"/>
    <w:rsid w:val="00800CA3"/>
    <w:rsid w:val="0080160A"/>
    <w:rsid w:val="00801FD4"/>
    <w:rsid w:val="00804323"/>
    <w:rsid w:val="00804AF4"/>
    <w:rsid w:val="00807405"/>
    <w:rsid w:val="00812951"/>
    <w:rsid w:val="00813332"/>
    <w:rsid w:val="0081531A"/>
    <w:rsid w:val="00815F9D"/>
    <w:rsid w:val="008162B4"/>
    <w:rsid w:val="00816C57"/>
    <w:rsid w:val="00817AE6"/>
    <w:rsid w:val="00820C36"/>
    <w:rsid w:val="00820D0E"/>
    <w:rsid w:val="00820EFC"/>
    <w:rsid w:val="008221F9"/>
    <w:rsid w:val="00822972"/>
    <w:rsid w:val="00823E90"/>
    <w:rsid w:val="00824612"/>
    <w:rsid w:val="0082635D"/>
    <w:rsid w:val="00830C34"/>
    <w:rsid w:val="00830DBD"/>
    <w:rsid w:val="008310C6"/>
    <w:rsid w:val="008313B0"/>
    <w:rsid w:val="00832151"/>
    <w:rsid w:val="00834DE9"/>
    <w:rsid w:val="008354D7"/>
    <w:rsid w:val="00840E53"/>
    <w:rsid w:val="0084203C"/>
    <w:rsid w:val="008433C8"/>
    <w:rsid w:val="00843909"/>
    <w:rsid w:val="00845110"/>
    <w:rsid w:val="00845181"/>
    <w:rsid w:val="008462D3"/>
    <w:rsid w:val="00846A41"/>
    <w:rsid w:val="0085047E"/>
    <w:rsid w:val="0085091F"/>
    <w:rsid w:val="00850CBE"/>
    <w:rsid w:val="008515BC"/>
    <w:rsid w:val="0085527A"/>
    <w:rsid w:val="008560A5"/>
    <w:rsid w:val="008578E4"/>
    <w:rsid w:val="00857F20"/>
    <w:rsid w:val="0086033F"/>
    <w:rsid w:val="00860B64"/>
    <w:rsid w:val="0086307F"/>
    <w:rsid w:val="00867574"/>
    <w:rsid w:val="00867B65"/>
    <w:rsid w:val="008707D6"/>
    <w:rsid w:val="00870D6E"/>
    <w:rsid w:val="00875425"/>
    <w:rsid w:val="00877AFE"/>
    <w:rsid w:val="00877B75"/>
    <w:rsid w:val="0088016B"/>
    <w:rsid w:val="00883B8A"/>
    <w:rsid w:val="00885210"/>
    <w:rsid w:val="00885E53"/>
    <w:rsid w:val="008863BB"/>
    <w:rsid w:val="00887ED8"/>
    <w:rsid w:val="008940F9"/>
    <w:rsid w:val="0089608C"/>
    <w:rsid w:val="00897F29"/>
    <w:rsid w:val="008A08FB"/>
    <w:rsid w:val="008A183C"/>
    <w:rsid w:val="008A1E0D"/>
    <w:rsid w:val="008A2AEF"/>
    <w:rsid w:val="008A2DDE"/>
    <w:rsid w:val="008A41C6"/>
    <w:rsid w:val="008A50DB"/>
    <w:rsid w:val="008A512B"/>
    <w:rsid w:val="008A5916"/>
    <w:rsid w:val="008A7D22"/>
    <w:rsid w:val="008B4D75"/>
    <w:rsid w:val="008B53D3"/>
    <w:rsid w:val="008C2C7D"/>
    <w:rsid w:val="008C4A7D"/>
    <w:rsid w:val="008D072A"/>
    <w:rsid w:val="008D49DA"/>
    <w:rsid w:val="008D4A28"/>
    <w:rsid w:val="008D5680"/>
    <w:rsid w:val="008D69A5"/>
    <w:rsid w:val="008E1154"/>
    <w:rsid w:val="008E3506"/>
    <w:rsid w:val="008E469B"/>
    <w:rsid w:val="008E6DF6"/>
    <w:rsid w:val="008E6E79"/>
    <w:rsid w:val="008F15F9"/>
    <w:rsid w:val="008F19E9"/>
    <w:rsid w:val="008F1C85"/>
    <w:rsid w:val="008F270B"/>
    <w:rsid w:val="008F69DC"/>
    <w:rsid w:val="008F6C23"/>
    <w:rsid w:val="00900FE8"/>
    <w:rsid w:val="00901610"/>
    <w:rsid w:val="00903F2E"/>
    <w:rsid w:val="009041C0"/>
    <w:rsid w:val="009054E1"/>
    <w:rsid w:val="00906DBA"/>
    <w:rsid w:val="0091039C"/>
    <w:rsid w:val="00912590"/>
    <w:rsid w:val="009125CB"/>
    <w:rsid w:val="00912628"/>
    <w:rsid w:val="00912AD6"/>
    <w:rsid w:val="00913E7A"/>
    <w:rsid w:val="009141F7"/>
    <w:rsid w:val="00914794"/>
    <w:rsid w:val="00914EC3"/>
    <w:rsid w:val="0091593E"/>
    <w:rsid w:val="009200DE"/>
    <w:rsid w:val="009233B4"/>
    <w:rsid w:val="0092535C"/>
    <w:rsid w:val="00926052"/>
    <w:rsid w:val="00927C43"/>
    <w:rsid w:val="009361C3"/>
    <w:rsid w:val="009426F5"/>
    <w:rsid w:val="009434C4"/>
    <w:rsid w:val="00943CF8"/>
    <w:rsid w:val="009452AB"/>
    <w:rsid w:val="00945FE2"/>
    <w:rsid w:val="009469C8"/>
    <w:rsid w:val="00946C4E"/>
    <w:rsid w:val="00947B8A"/>
    <w:rsid w:val="0095177A"/>
    <w:rsid w:val="0095249C"/>
    <w:rsid w:val="00952C65"/>
    <w:rsid w:val="00952CBD"/>
    <w:rsid w:val="009537B4"/>
    <w:rsid w:val="00953F54"/>
    <w:rsid w:val="009542B7"/>
    <w:rsid w:val="00954364"/>
    <w:rsid w:val="0095696E"/>
    <w:rsid w:val="00956DC3"/>
    <w:rsid w:val="0096196B"/>
    <w:rsid w:val="00962D8D"/>
    <w:rsid w:val="00963466"/>
    <w:rsid w:val="00963728"/>
    <w:rsid w:val="00963AC0"/>
    <w:rsid w:val="009643A9"/>
    <w:rsid w:val="00964ADC"/>
    <w:rsid w:val="009659FD"/>
    <w:rsid w:val="00965AAC"/>
    <w:rsid w:val="009712BD"/>
    <w:rsid w:val="0097270C"/>
    <w:rsid w:val="00972843"/>
    <w:rsid w:val="009744FE"/>
    <w:rsid w:val="009777F6"/>
    <w:rsid w:val="00980005"/>
    <w:rsid w:val="009802D6"/>
    <w:rsid w:val="009810E4"/>
    <w:rsid w:val="009817DD"/>
    <w:rsid w:val="00981AC9"/>
    <w:rsid w:val="0098464A"/>
    <w:rsid w:val="00984BB4"/>
    <w:rsid w:val="00986FD3"/>
    <w:rsid w:val="00987ADE"/>
    <w:rsid w:val="0099011E"/>
    <w:rsid w:val="009907E8"/>
    <w:rsid w:val="00991D0D"/>
    <w:rsid w:val="00995D1B"/>
    <w:rsid w:val="00996BC0"/>
    <w:rsid w:val="009A01F9"/>
    <w:rsid w:val="009A0343"/>
    <w:rsid w:val="009A55B5"/>
    <w:rsid w:val="009A566B"/>
    <w:rsid w:val="009A5FE9"/>
    <w:rsid w:val="009A60AE"/>
    <w:rsid w:val="009A7640"/>
    <w:rsid w:val="009B0500"/>
    <w:rsid w:val="009B0EA8"/>
    <w:rsid w:val="009B3448"/>
    <w:rsid w:val="009B35F6"/>
    <w:rsid w:val="009B4A86"/>
    <w:rsid w:val="009B5665"/>
    <w:rsid w:val="009B6195"/>
    <w:rsid w:val="009B6FA7"/>
    <w:rsid w:val="009C01D7"/>
    <w:rsid w:val="009C0C06"/>
    <w:rsid w:val="009C23B4"/>
    <w:rsid w:val="009C3E3C"/>
    <w:rsid w:val="009C4AC4"/>
    <w:rsid w:val="009C505A"/>
    <w:rsid w:val="009C5A48"/>
    <w:rsid w:val="009C6CCF"/>
    <w:rsid w:val="009C7A89"/>
    <w:rsid w:val="009C7D29"/>
    <w:rsid w:val="009D3450"/>
    <w:rsid w:val="009D369F"/>
    <w:rsid w:val="009D3A25"/>
    <w:rsid w:val="009D496C"/>
    <w:rsid w:val="009D4ED2"/>
    <w:rsid w:val="009D6B3C"/>
    <w:rsid w:val="009E0F4A"/>
    <w:rsid w:val="009E134E"/>
    <w:rsid w:val="009E24AE"/>
    <w:rsid w:val="009E6B60"/>
    <w:rsid w:val="009F1D75"/>
    <w:rsid w:val="009F22AC"/>
    <w:rsid w:val="009F4A85"/>
    <w:rsid w:val="009F4F03"/>
    <w:rsid w:val="009F618E"/>
    <w:rsid w:val="009F75C6"/>
    <w:rsid w:val="009F77BE"/>
    <w:rsid w:val="00A00F89"/>
    <w:rsid w:val="00A01104"/>
    <w:rsid w:val="00A029C8"/>
    <w:rsid w:val="00A0334E"/>
    <w:rsid w:val="00A0607A"/>
    <w:rsid w:val="00A0633A"/>
    <w:rsid w:val="00A12640"/>
    <w:rsid w:val="00A13492"/>
    <w:rsid w:val="00A15C25"/>
    <w:rsid w:val="00A17610"/>
    <w:rsid w:val="00A21D66"/>
    <w:rsid w:val="00A22186"/>
    <w:rsid w:val="00A225A7"/>
    <w:rsid w:val="00A22C7E"/>
    <w:rsid w:val="00A257DE"/>
    <w:rsid w:val="00A25DD4"/>
    <w:rsid w:val="00A27C93"/>
    <w:rsid w:val="00A305D9"/>
    <w:rsid w:val="00A321ED"/>
    <w:rsid w:val="00A32C6E"/>
    <w:rsid w:val="00A337E2"/>
    <w:rsid w:val="00A33EAB"/>
    <w:rsid w:val="00A3552C"/>
    <w:rsid w:val="00A36490"/>
    <w:rsid w:val="00A37526"/>
    <w:rsid w:val="00A37592"/>
    <w:rsid w:val="00A37E5D"/>
    <w:rsid w:val="00A40643"/>
    <w:rsid w:val="00A41291"/>
    <w:rsid w:val="00A41425"/>
    <w:rsid w:val="00A42680"/>
    <w:rsid w:val="00A431F4"/>
    <w:rsid w:val="00A432FF"/>
    <w:rsid w:val="00A43414"/>
    <w:rsid w:val="00A44083"/>
    <w:rsid w:val="00A4528D"/>
    <w:rsid w:val="00A454A2"/>
    <w:rsid w:val="00A46664"/>
    <w:rsid w:val="00A466BC"/>
    <w:rsid w:val="00A46FF3"/>
    <w:rsid w:val="00A506B1"/>
    <w:rsid w:val="00A52AEA"/>
    <w:rsid w:val="00A55084"/>
    <w:rsid w:val="00A57999"/>
    <w:rsid w:val="00A60119"/>
    <w:rsid w:val="00A60BBA"/>
    <w:rsid w:val="00A62538"/>
    <w:rsid w:val="00A633A5"/>
    <w:rsid w:val="00A63CAC"/>
    <w:rsid w:val="00A64412"/>
    <w:rsid w:val="00A65162"/>
    <w:rsid w:val="00A654B9"/>
    <w:rsid w:val="00A668B5"/>
    <w:rsid w:val="00A676CB"/>
    <w:rsid w:val="00A74120"/>
    <w:rsid w:val="00A7696F"/>
    <w:rsid w:val="00A76B4D"/>
    <w:rsid w:val="00A81358"/>
    <w:rsid w:val="00A81B67"/>
    <w:rsid w:val="00A83290"/>
    <w:rsid w:val="00A84985"/>
    <w:rsid w:val="00A86172"/>
    <w:rsid w:val="00A8626B"/>
    <w:rsid w:val="00A90F06"/>
    <w:rsid w:val="00A91394"/>
    <w:rsid w:val="00A94379"/>
    <w:rsid w:val="00A94872"/>
    <w:rsid w:val="00A955C6"/>
    <w:rsid w:val="00A97985"/>
    <w:rsid w:val="00AA07A7"/>
    <w:rsid w:val="00AA6342"/>
    <w:rsid w:val="00AA7136"/>
    <w:rsid w:val="00AA7E6A"/>
    <w:rsid w:val="00AB09E7"/>
    <w:rsid w:val="00AB23F0"/>
    <w:rsid w:val="00AB2691"/>
    <w:rsid w:val="00AB2E92"/>
    <w:rsid w:val="00AB3074"/>
    <w:rsid w:val="00AB64B7"/>
    <w:rsid w:val="00AB784D"/>
    <w:rsid w:val="00AC0232"/>
    <w:rsid w:val="00AC21B9"/>
    <w:rsid w:val="00AC3586"/>
    <w:rsid w:val="00AC37B4"/>
    <w:rsid w:val="00AC3A45"/>
    <w:rsid w:val="00AC665A"/>
    <w:rsid w:val="00AD1D95"/>
    <w:rsid w:val="00AD356D"/>
    <w:rsid w:val="00AE07E2"/>
    <w:rsid w:val="00AE75B0"/>
    <w:rsid w:val="00AF061A"/>
    <w:rsid w:val="00AF298A"/>
    <w:rsid w:val="00AF2DB9"/>
    <w:rsid w:val="00AF45B4"/>
    <w:rsid w:val="00AF4F97"/>
    <w:rsid w:val="00AF6C58"/>
    <w:rsid w:val="00AF726D"/>
    <w:rsid w:val="00B001EA"/>
    <w:rsid w:val="00B01A8C"/>
    <w:rsid w:val="00B01E1F"/>
    <w:rsid w:val="00B038DD"/>
    <w:rsid w:val="00B0445B"/>
    <w:rsid w:val="00B0680F"/>
    <w:rsid w:val="00B0682F"/>
    <w:rsid w:val="00B07535"/>
    <w:rsid w:val="00B07E26"/>
    <w:rsid w:val="00B10D62"/>
    <w:rsid w:val="00B13CBE"/>
    <w:rsid w:val="00B13FB1"/>
    <w:rsid w:val="00B14E0D"/>
    <w:rsid w:val="00B16CE1"/>
    <w:rsid w:val="00B1777B"/>
    <w:rsid w:val="00B17B29"/>
    <w:rsid w:val="00B21803"/>
    <w:rsid w:val="00B2664F"/>
    <w:rsid w:val="00B27145"/>
    <w:rsid w:val="00B27DE6"/>
    <w:rsid w:val="00B3385B"/>
    <w:rsid w:val="00B35A8D"/>
    <w:rsid w:val="00B36558"/>
    <w:rsid w:val="00B36BE4"/>
    <w:rsid w:val="00B37D28"/>
    <w:rsid w:val="00B42E5F"/>
    <w:rsid w:val="00B51BE1"/>
    <w:rsid w:val="00B5219C"/>
    <w:rsid w:val="00B529A0"/>
    <w:rsid w:val="00B52C7C"/>
    <w:rsid w:val="00B540CD"/>
    <w:rsid w:val="00B56126"/>
    <w:rsid w:val="00B57F6B"/>
    <w:rsid w:val="00B60E76"/>
    <w:rsid w:val="00B610B6"/>
    <w:rsid w:val="00B61AE8"/>
    <w:rsid w:val="00B62A63"/>
    <w:rsid w:val="00B634B0"/>
    <w:rsid w:val="00B6368C"/>
    <w:rsid w:val="00B65338"/>
    <w:rsid w:val="00B6689D"/>
    <w:rsid w:val="00B71B43"/>
    <w:rsid w:val="00B7201B"/>
    <w:rsid w:val="00B74F68"/>
    <w:rsid w:val="00B77B4F"/>
    <w:rsid w:val="00B80858"/>
    <w:rsid w:val="00B816F1"/>
    <w:rsid w:val="00B83478"/>
    <w:rsid w:val="00B874F8"/>
    <w:rsid w:val="00B87B86"/>
    <w:rsid w:val="00B915A2"/>
    <w:rsid w:val="00B91943"/>
    <w:rsid w:val="00B91DF8"/>
    <w:rsid w:val="00B92CA6"/>
    <w:rsid w:val="00B9303D"/>
    <w:rsid w:val="00B941E6"/>
    <w:rsid w:val="00B944F2"/>
    <w:rsid w:val="00B9460C"/>
    <w:rsid w:val="00B94BD6"/>
    <w:rsid w:val="00B965EE"/>
    <w:rsid w:val="00B96A05"/>
    <w:rsid w:val="00B97CB4"/>
    <w:rsid w:val="00BA0D26"/>
    <w:rsid w:val="00BA2306"/>
    <w:rsid w:val="00BA385E"/>
    <w:rsid w:val="00BA38A0"/>
    <w:rsid w:val="00BA6DE2"/>
    <w:rsid w:val="00BA7E8D"/>
    <w:rsid w:val="00BB2256"/>
    <w:rsid w:val="00BB346D"/>
    <w:rsid w:val="00BB4D23"/>
    <w:rsid w:val="00BB7FF5"/>
    <w:rsid w:val="00BC02D8"/>
    <w:rsid w:val="00BC0341"/>
    <w:rsid w:val="00BC1916"/>
    <w:rsid w:val="00BC25CC"/>
    <w:rsid w:val="00BC7322"/>
    <w:rsid w:val="00BD1F38"/>
    <w:rsid w:val="00BD3377"/>
    <w:rsid w:val="00BD4BDF"/>
    <w:rsid w:val="00BD7FDD"/>
    <w:rsid w:val="00BE26E9"/>
    <w:rsid w:val="00BE27C5"/>
    <w:rsid w:val="00BE5FA6"/>
    <w:rsid w:val="00BF27CD"/>
    <w:rsid w:val="00BF33DF"/>
    <w:rsid w:val="00BF4104"/>
    <w:rsid w:val="00BF55BC"/>
    <w:rsid w:val="00BF5C77"/>
    <w:rsid w:val="00BF63A9"/>
    <w:rsid w:val="00BF73AA"/>
    <w:rsid w:val="00C005E9"/>
    <w:rsid w:val="00C00D04"/>
    <w:rsid w:val="00C00F85"/>
    <w:rsid w:val="00C01721"/>
    <w:rsid w:val="00C01A3D"/>
    <w:rsid w:val="00C03870"/>
    <w:rsid w:val="00C04718"/>
    <w:rsid w:val="00C1236B"/>
    <w:rsid w:val="00C12A14"/>
    <w:rsid w:val="00C138F7"/>
    <w:rsid w:val="00C14F3C"/>
    <w:rsid w:val="00C169A2"/>
    <w:rsid w:val="00C16F30"/>
    <w:rsid w:val="00C17FF1"/>
    <w:rsid w:val="00C213E3"/>
    <w:rsid w:val="00C224B1"/>
    <w:rsid w:val="00C23B5D"/>
    <w:rsid w:val="00C24789"/>
    <w:rsid w:val="00C26843"/>
    <w:rsid w:val="00C26B71"/>
    <w:rsid w:val="00C30C3C"/>
    <w:rsid w:val="00C32DDB"/>
    <w:rsid w:val="00C37417"/>
    <w:rsid w:val="00C40859"/>
    <w:rsid w:val="00C41905"/>
    <w:rsid w:val="00C42D23"/>
    <w:rsid w:val="00C44AD3"/>
    <w:rsid w:val="00C45046"/>
    <w:rsid w:val="00C50D4F"/>
    <w:rsid w:val="00C538E4"/>
    <w:rsid w:val="00C53A47"/>
    <w:rsid w:val="00C561F1"/>
    <w:rsid w:val="00C57253"/>
    <w:rsid w:val="00C574FA"/>
    <w:rsid w:val="00C62A8F"/>
    <w:rsid w:val="00C62D98"/>
    <w:rsid w:val="00C6408D"/>
    <w:rsid w:val="00C6448B"/>
    <w:rsid w:val="00C646A4"/>
    <w:rsid w:val="00C650C1"/>
    <w:rsid w:val="00C66C1D"/>
    <w:rsid w:val="00C66FA1"/>
    <w:rsid w:val="00C711A5"/>
    <w:rsid w:val="00C7657D"/>
    <w:rsid w:val="00C80935"/>
    <w:rsid w:val="00C82504"/>
    <w:rsid w:val="00C82B3B"/>
    <w:rsid w:val="00C82BB1"/>
    <w:rsid w:val="00C8327D"/>
    <w:rsid w:val="00C83E31"/>
    <w:rsid w:val="00C85EFE"/>
    <w:rsid w:val="00C86194"/>
    <w:rsid w:val="00C8653C"/>
    <w:rsid w:val="00C86574"/>
    <w:rsid w:val="00C87DD3"/>
    <w:rsid w:val="00C9073E"/>
    <w:rsid w:val="00C91B50"/>
    <w:rsid w:val="00C94469"/>
    <w:rsid w:val="00C95828"/>
    <w:rsid w:val="00C97449"/>
    <w:rsid w:val="00C97C5E"/>
    <w:rsid w:val="00CA26B4"/>
    <w:rsid w:val="00CA2DBE"/>
    <w:rsid w:val="00CA3EB9"/>
    <w:rsid w:val="00CA52E8"/>
    <w:rsid w:val="00CA70DC"/>
    <w:rsid w:val="00CA72C8"/>
    <w:rsid w:val="00CA75BF"/>
    <w:rsid w:val="00CA765F"/>
    <w:rsid w:val="00CA7AF6"/>
    <w:rsid w:val="00CB01A8"/>
    <w:rsid w:val="00CB04B4"/>
    <w:rsid w:val="00CB0D84"/>
    <w:rsid w:val="00CB0FFC"/>
    <w:rsid w:val="00CB3DA9"/>
    <w:rsid w:val="00CB4907"/>
    <w:rsid w:val="00CB5F40"/>
    <w:rsid w:val="00CC00EC"/>
    <w:rsid w:val="00CC0D85"/>
    <w:rsid w:val="00CC3FF4"/>
    <w:rsid w:val="00CC4124"/>
    <w:rsid w:val="00CC4396"/>
    <w:rsid w:val="00CC4F39"/>
    <w:rsid w:val="00CC60A2"/>
    <w:rsid w:val="00CC793B"/>
    <w:rsid w:val="00CD1FC2"/>
    <w:rsid w:val="00CD3D3F"/>
    <w:rsid w:val="00CD525F"/>
    <w:rsid w:val="00CD5E6C"/>
    <w:rsid w:val="00CD6A04"/>
    <w:rsid w:val="00CD741E"/>
    <w:rsid w:val="00CE12CB"/>
    <w:rsid w:val="00CE24DC"/>
    <w:rsid w:val="00CE3AEA"/>
    <w:rsid w:val="00CE3D63"/>
    <w:rsid w:val="00CE463D"/>
    <w:rsid w:val="00CE7CAA"/>
    <w:rsid w:val="00CF276F"/>
    <w:rsid w:val="00CF27DB"/>
    <w:rsid w:val="00CF3535"/>
    <w:rsid w:val="00CF5B64"/>
    <w:rsid w:val="00CF6157"/>
    <w:rsid w:val="00CF6CE8"/>
    <w:rsid w:val="00CF7DCB"/>
    <w:rsid w:val="00D00D79"/>
    <w:rsid w:val="00D01EE6"/>
    <w:rsid w:val="00D0558A"/>
    <w:rsid w:val="00D05F7D"/>
    <w:rsid w:val="00D07672"/>
    <w:rsid w:val="00D07B69"/>
    <w:rsid w:val="00D1039A"/>
    <w:rsid w:val="00D10C6A"/>
    <w:rsid w:val="00D15571"/>
    <w:rsid w:val="00D15A8F"/>
    <w:rsid w:val="00D17E4E"/>
    <w:rsid w:val="00D22821"/>
    <w:rsid w:val="00D25121"/>
    <w:rsid w:val="00D301B6"/>
    <w:rsid w:val="00D32C12"/>
    <w:rsid w:val="00D340F2"/>
    <w:rsid w:val="00D34ED0"/>
    <w:rsid w:val="00D35310"/>
    <w:rsid w:val="00D35471"/>
    <w:rsid w:val="00D3684C"/>
    <w:rsid w:val="00D368C9"/>
    <w:rsid w:val="00D3721D"/>
    <w:rsid w:val="00D41007"/>
    <w:rsid w:val="00D42C05"/>
    <w:rsid w:val="00D43552"/>
    <w:rsid w:val="00D45835"/>
    <w:rsid w:val="00D471BB"/>
    <w:rsid w:val="00D50D88"/>
    <w:rsid w:val="00D530FC"/>
    <w:rsid w:val="00D537DB"/>
    <w:rsid w:val="00D54D03"/>
    <w:rsid w:val="00D54E47"/>
    <w:rsid w:val="00D6330F"/>
    <w:rsid w:val="00D63F5E"/>
    <w:rsid w:val="00D65560"/>
    <w:rsid w:val="00D65BB7"/>
    <w:rsid w:val="00D66D54"/>
    <w:rsid w:val="00D67367"/>
    <w:rsid w:val="00D677D8"/>
    <w:rsid w:val="00D748DE"/>
    <w:rsid w:val="00D74A6B"/>
    <w:rsid w:val="00D80DEE"/>
    <w:rsid w:val="00D82AC5"/>
    <w:rsid w:val="00D83714"/>
    <w:rsid w:val="00D8418F"/>
    <w:rsid w:val="00D85F88"/>
    <w:rsid w:val="00D8615A"/>
    <w:rsid w:val="00D86781"/>
    <w:rsid w:val="00D8683D"/>
    <w:rsid w:val="00D90441"/>
    <w:rsid w:val="00D906D3"/>
    <w:rsid w:val="00D94AE3"/>
    <w:rsid w:val="00D961A0"/>
    <w:rsid w:val="00D972FD"/>
    <w:rsid w:val="00D97B51"/>
    <w:rsid w:val="00DA32A6"/>
    <w:rsid w:val="00DA3F25"/>
    <w:rsid w:val="00DA6537"/>
    <w:rsid w:val="00DB07D2"/>
    <w:rsid w:val="00DB2A2C"/>
    <w:rsid w:val="00DB41DD"/>
    <w:rsid w:val="00DB58B4"/>
    <w:rsid w:val="00DB5B77"/>
    <w:rsid w:val="00DB6E1E"/>
    <w:rsid w:val="00DC01EE"/>
    <w:rsid w:val="00DC0E1D"/>
    <w:rsid w:val="00DC0F47"/>
    <w:rsid w:val="00DD23A6"/>
    <w:rsid w:val="00DD27B1"/>
    <w:rsid w:val="00DD28C8"/>
    <w:rsid w:val="00DD2D9C"/>
    <w:rsid w:val="00DE21FF"/>
    <w:rsid w:val="00DE4A36"/>
    <w:rsid w:val="00DF17ED"/>
    <w:rsid w:val="00DF4541"/>
    <w:rsid w:val="00E011B3"/>
    <w:rsid w:val="00E0389A"/>
    <w:rsid w:val="00E03ED5"/>
    <w:rsid w:val="00E04457"/>
    <w:rsid w:val="00E04665"/>
    <w:rsid w:val="00E0708B"/>
    <w:rsid w:val="00E125F6"/>
    <w:rsid w:val="00E13785"/>
    <w:rsid w:val="00E13976"/>
    <w:rsid w:val="00E1486E"/>
    <w:rsid w:val="00E14C5C"/>
    <w:rsid w:val="00E166E6"/>
    <w:rsid w:val="00E244D9"/>
    <w:rsid w:val="00E24763"/>
    <w:rsid w:val="00E25E27"/>
    <w:rsid w:val="00E265CD"/>
    <w:rsid w:val="00E26B23"/>
    <w:rsid w:val="00E318B5"/>
    <w:rsid w:val="00E328C3"/>
    <w:rsid w:val="00E332E5"/>
    <w:rsid w:val="00E33405"/>
    <w:rsid w:val="00E33B32"/>
    <w:rsid w:val="00E40D15"/>
    <w:rsid w:val="00E415E6"/>
    <w:rsid w:val="00E4169C"/>
    <w:rsid w:val="00E42C62"/>
    <w:rsid w:val="00E44E19"/>
    <w:rsid w:val="00E472FE"/>
    <w:rsid w:val="00E47794"/>
    <w:rsid w:val="00E47E9C"/>
    <w:rsid w:val="00E53FB8"/>
    <w:rsid w:val="00E54546"/>
    <w:rsid w:val="00E5632E"/>
    <w:rsid w:val="00E56E54"/>
    <w:rsid w:val="00E6054C"/>
    <w:rsid w:val="00E619B9"/>
    <w:rsid w:val="00E61FE7"/>
    <w:rsid w:val="00E62A46"/>
    <w:rsid w:val="00E62C08"/>
    <w:rsid w:val="00E63133"/>
    <w:rsid w:val="00E639CF"/>
    <w:rsid w:val="00E652BF"/>
    <w:rsid w:val="00E66416"/>
    <w:rsid w:val="00E70ECE"/>
    <w:rsid w:val="00E71B27"/>
    <w:rsid w:val="00E728EB"/>
    <w:rsid w:val="00E73C0C"/>
    <w:rsid w:val="00E77544"/>
    <w:rsid w:val="00E82674"/>
    <w:rsid w:val="00E85AD6"/>
    <w:rsid w:val="00E86EE8"/>
    <w:rsid w:val="00E90ED9"/>
    <w:rsid w:val="00E91CB1"/>
    <w:rsid w:val="00E951AD"/>
    <w:rsid w:val="00E957D5"/>
    <w:rsid w:val="00E95B29"/>
    <w:rsid w:val="00E967D4"/>
    <w:rsid w:val="00E97D55"/>
    <w:rsid w:val="00EA03CF"/>
    <w:rsid w:val="00EA066E"/>
    <w:rsid w:val="00EA1328"/>
    <w:rsid w:val="00EA1666"/>
    <w:rsid w:val="00EA2432"/>
    <w:rsid w:val="00EA2603"/>
    <w:rsid w:val="00EA2EE4"/>
    <w:rsid w:val="00EA4F84"/>
    <w:rsid w:val="00EA5BB4"/>
    <w:rsid w:val="00EA62E9"/>
    <w:rsid w:val="00EB2D85"/>
    <w:rsid w:val="00EB3367"/>
    <w:rsid w:val="00EB4B30"/>
    <w:rsid w:val="00EB4DDD"/>
    <w:rsid w:val="00EB65F8"/>
    <w:rsid w:val="00EB67CF"/>
    <w:rsid w:val="00EB69AC"/>
    <w:rsid w:val="00EB6B76"/>
    <w:rsid w:val="00EB74C3"/>
    <w:rsid w:val="00EC0FF1"/>
    <w:rsid w:val="00EC20A6"/>
    <w:rsid w:val="00EC2907"/>
    <w:rsid w:val="00EC3EA7"/>
    <w:rsid w:val="00EC416F"/>
    <w:rsid w:val="00EC5766"/>
    <w:rsid w:val="00EC5E42"/>
    <w:rsid w:val="00ED0DB7"/>
    <w:rsid w:val="00ED4D5C"/>
    <w:rsid w:val="00ED7E32"/>
    <w:rsid w:val="00EE0510"/>
    <w:rsid w:val="00EE28C4"/>
    <w:rsid w:val="00EE4925"/>
    <w:rsid w:val="00EE4C5C"/>
    <w:rsid w:val="00EE5A74"/>
    <w:rsid w:val="00EE6868"/>
    <w:rsid w:val="00EF1C43"/>
    <w:rsid w:val="00EF1C6D"/>
    <w:rsid w:val="00EF27DD"/>
    <w:rsid w:val="00EF2B15"/>
    <w:rsid w:val="00EF47C3"/>
    <w:rsid w:val="00EF4AB9"/>
    <w:rsid w:val="00EF4BB9"/>
    <w:rsid w:val="00EF6AF2"/>
    <w:rsid w:val="00F03660"/>
    <w:rsid w:val="00F036C7"/>
    <w:rsid w:val="00F03D7C"/>
    <w:rsid w:val="00F05D02"/>
    <w:rsid w:val="00F05F22"/>
    <w:rsid w:val="00F06337"/>
    <w:rsid w:val="00F0634F"/>
    <w:rsid w:val="00F06EE9"/>
    <w:rsid w:val="00F11973"/>
    <w:rsid w:val="00F12FEE"/>
    <w:rsid w:val="00F132EF"/>
    <w:rsid w:val="00F14E2F"/>
    <w:rsid w:val="00F15CEB"/>
    <w:rsid w:val="00F20A88"/>
    <w:rsid w:val="00F228F0"/>
    <w:rsid w:val="00F23C89"/>
    <w:rsid w:val="00F25316"/>
    <w:rsid w:val="00F26415"/>
    <w:rsid w:val="00F2735B"/>
    <w:rsid w:val="00F3056D"/>
    <w:rsid w:val="00F30F8C"/>
    <w:rsid w:val="00F3102B"/>
    <w:rsid w:val="00F34BCD"/>
    <w:rsid w:val="00F36A46"/>
    <w:rsid w:val="00F36C0D"/>
    <w:rsid w:val="00F36D0B"/>
    <w:rsid w:val="00F36EC8"/>
    <w:rsid w:val="00F37BCB"/>
    <w:rsid w:val="00F40561"/>
    <w:rsid w:val="00F405DF"/>
    <w:rsid w:val="00F409D7"/>
    <w:rsid w:val="00F425C5"/>
    <w:rsid w:val="00F42C5E"/>
    <w:rsid w:val="00F43E1A"/>
    <w:rsid w:val="00F43F3D"/>
    <w:rsid w:val="00F45298"/>
    <w:rsid w:val="00F456FB"/>
    <w:rsid w:val="00F4705C"/>
    <w:rsid w:val="00F47150"/>
    <w:rsid w:val="00F50CA7"/>
    <w:rsid w:val="00F5184A"/>
    <w:rsid w:val="00F54639"/>
    <w:rsid w:val="00F54721"/>
    <w:rsid w:val="00F570A5"/>
    <w:rsid w:val="00F60982"/>
    <w:rsid w:val="00F62AE5"/>
    <w:rsid w:val="00F62B49"/>
    <w:rsid w:val="00F66B6B"/>
    <w:rsid w:val="00F71C25"/>
    <w:rsid w:val="00F7379E"/>
    <w:rsid w:val="00F739DB"/>
    <w:rsid w:val="00F74D93"/>
    <w:rsid w:val="00F77B16"/>
    <w:rsid w:val="00F802DD"/>
    <w:rsid w:val="00F808EC"/>
    <w:rsid w:val="00F83242"/>
    <w:rsid w:val="00F839F9"/>
    <w:rsid w:val="00F85210"/>
    <w:rsid w:val="00F85283"/>
    <w:rsid w:val="00F8581F"/>
    <w:rsid w:val="00F85C13"/>
    <w:rsid w:val="00F86204"/>
    <w:rsid w:val="00F8785B"/>
    <w:rsid w:val="00F904E8"/>
    <w:rsid w:val="00F91980"/>
    <w:rsid w:val="00F92399"/>
    <w:rsid w:val="00F923DA"/>
    <w:rsid w:val="00F9267D"/>
    <w:rsid w:val="00F926CF"/>
    <w:rsid w:val="00FA020C"/>
    <w:rsid w:val="00FA1FD8"/>
    <w:rsid w:val="00FA363B"/>
    <w:rsid w:val="00FA38EA"/>
    <w:rsid w:val="00FA3D0F"/>
    <w:rsid w:val="00FA452D"/>
    <w:rsid w:val="00FA50E8"/>
    <w:rsid w:val="00FA5835"/>
    <w:rsid w:val="00FA59F5"/>
    <w:rsid w:val="00FA6B41"/>
    <w:rsid w:val="00FB2D34"/>
    <w:rsid w:val="00FB376B"/>
    <w:rsid w:val="00FB3B44"/>
    <w:rsid w:val="00FB3F5F"/>
    <w:rsid w:val="00FB585F"/>
    <w:rsid w:val="00FB5CF0"/>
    <w:rsid w:val="00FB6CC1"/>
    <w:rsid w:val="00FB75A1"/>
    <w:rsid w:val="00FB7B18"/>
    <w:rsid w:val="00FC0BF6"/>
    <w:rsid w:val="00FC10DA"/>
    <w:rsid w:val="00FC2403"/>
    <w:rsid w:val="00FC5346"/>
    <w:rsid w:val="00FC61E6"/>
    <w:rsid w:val="00FC77AA"/>
    <w:rsid w:val="00FD3BF7"/>
    <w:rsid w:val="00FD5604"/>
    <w:rsid w:val="00FE051B"/>
    <w:rsid w:val="00FE1DF3"/>
    <w:rsid w:val="00FE60CF"/>
    <w:rsid w:val="00FE664D"/>
    <w:rsid w:val="00FF0B6F"/>
    <w:rsid w:val="00FF0F96"/>
    <w:rsid w:val="00FF1520"/>
    <w:rsid w:val="00FF28DD"/>
    <w:rsid w:val="00FF3B30"/>
    <w:rsid w:val="00FF4193"/>
    <w:rsid w:val="00FF46DC"/>
    <w:rsid w:val="00FF5190"/>
    <w:rsid w:val="00FF613F"/>
    <w:rsid w:val="3313B0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CF81CD"/>
  <w15:docId w15:val="{C3E5D7ED-E198-4D72-B6E7-569D7E1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4A2"/>
    <w:pPr>
      <w:spacing w:after="200" w:line="276" w:lineRule="auto"/>
    </w:pPr>
    <w:rPr>
      <w:sz w:val="22"/>
      <w:szCs w:val="22"/>
      <w:lang w:eastAsia="en-US"/>
    </w:rPr>
  </w:style>
  <w:style w:type="paragraph" w:styleId="Ttulo1">
    <w:name w:val="heading 1"/>
    <w:basedOn w:val="Normal"/>
    <w:link w:val="Ttulo1Char"/>
    <w:uiPriority w:val="9"/>
    <w:qFormat/>
    <w:rsid w:val="00CE463D"/>
    <w:pPr>
      <w:spacing w:before="100" w:beforeAutospacing="1" w:after="100" w:afterAutospacing="1" w:line="240" w:lineRule="auto"/>
      <w:outlineLvl w:val="0"/>
    </w:pPr>
    <w:rPr>
      <w:rFonts w:ascii="Times New Roman" w:eastAsia="Times New Roman" w:hAnsi="Times New Roman"/>
      <w:b/>
      <w:bCs/>
      <w:kern w:val="36"/>
      <w:sz w:val="48"/>
      <w:szCs w:val="48"/>
      <w:lang w:eastAsia="pt-BR"/>
    </w:rPr>
  </w:style>
  <w:style w:type="paragraph" w:styleId="Ttulo2">
    <w:name w:val="heading 2"/>
    <w:basedOn w:val="Normal"/>
    <w:next w:val="Normal"/>
    <w:link w:val="Ttulo2Char"/>
    <w:uiPriority w:val="9"/>
    <w:unhideWhenUsed/>
    <w:qFormat/>
    <w:rsid w:val="004C60A8"/>
    <w:pPr>
      <w:keepNext/>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har"/>
    <w:uiPriority w:val="9"/>
    <w:unhideWhenUsed/>
    <w:qFormat/>
    <w:rsid w:val="00F60982"/>
    <w:pPr>
      <w:keepNext/>
      <w:spacing w:before="240" w:after="60"/>
      <w:outlineLvl w:val="2"/>
    </w:pPr>
    <w:rPr>
      <w:rFonts w:ascii="Cambria" w:eastAsia="Times New Roman" w:hAnsi="Cambria"/>
      <w:b/>
      <w:bCs/>
      <w:sz w:val="26"/>
      <w:szCs w:val="26"/>
    </w:rPr>
  </w:style>
  <w:style w:type="paragraph" w:styleId="Ttulo4">
    <w:name w:val="heading 4"/>
    <w:basedOn w:val="Normal"/>
    <w:next w:val="Normal"/>
    <w:link w:val="Ttulo4Char"/>
    <w:uiPriority w:val="9"/>
    <w:unhideWhenUsed/>
    <w:qFormat/>
    <w:rsid w:val="00F60982"/>
    <w:pPr>
      <w:keepNext/>
      <w:keepLines/>
      <w:spacing w:before="200" w:after="0"/>
      <w:jc w:val="both"/>
      <w:outlineLvl w:val="3"/>
    </w:pPr>
    <w:rPr>
      <w:rFonts w:ascii="Cambria" w:eastAsia="Times New Roman" w:hAnsi="Cambria"/>
      <w:b/>
      <w:bCs/>
      <w:i/>
      <w:iCs/>
      <w:color w:val="4F81BD"/>
    </w:rPr>
  </w:style>
  <w:style w:type="paragraph" w:styleId="Ttulo5">
    <w:name w:val="heading 5"/>
    <w:basedOn w:val="Normal"/>
    <w:next w:val="Normal"/>
    <w:link w:val="Ttulo5Char"/>
    <w:semiHidden/>
    <w:unhideWhenUsed/>
    <w:qFormat/>
    <w:rsid w:val="002453A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01BE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01BED"/>
  </w:style>
  <w:style w:type="paragraph" w:styleId="Rodap">
    <w:name w:val="footer"/>
    <w:basedOn w:val="Normal"/>
    <w:link w:val="RodapChar"/>
    <w:uiPriority w:val="99"/>
    <w:unhideWhenUsed/>
    <w:rsid w:val="00201BED"/>
    <w:pPr>
      <w:tabs>
        <w:tab w:val="center" w:pos="4252"/>
        <w:tab w:val="right" w:pos="8504"/>
      </w:tabs>
      <w:spacing w:after="0" w:line="240" w:lineRule="auto"/>
    </w:pPr>
  </w:style>
  <w:style w:type="character" w:customStyle="1" w:styleId="RodapChar">
    <w:name w:val="Rodapé Char"/>
    <w:basedOn w:val="Fontepargpadro"/>
    <w:link w:val="Rodap"/>
    <w:uiPriority w:val="99"/>
    <w:rsid w:val="00201BED"/>
  </w:style>
  <w:style w:type="paragraph" w:styleId="Textodebalo">
    <w:name w:val="Balloon Text"/>
    <w:basedOn w:val="Normal"/>
    <w:link w:val="TextodebaloChar"/>
    <w:uiPriority w:val="99"/>
    <w:semiHidden/>
    <w:unhideWhenUsed/>
    <w:rsid w:val="00201BED"/>
    <w:pPr>
      <w:spacing w:after="0" w:line="240" w:lineRule="auto"/>
    </w:pPr>
    <w:rPr>
      <w:rFonts w:ascii="Tahoma" w:hAnsi="Tahoma"/>
      <w:sz w:val="16"/>
      <w:szCs w:val="16"/>
    </w:rPr>
  </w:style>
  <w:style w:type="character" w:customStyle="1" w:styleId="TextodebaloChar">
    <w:name w:val="Texto de balão Char"/>
    <w:link w:val="Textodebalo"/>
    <w:uiPriority w:val="99"/>
    <w:semiHidden/>
    <w:rsid w:val="00201BED"/>
    <w:rPr>
      <w:rFonts w:ascii="Tahoma" w:hAnsi="Tahoma" w:cs="Tahoma"/>
      <w:sz w:val="16"/>
      <w:szCs w:val="16"/>
    </w:rPr>
  </w:style>
  <w:style w:type="character" w:customStyle="1" w:styleId="hps">
    <w:name w:val="hps"/>
    <w:basedOn w:val="Fontepargpadro"/>
    <w:uiPriority w:val="99"/>
    <w:rsid w:val="00F30F8C"/>
  </w:style>
  <w:style w:type="character" w:customStyle="1" w:styleId="Ttulo1Char">
    <w:name w:val="Título 1 Char"/>
    <w:link w:val="Ttulo1"/>
    <w:uiPriority w:val="9"/>
    <w:rsid w:val="00CE463D"/>
    <w:rPr>
      <w:rFonts w:ascii="Times New Roman" w:eastAsia="Times New Roman" w:hAnsi="Times New Roman" w:cs="Times New Roman"/>
      <w:b/>
      <w:bCs/>
      <w:kern w:val="36"/>
      <w:sz w:val="48"/>
      <w:szCs w:val="48"/>
      <w:lang w:eastAsia="pt-BR"/>
    </w:rPr>
  </w:style>
  <w:style w:type="character" w:styleId="Hyperlink">
    <w:name w:val="Hyperlink"/>
    <w:uiPriority w:val="99"/>
    <w:unhideWhenUsed/>
    <w:rsid w:val="003A15A1"/>
    <w:rPr>
      <w:color w:val="0000FF"/>
      <w:u w:val="single"/>
    </w:rPr>
  </w:style>
  <w:style w:type="table" w:styleId="Tabelacomgrade">
    <w:name w:val="Table Grid"/>
    <w:basedOn w:val="Tabelanormal"/>
    <w:uiPriority w:val="39"/>
    <w:rsid w:val="00FF613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mentoClaro1">
    <w:name w:val="Sombreamento Claro1"/>
    <w:basedOn w:val="Tabelanormal"/>
    <w:uiPriority w:val="60"/>
    <w:rsid w:val="00FF61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Refdecomentrio">
    <w:name w:val="annotation reference"/>
    <w:uiPriority w:val="99"/>
    <w:semiHidden/>
    <w:unhideWhenUsed/>
    <w:rsid w:val="00DA3F25"/>
    <w:rPr>
      <w:sz w:val="16"/>
      <w:szCs w:val="16"/>
    </w:rPr>
  </w:style>
  <w:style w:type="paragraph" w:styleId="Textodecomentrio">
    <w:name w:val="annotation text"/>
    <w:basedOn w:val="Normal"/>
    <w:link w:val="TextodecomentrioChar"/>
    <w:uiPriority w:val="99"/>
    <w:unhideWhenUsed/>
    <w:rsid w:val="00DA3F25"/>
    <w:pPr>
      <w:spacing w:line="240" w:lineRule="auto"/>
    </w:pPr>
    <w:rPr>
      <w:sz w:val="20"/>
      <w:szCs w:val="20"/>
    </w:rPr>
  </w:style>
  <w:style w:type="character" w:customStyle="1" w:styleId="TextodecomentrioChar">
    <w:name w:val="Texto de comentário Char"/>
    <w:link w:val="Textodecomentrio"/>
    <w:uiPriority w:val="99"/>
    <w:rsid w:val="00DA3F25"/>
    <w:rPr>
      <w:sz w:val="20"/>
      <w:szCs w:val="20"/>
    </w:rPr>
  </w:style>
  <w:style w:type="paragraph" w:styleId="Assuntodocomentrio">
    <w:name w:val="annotation subject"/>
    <w:basedOn w:val="Textodecomentrio"/>
    <w:next w:val="Textodecomentrio"/>
    <w:link w:val="AssuntodocomentrioChar"/>
    <w:uiPriority w:val="99"/>
    <w:semiHidden/>
    <w:unhideWhenUsed/>
    <w:rsid w:val="00DA3F25"/>
    <w:rPr>
      <w:b/>
      <w:bCs/>
    </w:rPr>
  </w:style>
  <w:style w:type="character" w:customStyle="1" w:styleId="AssuntodocomentrioChar">
    <w:name w:val="Assunto do comentário Char"/>
    <w:link w:val="Assuntodocomentrio"/>
    <w:uiPriority w:val="99"/>
    <w:semiHidden/>
    <w:rsid w:val="00DA3F25"/>
    <w:rPr>
      <w:b/>
      <w:bCs/>
      <w:sz w:val="20"/>
      <w:szCs w:val="20"/>
    </w:rPr>
  </w:style>
  <w:style w:type="table" w:customStyle="1" w:styleId="SombreamentoClaro2">
    <w:name w:val="Sombreamento Claro2"/>
    <w:basedOn w:val="Tabelanormal"/>
    <w:uiPriority w:val="60"/>
    <w:rsid w:val="00A81358"/>
    <w:rPr>
      <w:rFonts w:ascii="Times New Roman" w:eastAsia="Times New Roman" w:hAnsi="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uthors">
    <w:name w:val="authors"/>
    <w:basedOn w:val="Fontepargpadro"/>
    <w:rsid w:val="000C31E2"/>
  </w:style>
  <w:style w:type="paragraph" w:styleId="Legenda">
    <w:name w:val="caption"/>
    <w:basedOn w:val="Normal"/>
    <w:next w:val="Normal"/>
    <w:uiPriority w:val="35"/>
    <w:unhideWhenUsed/>
    <w:qFormat/>
    <w:rsid w:val="009141F7"/>
    <w:pPr>
      <w:spacing w:line="240" w:lineRule="auto"/>
    </w:pPr>
    <w:rPr>
      <w:rFonts w:eastAsia="Times New Roman"/>
      <w:b/>
      <w:bCs/>
      <w:color w:val="4F81BD"/>
      <w:sz w:val="18"/>
      <w:szCs w:val="18"/>
      <w:lang w:eastAsia="pt-BR"/>
    </w:rPr>
  </w:style>
  <w:style w:type="table" w:customStyle="1" w:styleId="SombreamentoClaro21">
    <w:name w:val="Sombreamento Claro21"/>
    <w:basedOn w:val="Tabelanormal"/>
    <w:uiPriority w:val="60"/>
    <w:rsid w:val="009141F7"/>
    <w:rPr>
      <w:rFonts w:eastAsia="Times New Roman"/>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PargrafodaLista">
    <w:name w:val="List Paragraph"/>
    <w:basedOn w:val="Normal"/>
    <w:link w:val="PargrafodaListaChar"/>
    <w:uiPriority w:val="34"/>
    <w:qFormat/>
    <w:rsid w:val="00FC5346"/>
    <w:pPr>
      <w:ind w:left="720"/>
      <w:contextualSpacing/>
    </w:pPr>
  </w:style>
  <w:style w:type="character" w:customStyle="1" w:styleId="A2">
    <w:name w:val="A2"/>
    <w:uiPriority w:val="99"/>
    <w:rsid w:val="00C8327D"/>
    <w:rPr>
      <w:color w:val="000000"/>
    </w:rPr>
  </w:style>
  <w:style w:type="paragraph" w:styleId="NormalWeb">
    <w:name w:val="Normal (Web)"/>
    <w:basedOn w:val="Normal"/>
    <w:uiPriority w:val="99"/>
    <w:rsid w:val="00C12A14"/>
    <w:pPr>
      <w:spacing w:before="100" w:beforeAutospacing="1" w:after="100" w:afterAutospacing="1" w:line="240" w:lineRule="auto"/>
    </w:pPr>
    <w:rPr>
      <w:rFonts w:ascii="Times New Roman" w:eastAsia="Times New Roman" w:hAnsi="Times New Roman"/>
      <w:sz w:val="24"/>
      <w:szCs w:val="24"/>
      <w:lang w:eastAsia="pt-BR"/>
    </w:rPr>
  </w:style>
  <w:style w:type="paragraph" w:styleId="Corpodetexto">
    <w:name w:val="Body Text"/>
    <w:basedOn w:val="Normal"/>
    <w:link w:val="CorpodetextoChar"/>
    <w:uiPriority w:val="99"/>
    <w:unhideWhenUsed/>
    <w:rsid w:val="001564E1"/>
    <w:pPr>
      <w:spacing w:after="120"/>
    </w:pPr>
    <w:rPr>
      <w:sz w:val="20"/>
      <w:szCs w:val="20"/>
    </w:rPr>
  </w:style>
  <w:style w:type="character" w:customStyle="1" w:styleId="CorpodetextoChar">
    <w:name w:val="Corpo de texto Char"/>
    <w:link w:val="Corpodetexto"/>
    <w:uiPriority w:val="99"/>
    <w:rsid w:val="001564E1"/>
  </w:style>
  <w:style w:type="paragraph" w:customStyle="1" w:styleId="Default">
    <w:name w:val="Default"/>
    <w:rsid w:val="00A8626B"/>
    <w:pPr>
      <w:autoSpaceDE w:val="0"/>
      <w:autoSpaceDN w:val="0"/>
      <w:adjustRightInd w:val="0"/>
    </w:pPr>
    <w:rPr>
      <w:rFonts w:ascii="Times New Roman" w:hAnsi="Times New Roman"/>
      <w:color w:val="000000"/>
      <w:sz w:val="24"/>
      <w:szCs w:val="24"/>
      <w:u w:val="single"/>
      <w:lang w:eastAsia="en-US"/>
    </w:rPr>
  </w:style>
  <w:style w:type="paragraph" w:customStyle="1" w:styleId="Anattexto">
    <w:name w:val="Anat texto"/>
    <w:rsid w:val="00A8626B"/>
    <w:pPr>
      <w:spacing w:before="120" w:after="120"/>
      <w:ind w:firstLine="709"/>
      <w:jc w:val="both"/>
    </w:pPr>
    <w:rPr>
      <w:rFonts w:ascii="Tahoma" w:eastAsia="Arial Unicode MS" w:hAnsi="Tahoma" w:cs="Arial Unicode MS"/>
      <w:sz w:val="24"/>
      <w:szCs w:val="24"/>
    </w:rPr>
  </w:style>
  <w:style w:type="character" w:customStyle="1" w:styleId="A5">
    <w:name w:val="A5"/>
    <w:uiPriority w:val="99"/>
    <w:rsid w:val="00A8626B"/>
    <w:rPr>
      <w:color w:val="000000"/>
      <w:sz w:val="20"/>
      <w:szCs w:val="20"/>
    </w:rPr>
  </w:style>
  <w:style w:type="character" w:customStyle="1" w:styleId="apple-converted-space">
    <w:name w:val="apple-converted-space"/>
    <w:basedOn w:val="Fontepargpadro"/>
    <w:rsid w:val="00FD3BF7"/>
  </w:style>
  <w:style w:type="character" w:styleId="Nmerodelinha">
    <w:name w:val="line number"/>
    <w:basedOn w:val="Fontepargpadro"/>
    <w:uiPriority w:val="99"/>
    <w:semiHidden/>
    <w:unhideWhenUsed/>
    <w:rsid w:val="0057746E"/>
  </w:style>
  <w:style w:type="paragraph" w:styleId="SemEspaamento">
    <w:name w:val="No Spacing"/>
    <w:link w:val="SemEspaamentoChar"/>
    <w:uiPriority w:val="1"/>
    <w:qFormat/>
    <w:rsid w:val="00E472FE"/>
    <w:rPr>
      <w:rFonts w:ascii="Arial" w:hAnsi="Arial"/>
      <w:sz w:val="24"/>
      <w:szCs w:val="22"/>
      <w:lang w:eastAsia="en-US"/>
    </w:rPr>
  </w:style>
  <w:style w:type="character" w:customStyle="1" w:styleId="apple-style-span">
    <w:name w:val="apple-style-span"/>
    <w:basedOn w:val="Fontepargpadro"/>
    <w:rsid w:val="00A668B5"/>
  </w:style>
  <w:style w:type="character" w:customStyle="1" w:styleId="A3">
    <w:name w:val="A3"/>
    <w:uiPriority w:val="99"/>
    <w:rsid w:val="00981AC9"/>
    <w:rPr>
      <w:color w:val="000000"/>
      <w:sz w:val="20"/>
      <w:szCs w:val="20"/>
    </w:rPr>
  </w:style>
  <w:style w:type="paragraph" w:styleId="Ttulo">
    <w:name w:val="Title"/>
    <w:basedOn w:val="Normal"/>
    <w:link w:val="TtuloChar"/>
    <w:qFormat/>
    <w:rsid w:val="00E244D9"/>
    <w:pPr>
      <w:tabs>
        <w:tab w:val="left" w:pos="720"/>
      </w:tabs>
      <w:spacing w:before="240" w:after="0" w:line="240" w:lineRule="auto"/>
      <w:ind w:firstLine="397"/>
      <w:jc w:val="center"/>
    </w:pPr>
    <w:rPr>
      <w:rFonts w:ascii="Times" w:eastAsia="Times New Roman" w:hAnsi="Times"/>
      <w:b/>
      <w:bCs/>
      <w:sz w:val="32"/>
      <w:szCs w:val="32"/>
      <w:lang w:val="en-US"/>
    </w:rPr>
  </w:style>
  <w:style w:type="character" w:customStyle="1" w:styleId="TtuloChar">
    <w:name w:val="Título Char"/>
    <w:link w:val="Ttulo"/>
    <w:rsid w:val="00E244D9"/>
    <w:rPr>
      <w:rFonts w:ascii="Times" w:eastAsia="Times New Roman" w:hAnsi="Times" w:cs="Arial"/>
      <w:b/>
      <w:bCs/>
      <w:sz w:val="32"/>
      <w:szCs w:val="32"/>
      <w:lang w:val="en-US"/>
    </w:rPr>
  </w:style>
  <w:style w:type="paragraph" w:customStyle="1" w:styleId="Figure">
    <w:name w:val="Figure"/>
    <w:basedOn w:val="Normal"/>
    <w:rsid w:val="00115EAE"/>
    <w:pPr>
      <w:tabs>
        <w:tab w:val="left" w:pos="720"/>
      </w:tabs>
      <w:spacing w:before="120" w:after="0" w:line="240" w:lineRule="auto"/>
      <w:jc w:val="center"/>
    </w:pPr>
    <w:rPr>
      <w:rFonts w:ascii="Times" w:eastAsia="Times New Roman" w:hAnsi="Times"/>
      <w:noProof/>
      <w:sz w:val="24"/>
      <w:szCs w:val="20"/>
      <w:lang w:val="en-US" w:eastAsia="pt-BR"/>
    </w:rPr>
  </w:style>
  <w:style w:type="paragraph" w:customStyle="1" w:styleId="Abstract">
    <w:name w:val="Abstract"/>
    <w:basedOn w:val="Normal"/>
    <w:rsid w:val="00537105"/>
    <w:pPr>
      <w:tabs>
        <w:tab w:val="left" w:pos="720"/>
      </w:tabs>
      <w:spacing w:before="120" w:after="120" w:line="240" w:lineRule="auto"/>
      <w:ind w:left="454" w:right="454"/>
      <w:jc w:val="both"/>
    </w:pPr>
    <w:rPr>
      <w:rFonts w:ascii="Times" w:eastAsia="Times New Roman" w:hAnsi="Times"/>
      <w:i/>
      <w:sz w:val="24"/>
      <w:szCs w:val="24"/>
      <w:lang w:eastAsia="pt-BR"/>
    </w:rPr>
  </w:style>
  <w:style w:type="paragraph" w:styleId="Corpodetexto2">
    <w:name w:val="Body Text 2"/>
    <w:basedOn w:val="Normal"/>
    <w:link w:val="Corpodetexto2Char"/>
    <w:uiPriority w:val="99"/>
    <w:unhideWhenUsed/>
    <w:rsid w:val="00201E24"/>
    <w:pPr>
      <w:spacing w:after="120" w:line="480" w:lineRule="auto"/>
    </w:pPr>
  </w:style>
  <w:style w:type="character" w:customStyle="1" w:styleId="Corpodetexto2Char">
    <w:name w:val="Corpo de texto 2 Char"/>
    <w:link w:val="Corpodetexto2"/>
    <w:uiPriority w:val="99"/>
    <w:rsid w:val="00201E24"/>
    <w:rPr>
      <w:sz w:val="22"/>
      <w:szCs w:val="22"/>
      <w:lang w:eastAsia="en-US"/>
    </w:rPr>
  </w:style>
  <w:style w:type="character" w:styleId="Forte">
    <w:name w:val="Strong"/>
    <w:uiPriority w:val="22"/>
    <w:qFormat/>
    <w:rsid w:val="0097270C"/>
    <w:rPr>
      <w:rFonts w:cs="Times New Roman"/>
      <w:b/>
      <w:bCs/>
    </w:rPr>
  </w:style>
  <w:style w:type="paragraph" w:styleId="Recuodecorpodetexto2">
    <w:name w:val="Body Text Indent 2"/>
    <w:basedOn w:val="Normal"/>
    <w:link w:val="Recuodecorpodetexto2Char"/>
    <w:uiPriority w:val="99"/>
    <w:unhideWhenUsed/>
    <w:rsid w:val="0097270C"/>
    <w:pPr>
      <w:spacing w:before="240" w:after="120" w:line="480" w:lineRule="auto"/>
      <w:ind w:left="283"/>
      <w:jc w:val="both"/>
    </w:pPr>
    <w:rPr>
      <w:rFonts w:eastAsia="Times New Roman"/>
    </w:rPr>
  </w:style>
  <w:style w:type="character" w:customStyle="1" w:styleId="Recuodecorpodetexto2Char">
    <w:name w:val="Recuo de corpo de texto 2 Char"/>
    <w:link w:val="Recuodecorpodetexto2"/>
    <w:uiPriority w:val="99"/>
    <w:rsid w:val="0097270C"/>
    <w:rPr>
      <w:rFonts w:ascii="Calibri" w:eastAsia="Times New Roman" w:hAnsi="Calibri" w:cs="Times New Roman"/>
      <w:sz w:val="22"/>
      <w:szCs w:val="22"/>
    </w:rPr>
  </w:style>
  <w:style w:type="paragraph" w:customStyle="1" w:styleId="Pa9">
    <w:name w:val="Pa9"/>
    <w:basedOn w:val="Default"/>
    <w:next w:val="Default"/>
    <w:uiPriority w:val="99"/>
    <w:rsid w:val="0097270C"/>
    <w:pPr>
      <w:spacing w:line="241" w:lineRule="atLeast"/>
    </w:pPr>
    <w:rPr>
      <w:rFonts w:eastAsia="Times New Roman"/>
      <w:color w:val="auto"/>
      <w:u w:val="none"/>
      <w:lang w:eastAsia="pt-BR"/>
    </w:rPr>
  </w:style>
  <w:style w:type="paragraph" w:styleId="Corpodetexto3">
    <w:name w:val="Body Text 3"/>
    <w:basedOn w:val="Normal"/>
    <w:link w:val="Corpodetexto3Char"/>
    <w:uiPriority w:val="99"/>
    <w:unhideWhenUsed/>
    <w:rsid w:val="00AC3A45"/>
    <w:pPr>
      <w:spacing w:before="240" w:after="120" w:line="480" w:lineRule="auto"/>
      <w:jc w:val="both"/>
    </w:pPr>
    <w:rPr>
      <w:rFonts w:ascii="Times New Roman" w:eastAsia="Times New Roman" w:hAnsi="Times New Roman"/>
      <w:sz w:val="16"/>
      <w:szCs w:val="16"/>
    </w:rPr>
  </w:style>
  <w:style w:type="character" w:customStyle="1" w:styleId="Corpodetexto3Char">
    <w:name w:val="Corpo de texto 3 Char"/>
    <w:link w:val="Corpodetexto3"/>
    <w:uiPriority w:val="99"/>
    <w:rsid w:val="00AC3A45"/>
    <w:rPr>
      <w:rFonts w:ascii="Times New Roman" w:eastAsia="Times New Roman" w:hAnsi="Times New Roman"/>
      <w:sz w:val="16"/>
      <w:szCs w:val="16"/>
    </w:rPr>
  </w:style>
  <w:style w:type="character" w:customStyle="1" w:styleId="Ttulo2Char">
    <w:name w:val="Título 2 Char"/>
    <w:link w:val="Ttulo2"/>
    <w:uiPriority w:val="9"/>
    <w:rsid w:val="004C60A8"/>
    <w:rPr>
      <w:rFonts w:ascii="Cambria" w:eastAsia="Times New Roman" w:hAnsi="Cambria" w:cs="Times New Roman"/>
      <w:b/>
      <w:bCs/>
      <w:i/>
      <w:iCs/>
      <w:sz w:val="28"/>
      <w:szCs w:val="28"/>
      <w:lang w:eastAsia="en-US"/>
    </w:rPr>
  </w:style>
  <w:style w:type="character" w:customStyle="1" w:styleId="Ttulo3Char">
    <w:name w:val="Título 3 Char"/>
    <w:link w:val="Ttulo3"/>
    <w:uiPriority w:val="9"/>
    <w:rsid w:val="00F60982"/>
    <w:rPr>
      <w:rFonts w:ascii="Cambria" w:eastAsia="Times New Roman" w:hAnsi="Cambria" w:cs="Times New Roman"/>
      <w:b/>
      <w:bCs/>
      <w:sz w:val="26"/>
      <w:szCs w:val="26"/>
      <w:lang w:eastAsia="en-US"/>
    </w:rPr>
  </w:style>
  <w:style w:type="character" w:customStyle="1" w:styleId="Ttulo4Char">
    <w:name w:val="Título 4 Char"/>
    <w:link w:val="Ttulo4"/>
    <w:uiPriority w:val="9"/>
    <w:rsid w:val="00F60982"/>
    <w:rPr>
      <w:rFonts w:ascii="Cambria" w:eastAsia="Times New Roman" w:hAnsi="Cambria" w:cs="Times New Roman"/>
      <w:b/>
      <w:bCs/>
      <w:i/>
      <w:iCs/>
      <w:color w:val="4F81BD"/>
      <w:sz w:val="22"/>
      <w:szCs w:val="22"/>
    </w:rPr>
  </w:style>
  <w:style w:type="paragraph" w:customStyle="1" w:styleId="Padro">
    <w:name w:val="Padrão"/>
    <w:rsid w:val="00DF17ED"/>
    <w:pPr>
      <w:tabs>
        <w:tab w:val="left" w:pos="708"/>
      </w:tabs>
      <w:suppressAutoHyphens/>
      <w:spacing w:line="100" w:lineRule="atLeast"/>
    </w:pPr>
    <w:rPr>
      <w:rFonts w:ascii="Times New Roman" w:eastAsia="Times New Roman" w:hAnsi="Times New Roman"/>
      <w:sz w:val="24"/>
      <w:szCs w:val="24"/>
    </w:rPr>
  </w:style>
  <w:style w:type="paragraph" w:styleId="Commarcadores">
    <w:name w:val="List Bullet"/>
    <w:basedOn w:val="Normal"/>
    <w:uiPriority w:val="99"/>
    <w:unhideWhenUsed/>
    <w:rsid w:val="00E61FE7"/>
    <w:pPr>
      <w:numPr>
        <w:numId w:val="1"/>
      </w:numPr>
      <w:spacing w:after="160" w:line="259" w:lineRule="auto"/>
      <w:contextualSpacing/>
    </w:pPr>
  </w:style>
  <w:style w:type="paragraph" w:styleId="Pr-formataoHTML">
    <w:name w:val="HTML Preformatted"/>
    <w:basedOn w:val="Normal"/>
    <w:link w:val="Pr-formataoHTMLChar"/>
    <w:uiPriority w:val="99"/>
    <w:unhideWhenUsed/>
    <w:rsid w:val="000D32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rsid w:val="000D32FC"/>
    <w:rPr>
      <w:rFonts w:ascii="Courier New" w:eastAsia="Times New Roman" w:hAnsi="Courier New"/>
    </w:rPr>
  </w:style>
  <w:style w:type="paragraph" w:customStyle="1" w:styleId="normal-revista">
    <w:name w:val="normal-revista"/>
    <w:basedOn w:val="Normal"/>
    <w:qFormat/>
    <w:rsid w:val="00224188"/>
    <w:pPr>
      <w:spacing w:after="0" w:line="360" w:lineRule="auto"/>
      <w:ind w:firstLine="284"/>
      <w:jc w:val="both"/>
    </w:pPr>
    <w:rPr>
      <w:rFonts w:ascii="Times New Roman" w:eastAsia="Arial Unicode MS" w:hAnsi="Times New Roman"/>
      <w:sz w:val="24"/>
      <w:szCs w:val="24"/>
    </w:rPr>
  </w:style>
  <w:style w:type="character" w:styleId="nfase">
    <w:name w:val="Emphasis"/>
    <w:uiPriority w:val="20"/>
    <w:qFormat/>
    <w:rsid w:val="00CD6A04"/>
    <w:rPr>
      <w:i/>
      <w:iCs/>
    </w:rPr>
  </w:style>
  <w:style w:type="character" w:customStyle="1" w:styleId="shorttext">
    <w:name w:val="short_text"/>
    <w:basedOn w:val="Fontepargpadro"/>
    <w:rsid w:val="00343D05"/>
  </w:style>
  <w:style w:type="paragraph" w:customStyle="1" w:styleId="Pa7">
    <w:name w:val="Pa7"/>
    <w:basedOn w:val="Normal"/>
    <w:next w:val="Normal"/>
    <w:uiPriority w:val="99"/>
    <w:rsid w:val="00343D05"/>
    <w:pPr>
      <w:autoSpaceDE w:val="0"/>
      <w:autoSpaceDN w:val="0"/>
      <w:adjustRightInd w:val="0"/>
      <w:spacing w:after="0" w:line="211" w:lineRule="atLeast"/>
    </w:pPr>
    <w:rPr>
      <w:rFonts w:ascii="RSKHIL+WarnockPro-Regular" w:hAnsi="RSKHIL+WarnockPro-Regular"/>
      <w:sz w:val="24"/>
      <w:szCs w:val="24"/>
      <w:lang w:val="sk-SK" w:eastAsia="sk-SK"/>
    </w:rPr>
  </w:style>
  <w:style w:type="character" w:customStyle="1" w:styleId="longtext">
    <w:name w:val="long_text"/>
    <w:basedOn w:val="Fontepargpadro"/>
    <w:rsid w:val="005C0030"/>
  </w:style>
  <w:style w:type="paragraph" w:customStyle="1" w:styleId="Diplnormlntext">
    <w:name w:val="Dipl normální text"/>
    <w:qFormat/>
    <w:rsid w:val="005C0030"/>
    <w:pPr>
      <w:spacing w:line="360" w:lineRule="auto"/>
      <w:ind w:firstLine="709"/>
      <w:jc w:val="both"/>
    </w:pPr>
    <w:rPr>
      <w:rFonts w:ascii="Times New Roman" w:eastAsia="Times New Roman" w:hAnsi="Times New Roman"/>
      <w:sz w:val="24"/>
      <w:szCs w:val="24"/>
      <w:lang w:val="cs-CZ" w:eastAsia="cs-CZ"/>
    </w:rPr>
  </w:style>
  <w:style w:type="paragraph" w:customStyle="1" w:styleId="Zkladntext31">
    <w:name w:val="Základný text 31"/>
    <w:basedOn w:val="Normal"/>
    <w:rsid w:val="005C0030"/>
    <w:pPr>
      <w:widowControl w:val="0"/>
      <w:spacing w:after="0" w:line="240" w:lineRule="auto"/>
      <w:jc w:val="both"/>
    </w:pPr>
    <w:rPr>
      <w:rFonts w:ascii="Times New Roman" w:eastAsia="Times New Roman" w:hAnsi="Times New Roman"/>
      <w:sz w:val="24"/>
      <w:szCs w:val="24"/>
      <w:lang w:val="cs-CZ" w:eastAsia="cs-CZ"/>
    </w:rPr>
  </w:style>
  <w:style w:type="character" w:customStyle="1" w:styleId="looklikelinkauthornameaqslistener">
    <w:name w:val="looklikelink authorname aqslistener"/>
    <w:rsid w:val="005C0030"/>
  </w:style>
  <w:style w:type="paragraph" w:styleId="Recuodecorpodetexto">
    <w:name w:val="Body Text Indent"/>
    <w:basedOn w:val="Normal"/>
    <w:link w:val="RecuodecorpodetextoChar"/>
    <w:uiPriority w:val="99"/>
    <w:semiHidden/>
    <w:unhideWhenUsed/>
    <w:rsid w:val="005C0030"/>
    <w:pPr>
      <w:spacing w:after="120"/>
      <w:ind w:left="283"/>
    </w:pPr>
  </w:style>
  <w:style w:type="character" w:customStyle="1" w:styleId="RecuodecorpodetextoChar">
    <w:name w:val="Recuo de corpo de texto Char"/>
    <w:link w:val="Recuodecorpodetexto"/>
    <w:uiPriority w:val="99"/>
    <w:semiHidden/>
    <w:rsid w:val="005C0030"/>
    <w:rPr>
      <w:sz w:val="22"/>
      <w:szCs w:val="22"/>
      <w:lang w:eastAsia="en-US"/>
    </w:rPr>
  </w:style>
  <w:style w:type="paragraph" w:customStyle="1" w:styleId="Index">
    <w:name w:val="Index"/>
    <w:basedOn w:val="Normal"/>
    <w:rsid w:val="005C0030"/>
    <w:pPr>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sz w:val="24"/>
      <w:szCs w:val="20"/>
      <w:lang w:val="sk-SK"/>
    </w:rPr>
  </w:style>
  <w:style w:type="character" w:customStyle="1" w:styleId="smalltext">
    <w:name w:val="smalltext"/>
    <w:basedOn w:val="Fontepargpadro"/>
    <w:rsid w:val="00C95828"/>
  </w:style>
  <w:style w:type="table" w:customStyle="1" w:styleId="SombreamentoClaro3">
    <w:name w:val="Sombreamento Claro3"/>
    <w:basedOn w:val="Tabelanormal"/>
    <w:uiPriority w:val="60"/>
    <w:rsid w:val="00C95828"/>
    <w:rPr>
      <w:color w:val="000000"/>
      <w:lang w:val="tr-TR" w:eastAsia="tr-T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font8">
    <w:name w:val="font_8"/>
    <w:basedOn w:val="Normal"/>
    <w:rsid w:val="00E70ECE"/>
    <w:pPr>
      <w:spacing w:before="100" w:beforeAutospacing="1" w:after="100" w:afterAutospacing="1" w:line="240" w:lineRule="auto"/>
    </w:pPr>
    <w:rPr>
      <w:rFonts w:ascii="Times New Roman" w:eastAsia="Times New Roman" w:hAnsi="Times New Roman"/>
      <w:sz w:val="24"/>
      <w:szCs w:val="24"/>
      <w:lang w:eastAsia="pt-BR"/>
    </w:rPr>
  </w:style>
  <w:style w:type="table" w:customStyle="1" w:styleId="ListaClara1">
    <w:name w:val="Lista Clara1"/>
    <w:basedOn w:val="Tabelanormal"/>
    <w:uiPriority w:val="61"/>
    <w:rsid w:val="00C66FA1"/>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Standard">
    <w:name w:val="Standard"/>
    <w:rsid w:val="00AB23F0"/>
    <w:pPr>
      <w:suppressAutoHyphens/>
      <w:autoSpaceDN w:val="0"/>
      <w:spacing w:after="200" w:line="276" w:lineRule="auto"/>
      <w:textAlignment w:val="baseline"/>
    </w:pPr>
    <w:rPr>
      <w:rFonts w:eastAsia="DejaVu Sans" w:cs="DejaVu Sans"/>
      <w:kern w:val="3"/>
      <w:sz w:val="22"/>
      <w:szCs w:val="22"/>
    </w:rPr>
  </w:style>
  <w:style w:type="character" w:customStyle="1" w:styleId="fontstyle01">
    <w:name w:val="fontstyle01"/>
    <w:basedOn w:val="Fontepargpadro"/>
    <w:rsid w:val="004D5493"/>
    <w:rPr>
      <w:rFonts w:ascii="TimesNewRomanPSMT" w:hAnsi="TimesNewRomanPSMT" w:hint="default"/>
      <w:b w:val="0"/>
      <w:bCs w:val="0"/>
      <w:i w:val="0"/>
      <w:iCs w:val="0"/>
      <w:color w:val="231F20"/>
      <w:sz w:val="22"/>
      <w:szCs w:val="22"/>
    </w:rPr>
  </w:style>
  <w:style w:type="character" w:customStyle="1" w:styleId="name">
    <w:name w:val="name"/>
    <w:rsid w:val="00C646A4"/>
  </w:style>
  <w:style w:type="character" w:customStyle="1" w:styleId="Partesuperior-zdoformulrioChar">
    <w:name w:val="Parte superior-z do formulário Char"/>
    <w:link w:val="Partesuperior-zdoformulrio"/>
    <w:uiPriority w:val="99"/>
    <w:semiHidden/>
    <w:rsid w:val="00C646A4"/>
    <w:rPr>
      <w:rFonts w:ascii="Arial" w:eastAsia="Times New Roman" w:hAnsi="Arial" w:cs="Arial"/>
      <w:vanish/>
      <w:sz w:val="16"/>
      <w:szCs w:val="16"/>
    </w:rPr>
  </w:style>
  <w:style w:type="paragraph" w:styleId="Partesuperior-zdoformulrio">
    <w:name w:val="HTML Top of Form"/>
    <w:basedOn w:val="Normal"/>
    <w:next w:val="Normal"/>
    <w:link w:val="Partesuperior-zdoformulrioChar"/>
    <w:hidden/>
    <w:uiPriority w:val="99"/>
    <w:semiHidden/>
    <w:unhideWhenUsed/>
    <w:rsid w:val="00C646A4"/>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1">
    <w:name w:val="Parte superior-z do formulário Char1"/>
    <w:basedOn w:val="Fontepargpadro"/>
    <w:uiPriority w:val="99"/>
    <w:semiHidden/>
    <w:rsid w:val="00C646A4"/>
    <w:rPr>
      <w:rFonts w:ascii="Arial" w:hAnsi="Arial" w:cs="Arial"/>
      <w:vanish/>
      <w:sz w:val="16"/>
      <w:szCs w:val="16"/>
      <w:lang w:eastAsia="en-US"/>
    </w:rPr>
  </w:style>
  <w:style w:type="character" w:customStyle="1" w:styleId="ParteinferiordoformulrioChar">
    <w:name w:val="Parte inferior do formulário Char"/>
    <w:link w:val="Parteinferiordoformulrio"/>
    <w:uiPriority w:val="99"/>
    <w:semiHidden/>
    <w:rsid w:val="00C646A4"/>
    <w:rPr>
      <w:rFonts w:ascii="Arial" w:eastAsia="Times New Roman" w:hAnsi="Arial" w:cs="Arial"/>
      <w:vanish/>
      <w:sz w:val="16"/>
      <w:szCs w:val="16"/>
    </w:rPr>
  </w:style>
  <w:style w:type="paragraph" w:styleId="Parteinferiordoformulrio">
    <w:name w:val="HTML Bottom of Form"/>
    <w:basedOn w:val="Normal"/>
    <w:next w:val="Normal"/>
    <w:link w:val="ParteinferiordoformulrioChar"/>
    <w:hidden/>
    <w:uiPriority w:val="99"/>
    <w:semiHidden/>
    <w:unhideWhenUsed/>
    <w:rsid w:val="00C646A4"/>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1">
    <w:name w:val="Parte inferior do formulário Char1"/>
    <w:basedOn w:val="Fontepargpadro"/>
    <w:uiPriority w:val="99"/>
    <w:semiHidden/>
    <w:rsid w:val="00C646A4"/>
    <w:rPr>
      <w:rFonts w:ascii="Arial" w:hAnsi="Arial" w:cs="Arial"/>
      <w:vanish/>
      <w:sz w:val="16"/>
      <w:szCs w:val="16"/>
      <w:lang w:eastAsia="en-US"/>
    </w:rPr>
  </w:style>
  <w:style w:type="table" w:customStyle="1" w:styleId="Tabelacomgrade1">
    <w:name w:val="Tabela com grade1"/>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uiPriority w:val="59"/>
    <w:rsid w:val="00C646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uttext">
    <w:name w:val="outtext"/>
    <w:rsid w:val="00C646A4"/>
  </w:style>
  <w:style w:type="character" w:customStyle="1" w:styleId="MenoPendente1">
    <w:name w:val="Menção Pendente1"/>
    <w:basedOn w:val="Fontepargpadro"/>
    <w:uiPriority w:val="99"/>
    <w:semiHidden/>
    <w:unhideWhenUsed/>
    <w:rsid w:val="00C646A4"/>
    <w:rPr>
      <w:color w:val="808080"/>
      <w:shd w:val="clear" w:color="auto" w:fill="E6E6E6"/>
    </w:rPr>
  </w:style>
  <w:style w:type="paragraph" w:customStyle="1" w:styleId="Paragraf">
    <w:name w:val="Paragraf"/>
    <w:basedOn w:val="Normal"/>
    <w:qFormat/>
    <w:rsid w:val="00AC0232"/>
    <w:pPr>
      <w:spacing w:after="0" w:line="360" w:lineRule="auto"/>
      <w:ind w:firstLine="454"/>
      <w:jc w:val="both"/>
    </w:pPr>
    <w:rPr>
      <w:rFonts w:ascii="Arial" w:eastAsiaTheme="minorHAnsi" w:hAnsi="Arial" w:cstheme="minorBidi"/>
      <w:lang w:val="id-ID"/>
    </w:rPr>
  </w:style>
  <w:style w:type="paragraph" w:customStyle="1" w:styleId="MS">
    <w:name w:val="MS바탕글"/>
    <w:basedOn w:val="Normal"/>
    <w:rsid w:val="00B2664F"/>
    <w:pPr>
      <w:snapToGrid w:val="0"/>
      <w:spacing w:after="0" w:line="384" w:lineRule="auto"/>
      <w:jc w:val="both"/>
      <w:textAlignment w:val="baseline"/>
    </w:pPr>
    <w:rPr>
      <w:rFonts w:ascii="Gulim" w:eastAsia="Gulim" w:hAnsi="Gulim" w:cs="Gulim"/>
      <w:color w:val="000000"/>
      <w:sz w:val="20"/>
      <w:szCs w:val="20"/>
      <w:lang w:val="en-US" w:eastAsia="ko-KR"/>
    </w:rPr>
  </w:style>
  <w:style w:type="paragraph" w:customStyle="1" w:styleId="a">
    <w:name w:val="바탕글"/>
    <w:basedOn w:val="Normal"/>
    <w:rsid w:val="00343C8A"/>
    <w:pPr>
      <w:snapToGrid w:val="0"/>
      <w:spacing w:after="0" w:line="384" w:lineRule="auto"/>
      <w:jc w:val="both"/>
      <w:textAlignment w:val="baseline"/>
    </w:pPr>
    <w:rPr>
      <w:rFonts w:ascii="Batang" w:eastAsia="Times New Roman" w:hAnsi="Times New Roman"/>
      <w:color w:val="000000"/>
      <w:sz w:val="20"/>
      <w:szCs w:val="20"/>
      <w:lang w:val="en-US" w:eastAsia="ja-JP"/>
    </w:rPr>
  </w:style>
  <w:style w:type="character" w:styleId="nfaseSutil">
    <w:name w:val="Subtle Emphasis"/>
    <w:basedOn w:val="Fontepargpadro"/>
    <w:uiPriority w:val="19"/>
    <w:qFormat/>
    <w:rsid w:val="009B0500"/>
    <w:rPr>
      <w:i/>
      <w:iCs/>
      <w:color w:val="404040" w:themeColor="text1" w:themeTint="BF"/>
    </w:rPr>
  </w:style>
  <w:style w:type="paragraph" w:customStyle="1" w:styleId="Acknowledgements">
    <w:name w:val="Acknowledgements"/>
    <w:basedOn w:val="Normal"/>
    <w:next w:val="Normal"/>
    <w:qFormat/>
    <w:rsid w:val="0092535C"/>
    <w:pPr>
      <w:spacing w:before="120" w:after="0" w:line="360" w:lineRule="auto"/>
    </w:pPr>
    <w:rPr>
      <w:rFonts w:ascii="Times New Roman" w:eastAsia="Times New Roman" w:hAnsi="Times New Roman"/>
      <w:szCs w:val="24"/>
      <w:lang w:val="en-GB" w:eastAsia="en-GB"/>
    </w:rPr>
  </w:style>
  <w:style w:type="paragraph" w:customStyle="1" w:styleId="a0">
    <w:name w:val="서론"/>
    <w:basedOn w:val="Normal"/>
    <w:rsid w:val="0092535C"/>
    <w:pPr>
      <w:snapToGrid w:val="0"/>
      <w:spacing w:after="0" w:line="600" w:lineRule="auto"/>
      <w:jc w:val="center"/>
      <w:textAlignment w:val="baseline"/>
    </w:pPr>
    <w:rPr>
      <w:rFonts w:ascii="Gulim" w:eastAsia="Gulim" w:hAnsi="Gulim" w:cs="Gulim"/>
      <w:color w:val="000000"/>
      <w:lang w:val="en-US" w:eastAsia="ko-KR"/>
    </w:rPr>
  </w:style>
  <w:style w:type="paragraph" w:customStyle="1" w:styleId="a1">
    <w:name w:val="참고문헌"/>
    <w:basedOn w:val="Normal"/>
    <w:rsid w:val="0092535C"/>
    <w:pPr>
      <w:spacing w:after="0" w:line="372" w:lineRule="auto"/>
      <w:ind w:left="612" w:hanging="306"/>
      <w:jc w:val="both"/>
      <w:textAlignment w:val="baseline"/>
    </w:pPr>
    <w:rPr>
      <w:rFonts w:ascii="Gulim" w:eastAsia="Gulim" w:hAnsi="Gulim" w:cs="Gulim"/>
      <w:color w:val="000000"/>
      <w:sz w:val="16"/>
      <w:szCs w:val="16"/>
      <w:lang w:val="en-US" w:eastAsia="ko-KR"/>
    </w:rPr>
  </w:style>
  <w:style w:type="character" w:customStyle="1" w:styleId="SemEspaamentoChar">
    <w:name w:val="Sem Espaçamento Char"/>
    <w:link w:val="SemEspaamento"/>
    <w:uiPriority w:val="1"/>
    <w:locked/>
    <w:rsid w:val="00D8683D"/>
    <w:rPr>
      <w:rFonts w:ascii="Arial" w:hAnsi="Arial"/>
      <w:sz w:val="24"/>
      <w:szCs w:val="22"/>
      <w:lang w:eastAsia="en-US"/>
    </w:rPr>
  </w:style>
  <w:style w:type="character" w:customStyle="1" w:styleId="Ttulo5Char">
    <w:name w:val="Título 5 Char"/>
    <w:basedOn w:val="Fontepargpadro"/>
    <w:link w:val="Ttulo5"/>
    <w:semiHidden/>
    <w:rsid w:val="002453A7"/>
    <w:rPr>
      <w:rFonts w:asciiTheme="majorHAnsi" w:eastAsiaTheme="majorEastAsia" w:hAnsiTheme="majorHAnsi" w:cstheme="majorBidi"/>
      <w:color w:val="365F91" w:themeColor="accent1" w:themeShade="BF"/>
      <w:sz w:val="22"/>
      <w:szCs w:val="22"/>
      <w:lang w:eastAsia="en-US"/>
    </w:rPr>
  </w:style>
  <w:style w:type="table" w:customStyle="1" w:styleId="TabeladeLista6Colorida1">
    <w:name w:val="Tabela de Lista 6 Colorida1"/>
    <w:basedOn w:val="Tabelanormal"/>
    <w:uiPriority w:val="51"/>
    <w:rsid w:val="002453A7"/>
    <w:rPr>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
    <w:name w:val="List Table 6 Colorful"/>
    <w:basedOn w:val="Tabelanormal"/>
    <w:uiPriority w:val="51"/>
    <w:rsid w:val="00D05F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argrafodaTese">
    <w:name w:val="Parágrafo_da_Tese"/>
    <w:basedOn w:val="Normal"/>
    <w:rsid w:val="007D326C"/>
    <w:pPr>
      <w:spacing w:after="0" w:line="360" w:lineRule="auto"/>
      <w:ind w:firstLine="851"/>
      <w:jc w:val="both"/>
    </w:pPr>
    <w:rPr>
      <w:rFonts w:ascii="Garamond" w:eastAsia="Times New Roman" w:hAnsi="Garamond" w:cs="Arial"/>
      <w:sz w:val="20"/>
      <w:szCs w:val="24"/>
      <w:lang w:eastAsia="pt-BR"/>
    </w:rPr>
  </w:style>
  <w:style w:type="paragraph" w:customStyle="1" w:styleId="Paragraph">
    <w:name w:val="Paragraph"/>
    <w:basedOn w:val="Normal"/>
    <w:next w:val="Normal"/>
    <w:qFormat/>
    <w:rsid w:val="00A41425"/>
    <w:pPr>
      <w:widowControl w:val="0"/>
      <w:spacing w:before="240" w:after="0" w:line="480" w:lineRule="auto"/>
    </w:pPr>
    <w:rPr>
      <w:rFonts w:ascii="Times New Roman" w:eastAsia="Times New Roman" w:hAnsi="Times New Roman"/>
      <w:sz w:val="24"/>
      <w:szCs w:val="24"/>
      <w:lang w:val="en-GB" w:eastAsia="en-GB"/>
    </w:rPr>
  </w:style>
  <w:style w:type="paragraph" w:customStyle="1" w:styleId="MDPI16affiliation">
    <w:name w:val="MDPI_1.6_affiliation"/>
    <w:basedOn w:val="Normal"/>
    <w:qFormat/>
    <w:rsid w:val="00F05D02"/>
    <w:pPr>
      <w:adjustRightInd w:val="0"/>
      <w:snapToGrid w:val="0"/>
      <w:spacing w:after="0" w:line="200" w:lineRule="atLeast"/>
      <w:ind w:left="311" w:hanging="198"/>
    </w:pPr>
    <w:rPr>
      <w:rFonts w:ascii="Palatino Linotype" w:eastAsia="Times New Roman" w:hAnsi="Palatino Linotype"/>
      <w:color w:val="000000"/>
      <w:sz w:val="18"/>
      <w:szCs w:val="18"/>
      <w:lang w:val="en-US" w:eastAsia="de-DE" w:bidi="en-US"/>
    </w:rPr>
  </w:style>
  <w:style w:type="paragraph" w:styleId="Reviso">
    <w:name w:val="Revision"/>
    <w:hidden/>
    <w:uiPriority w:val="99"/>
    <w:semiHidden/>
    <w:rsid w:val="00494445"/>
    <w:rPr>
      <w:rFonts w:asciiTheme="minorHAnsi" w:eastAsiaTheme="minorEastAsia" w:hAnsiTheme="minorHAnsi" w:cstheme="minorBidi"/>
      <w:sz w:val="22"/>
      <w:szCs w:val="22"/>
      <w:lang w:val="es-MX" w:eastAsia="es-MX"/>
    </w:rPr>
  </w:style>
  <w:style w:type="character" w:customStyle="1" w:styleId="Ninguno">
    <w:name w:val="Ninguno"/>
    <w:rsid w:val="00494445"/>
  </w:style>
  <w:style w:type="paragraph" w:customStyle="1" w:styleId="CuerpoA">
    <w:name w:val="Cuerpo A"/>
    <w:rsid w:val="00494445"/>
    <w:pPr>
      <w:pBdr>
        <w:top w:val="nil"/>
        <w:left w:val="nil"/>
        <w:bottom w:val="nil"/>
        <w:right w:val="nil"/>
        <w:between w:val="nil"/>
        <w:bar w:val="nil"/>
      </w:pBdr>
      <w:spacing w:before="80" w:after="180" w:line="288" w:lineRule="auto"/>
    </w:pPr>
    <w:rPr>
      <w:rFonts w:ascii="Georgia" w:eastAsia="Georgia" w:hAnsi="Georgia" w:cs="Georgia"/>
      <w:color w:val="000000"/>
      <w:sz w:val="24"/>
      <w:szCs w:val="24"/>
      <w:u w:color="000000"/>
      <w:bdr w:val="nil"/>
      <w:lang w:val="es-ES_tradnl" w:eastAsia="es-MX"/>
    </w:rPr>
  </w:style>
  <w:style w:type="numbering" w:customStyle="1" w:styleId="Nmero">
    <w:name w:val="Número"/>
    <w:rsid w:val="00494445"/>
    <w:pPr>
      <w:numPr>
        <w:numId w:val="2"/>
      </w:numPr>
    </w:pPr>
  </w:style>
  <w:style w:type="character" w:customStyle="1" w:styleId="Mencinsinresolver1">
    <w:name w:val="Mención sin resolver1"/>
    <w:basedOn w:val="Fontepargpadro"/>
    <w:uiPriority w:val="99"/>
    <w:semiHidden/>
    <w:unhideWhenUsed/>
    <w:rsid w:val="00494445"/>
    <w:rPr>
      <w:color w:val="605E5C"/>
      <w:shd w:val="clear" w:color="auto" w:fill="E1DFDD"/>
    </w:rPr>
  </w:style>
  <w:style w:type="character" w:customStyle="1" w:styleId="Mencinsinresolver2">
    <w:name w:val="Mención sin resolver2"/>
    <w:basedOn w:val="Fontepargpadro"/>
    <w:uiPriority w:val="99"/>
    <w:semiHidden/>
    <w:unhideWhenUsed/>
    <w:rsid w:val="00494445"/>
    <w:rPr>
      <w:color w:val="605E5C"/>
      <w:shd w:val="clear" w:color="auto" w:fill="E1DFDD"/>
    </w:rPr>
  </w:style>
  <w:style w:type="character" w:customStyle="1" w:styleId="PargrafodaListaChar">
    <w:name w:val="Parágrafo da Lista Char"/>
    <w:basedOn w:val="Fontepargpadro"/>
    <w:link w:val="PargrafodaLista"/>
    <w:uiPriority w:val="34"/>
    <w:rsid w:val="00D35310"/>
    <w:rPr>
      <w:sz w:val="22"/>
      <w:szCs w:val="22"/>
      <w:lang w:eastAsia="en-US"/>
    </w:rPr>
  </w:style>
  <w:style w:type="paragraph" w:customStyle="1" w:styleId="EndNoteBibliography">
    <w:name w:val="EndNote Bibliography"/>
    <w:basedOn w:val="Normal"/>
    <w:rsid w:val="00D35310"/>
    <w:pPr>
      <w:spacing w:after="0" w:line="240" w:lineRule="auto"/>
    </w:pPr>
    <w:rPr>
      <w:rFonts w:ascii="Times New Roman" w:eastAsiaTheme="minorHAnsi" w:hAnsi="Times New Roman"/>
      <w:sz w:val="24"/>
      <w:szCs w:val="24"/>
      <w:lang w:val="es-ES_tradnl" w:eastAsia="es-ES_tradnl"/>
    </w:rPr>
  </w:style>
  <w:style w:type="paragraph" w:customStyle="1" w:styleId="Affiliation">
    <w:name w:val="Affiliation"/>
    <w:basedOn w:val="Normal"/>
    <w:qFormat/>
    <w:rsid w:val="00D35310"/>
    <w:pPr>
      <w:spacing w:before="240" w:after="0" w:line="360" w:lineRule="auto"/>
    </w:pPr>
    <w:rPr>
      <w:rFonts w:ascii="Times New Roman" w:eastAsia="Times New Roman" w:hAnsi="Times New Roman"/>
      <w:i/>
      <w:sz w:val="24"/>
      <w:szCs w:val="24"/>
      <w:lang w:val="en-GB" w:eastAsia="en-GB"/>
    </w:rPr>
  </w:style>
  <w:style w:type="character" w:customStyle="1" w:styleId="hithilite">
    <w:name w:val="hithilite"/>
    <w:basedOn w:val="Fontepargpadro"/>
    <w:rsid w:val="00D35310"/>
  </w:style>
  <w:style w:type="character" w:customStyle="1" w:styleId="label">
    <w:name w:val="label"/>
    <w:basedOn w:val="Fontepargpadro"/>
    <w:rsid w:val="00D35310"/>
  </w:style>
  <w:style w:type="character" w:customStyle="1" w:styleId="databold">
    <w:name w:val="data_bold"/>
    <w:basedOn w:val="Fontepargpadro"/>
    <w:rsid w:val="00D35310"/>
  </w:style>
  <w:style w:type="character" w:styleId="HiperlinkVisitado">
    <w:name w:val="FollowedHyperlink"/>
    <w:basedOn w:val="Fontepargpadro"/>
    <w:uiPriority w:val="99"/>
    <w:semiHidden/>
    <w:unhideWhenUsed/>
    <w:rsid w:val="00D35310"/>
    <w:rPr>
      <w:color w:val="800080" w:themeColor="followedHyperlink"/>
      <w:u w:val="single"/>
    </w:rPr>
  </w:style>
  <w:style w:type="paragraph" w:customStyle="1" w:styleId="Normal1">
    <w:name w:val="Normal1"/>
    <w:rsid w:val="00D35310"/>
    <w:pPr>
      <w:spacing w:line="276" w:lineRule="auto"/>
    </w:pPr>
    <w:rPr>
      <w:rFonts w:ascii="Arial" w:eastAsia="Arial" w:hAnsi="Arial" w:cs="Arial"/>
      <w:sz w:val="22"/>
      <w:szCs w:val="22"/>
      <w:lang w:val="es-MX" w:eastAsia="es-MX"/>
    </w:rPr>
  </w:style>
  <w:style w:type="character" w:customStyle="1" w:styleId="tlid-translation">
    <w:name w:val="tlid-translation"/>
    <w:basedOn w:val="Fontepargpadro"/>
    <w:rsid w:val="00D35310"/>
  </w:style>
  <w:style w:type="paragraph" w:customStyle="1" w:styleId="Normal2">
    <w:name w:val="Normal2"/>
    <w:rsid w:val="00D35310"/>
    <w:pPr>
      <w:spacing w:line="276" w:lineRule="auto"/>
    </w:pPr>
    <w:rPr>
      <w:rFonts w:ascii="Arial" w:eastAsia="Arial" w:hAnsi="Arial" w:cs="Arial"/>
      <w:sz w:val="22"/>
      <w:szCs w:val="22"/>
      <w:lang w:val="es-MX" w:eastAsia="es-MX"/>
    </w:rPr>
  </w:style>
  <w:style w:type="paragraph" w:customStyle="1" w:styleId="CuerpoB">
    <w:name w:val="Cuerpo B"/>
    <w:rsid w:val="0095249C"/>
    <w:pPr>
      <w:pBdr>
        <w:top w:val="nil"/>
        <w:left w:val="nil"/>
        <w:bottom w:val="nil"/>
        <w:right w:val="nil"/>
        <w:between w:val="nil"/>
        <w:bar w:val="nil"/>
      </w:pBdr>
    </w:pPr>
    <w:rPr>
      <w:rFonts w:ascii="Helvetica Neue" w:eastAsia="Arial Unicode MS" w:hAnsi="Helvetica Neue" w:cs="Arial Unicode MS"/>
      <w:color w:val="000000"/>
      <w:sz w:val="22"/>
      <w:szCs w:val="22"/>
      <w:u w:color="000000"/>
      <w:bdr w:val="nil"/>
      <w:lang w:val="es-ES_tradnl" w:eastAsia="es-MX"/>
    </w:rPr>
  </w:style>
  <w:style w:type="paragraph" w:customStyle="1" w:styleId="CuerpoAA">
    <w:name w:val="Cuerpo A A"/>
    <w:rsid w:val="00C16F30"/>
    <w:pPr>
      <w:pBdr>
        <w:top w:val="nil"/>
        <w:left w:val="nil"/>
        <w:bottom w:val="nil"/>
        <w:right w:val="nil"/>
        <w:between w:val="nil"/>
        <w:bar w:val="nil"/>
      </w:pBdr>
      <w:spacing w:after="160" w:line="256" w:lineRule="auto"/>
    </w:pPr>
    <w:rPr>
      <w:rFonts w:cs="Calibri"/>
      <w:color w:val="000000"/>
      <w:sz w:val="22"/>
      <w:szCs w:val="22"/>
      <w:u w:color="000000"/>
      <w:bdr w:val="nil"/>
      <w:lang w:val="en-US" w:eastAsia="es-MX"/>
    </w:rPr>
  </w:style>
  <w:style w:type="character" w:customStyle="1" w:styleId="author">
    <w:name w:val="author"/>
    <w:basedOn w:val="Fontepargpadro"/>
    <w:rsid w:val="00740CB6"/>
  </w:style>
  <w:style w:type="character" w:customStyle="1" w:styleId="ilfuvd">
    <w:name w:val="ilfuvd"/>
    <w:basedOn w:val="Fontepargpadro"/>
    <w:rsid w:val="00740CB6"/>
  </w:style>
  <w:style w:type="paragraph" w:customStyle="1" w:styleId="Cuerpo">
    <w:name w:val="Cuerpo"/>
    <w:rsid w:val="00740CB6"/>
    <w:pPr>
      <w:pBdr>
        <w:top w:val="nil"/>
        <w:left w:val="nil"/>
        <w:bottom w:val="nil"/>
        <w:right w:val="nil"/>
        <w:between w:val="nil"/>
        <w:bar w:val="nil"/>
      </w:pBdr>
    </w:pPr>
    <w:rPr>
      <w:rFonts w:cs="Calibri"/>
      <w:color w:val="000000"/>
      <w:sz w:val="24"/>
      <w:szCs w:val="24"/>
      <w:u w:color="000000"/>
      <w:bdr w:val="nil"/>
      <w:lang w:val="pt-PT" w:eastAsia="es-MX"/>
    </w:rPr>
  </w:style>
  <w:style w:type="paragraph" w:styleId="Bibliografia">
    <w:name w:val="Bibliography"/>
    <w:basedOn w:val="Normal"/>
    <w:next w:val="Normal"/>
    <w:uiPriority w:val="37"/>
    <w:semiHidden/>
    <w:unhideWhenUsed/>
    <w:rsid w:val="007D0472"/>
  </w:style>
  <w:style w:type="table" w:customStyle="1" w:styleId="Tablaconcuadrcula3">
    <w:name w:val="Tabla con cuadrícula3"/>
    <w:basedOn w:val="Tabelanormal"/>
    <w:next w:val="Tabelacomgrade"/>
    <w:uiPriority w:val="39"/>
    <w:rsid w:val="00F3102B"/>
    <w:rPr>
      <w:rFonts w:cs="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2">
    <w:name w:val="List Table 2"/>
    <w:basedOn w:val="Tabelanormal"/>
    <w:uiPriority w:val="47"/>
    <w:rsid w:val="0020698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oPendente">
    <w:name w:val="Unresolved Mention"/>
    <w:basedOn w:val="Fontepargpadro"/>
    <w:uiPriority w:val="99"/>
    <w:semiHidden/>
    <w:unhideWhenUsed/>
    <w:rsid w:val="00EB4B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4829">
      <w:bodyDiv w:val="1"/>
      <w:marLeft w:val="0"/>
      <w:marRight w:val="0"/>
      <w:marTop w:val="0"/>
      <w:marBottom w:val="0"/>
      <w:divBdr>
        <w:top w:val="none" w:sz="0" w:space="0" w:color="auto"/>
        <w:left w:val="none" w:sz="0" w:space="0" w:color="auto"/>
        <w:bottom w:val="none" w:sz="0" w:space="0" w:color="auto"/>
        <w:right w:val="none" w:sz="0" w:space="0" w:color="auto"/>
      </w:divBdr>
    </w:div>
    <w:div w:id="103883730">
      <w:bodyDiv w:val="1"/>
      <w:marLeft w:val="0"/>
      <w:marRight w:val="0"/>
      <w:marTop w:val="0"/>
      <w:marBottom w:val="0"/>
      <w:divBdr>
        <w:top w:val="none" w:sz="0" w:space="0" w:color="auto"/>
        <w:left w:val="none" w:sz="0" w:space="0" w:color="auto"/>
        <w:bottom w:val="none" w:sz="0" w:space="0" w:color="auto"/>
        <w:right w:val="none" w:sz="0" w:space="0" w:color="auto"/>
      </w:divBdr>
    </w:div>
    <w:div w:id="106775455">
      <w:bodyDiv w:val="1"/>
      <w:marLeft w:val="0"/>
      <w:marRight w:val="0"/>
      <w:marTop w:val="0"/>
      <w:marBottom w:val="0"/>
      <w:divBdr>
        <w:top w:val="none" w:sz="0" w:space="0" w:color="auto"/>
        <w:left w:val="none" w:sz="0" w:space="0" w:color="auto"/>
        <w:bottom w:val="none" w:sz="0" w:space="0" w:color="auto"/>
        <w:right w:val="none" w:sz="0" w:space="0" w:color="auto"/>
      </w:divBdr>
    </w:div>
    <w:div w:id="122311826">
      <w:bodyDiv w:val="1"/>
      <w:marLeft w:val="0"/>
      <w:marRight w:val="0"/>
      <w:marTop w:val="0"/>
      <w:marBottom w:val="0"/>
      <w:divBdr>
        <w:top w:val="none" w:sz="0" w:space="0" w:color="auto"/>
        <w:left w:val="none" w:sz="0" w:space="0" w:color="auto"/>
        <w:bottom w:val="none" w:sz="0" w:space="0" w:color="auto"/>
        <w:right w:val="none" w:sz="0" w:space="0" w:color="auto"/>
      </w:divBdr>
    </w:div>
    <w:div w:id="146938198">
      <w:bodyDiv w:val="1"/>
      <w:marLeft w:val="0"/>
      <w:marRight w:val="0"/>
      <w:marTop w:val="0"/>
      <w:marBottom w:val="0"/>
      <w:divBdr>
        <w:top w:val="none" w:sz="0" w:space="0" w:color="auto"/>
        <w:left w:val="none" w:sz="0" w:space="0" w:color="auto"/>
        <w:bottom w:val="none" w:sz="0" w:space="0" w:color="auto"/>
        <w:right w:val="none" w:sz="0" w:space="0" w:color="auto"/>
      </w:divBdr>
    </w:div>
    <w:div w:id="261957753">
      <w:bodyDiv w:val="1"/>
      <w:marLeft w:val="0"/>
      <w:marRight w:val="0"/>
      <w:marTop w:val="0"/>
      <w:marBottom w:val="0"/>
      <w:divBdr>
        <w:top w:val="none" w:sz="0" w:space="0" w:color="auto"/>
        <w:left w:val="none" w:sz="0" w:space="0" w:color="auto"/>
        <w:bottom w:val="none" w:sz="0" w:space="0" w:color="auto"/>
        <w:right w:val="none" w:sz="0" w:space="0" w:color="auto"/>
      </w:divBdr>
    </w:div>
    <w:div w:id="282731338">
      <w:bodyDiv w:val="1"/>
      <w:marLeft w:val="0"/>
      <w:marRight w:val="0"/>
      <w:marTop w:val="0"/>
      <w:marBottom w:val="0"/>
      <w:divBdr>
        <w:top w:val="none" w:sz="0" w:space="0" w:color="auto"/>
        <w:left w:val="none" w:sz="0" w:space="0" w:color="auto"/>
        <w:bottom w:val="none" w:sz="0" w:space="0" w:color="auto"/>
        <w:right w:val="none" w:sz="0" w:space="0" w:color="auto"/>
      </w:divBdr>
    </w:div>
    <w:div w:id="723529093">
      <w:bodyDiv w:val="1"/>
      <w:marLeft w:val="0"/>
      <w:marRight w:val="0"/>
      <w:marTop w:val="0"/>
      <w:marBottom w:val="0"/>
      <w:divBdr>
        <w:top w:val="none" w:sz="0" w:space="0" w:color="auto"/>
        <w:left w:val="none" w:sz="0" w:space="0" w:color="auto"/>
        <w:bottom w:val="none" w:sz="0" w:space="0" w:color="auto"/>
        <w:right w:val="none" w:sz="0" w:space="0" w:color="auto"/>
      </w:divBdr>
    </w:div>
    <w:div w:id="758912403">
      <w:bodyDiv w:val="1"/>
      <w:marLeft w:val="0"/>
      <w:marRight w:val="0"/>
      <w:marTop w:val="0"/>
      <w:marBottom w:val="0"/>
      <w:divBdr>
        <w:top w:val="none" w:sz="0" w:space="0" w:color="auto"/>
        <w:left w:val="none" w:sz="0" w:space="0" w:color="auto"/>
        <w:bottom w:val="none" w:sz="0" w:space="0" w:color="auto"/>
        <w:right w:val="none" w:sz="0" w:space="0" w:color="auto"/>
      </w:divBdr>
    </w:div>
    <w:div w:id="765544199">
      <w:bodyDiv w:val="1"/>
      <w:marLeft w:val="0"/>
      <w:marRight w:val="0"/>
      <w:marTop w:val="0"/>
      <w:marBottom w:val="0"/>
      <w:divBdr>
        <w:top w:val="none" w:sz="0" w:space="0" w:color="auto"/>
        <w:left w:val="none" w:sz="0" w:space="0" w:color="auto"/>
        <w:bottom w:val="none" w:sz="0" w:space="0" w:color="auto"/>
        <w:right w:val="none" w:sz="0" w:space="0" w:color="auto"/>
      </w:divBdr>
    </w:div>
    <w:div w:id="793523496">
      <w:bodyDiv w:val="1"/>
      <w:marLeft w:val="0"/>
      <w:marRight w:val="0"/>
      <w:marTop w:val="0"/>
      <w:marBottom w:val="0"/>
      <w:divBdr>
        <w:top w:val="none" w:sz="0" w:space="0" w:color="auto"/>
        <w:left w:val="none" w:sz="0" w:space="0" w:color="auto"/>
        <w:bottom w:val="none" w:sz="0" w:space="0" w:color="auto"/>
        <w:right w:val="none" w:sz="0" w:space="0" w:color="auto"/>
      </w:divBdr>
    </w:div>
    <w:div w:id="1182891146">
      <w:bodyDiv w:val="1"/>
      <w:marLeft w:val="0"/>
      <w:marRight w:val="0"/>
      <w:marTop w:val="0"/>
      <w:marBottom w:val="0"/>
      <w:divBdr>
        <w:top w:val="none" w:sz="0" w:space="0" w:color="auto"/>
        <w:left w:val="none" w:sz="0" w:space="0" w:color="auto"/>
        <w:bottom w:val="none" w:sz="0" w:space="0" w:color="auto"/>
        <w:right w:val="none" w:sz="0" w:space="0" w:color="auto"/>
      </w:divBdr>
    </w:div>
    <w:div w:id="1191187429">
      <w:bodyDiv w:val="1"/>
      <w:marLeft w:val="0"/>
      <w:marRight w:val="0"/>
      <w:marTop w:val="0"/>
      <w:marBottom w:val="0"/>
      <w:divBdr>
        <w:top w:val="none" w:sz="0" w:space="0" w:color="auto"/>
        <w:left w:val="none" w:sz="0" w:space="0" w:color="auto"/>
        <w:bottom w:val="none" w:sz="0" w:space="0" w:color="auto"/>
        <w:right w:val="none" w:sz="0" w:space="0" w:color="auto"/>
      </w:divBdr>
    </w:div>
    <w:div w:id="1219367399">
      <w:bodyDiv w:val="1"/>
      <w:marLeft w:val="0"/>
      <w:marRight w:val="0"/>
      <w:marTop w:val="0"/>
      <w:marBottom w:val="0"/>
      <w:divBdr>
        <w:top w:val="none" w:sz="0" w:space="0" w:color="auto"/>
        <w:left w:val="none" w:sz="0" w:space="0" w:color="auto"/>
        <w:bottom w:val="none" w:sz="0" w:space="0" w:color="auto"/>
        <w:right w:val="none" w:sz="0" w:space="0" w:color="auto"/>
      </w:divBdr>
    </w:div>
    <w:div w:id="1364210938">
      <w:bodyDiv w:val="1"/>
      <w:marLeft w:val="0"/>
      <w:marRight w:val="0"/>
      <w:marTop w:val="0"/>
      <w:marBottom w:val="0"/>
      <w:divBdr>
        <w:top w:val="none" w:sz="0" w:space="0" w:color="auto"/>
        <w:left w:val="none" w:sz="0" w:space="0" w:color="auto"/>
        <w:bottom w:val="none" w:sz="0" w:space="0" w:color="auto"/>
        <w:right w:val="none" w:sz="0" w:space="0" w:color="auto"/>
      </w:divBdr>
    </w:div>
    <w:div w:id="1370574054">
      <w:bodyDiv w:val="1"/>
      <w:marLeft w:val="0"/>
      <w:marRight w:val="0"/>
      <w:marTop w:val="0"/>
      <w:marBottom w:val="0"/>
      <w:divBdr>
        <w:top w:val="none" w:sz="0" w:space="0" w:color="auto"/>
        <w:left w:val="none" w:sz="0" w:space="0" w:color="auto"/>
        <w:bottom w:val="none" w:sz="0" w:space="0" w:color="auto"/>
        <w:right w:val="none" w:sz="0" w:space="0" w:color="auto"/>
      </w:divBdr>
    </w:div>
    <w:div w:id="1385518340">
      <w:bodyDiv w:val="1"/>
      <w:marLeft w:val="0"/>
      <w:marRight w:val="0"/>
      <w:marTop w:val="0"/>
      <w:marBottom w:val="0"/>
      <w:divBdr>
        <w:top w:val="none" w:sz="0" w:space="0" w:color="auto"/>
        <w:left w:val="none" w:sz="0" w:space="0" w:color="auto"/>
        <w:bottom w:val="none" w:sz="0" w:space="0" w:color="auto"/>
        <w:right w:val="none" w:sz="0" w:space="0" w:color="auto"/>
      </w:divBdr>
    </w:div>
    <w:div w:id="1447851245">
      <w:bodyDiv w:val="1"/>
      <w:marLeft w:val="0"/>
      <w:marRight w:val="0"/>
      <w:marTop w:val="0"/>
      <w:marBottom w:val="0"/>
      <w:divBdr>
        <w:top w:val="none" w:sz="0" w:space="0" w:color="auto"/>
        <w:left w:val="none" w:sz="0" w:space="0" w:color="auto"/>
        <w:bottom w:val="none" w:sz="0" w:space="0" w:color="auto"/>
        <w:right w:val="none" w:sz="0" w:space="0" w:color="auto"/>
      </w:divBdr>
    </w:div>
    <w:div w:id="1460032562">
      <w:bodyDiv w:val="1"/>
      <w:marLeft w:val="0"/>
      <w:marRight w:val="0"/>
      <w:marTop w:val="0"/>
      <w:marBottom w:val="0"/>
      <w:divBdr>
        <w:top w:val="none" w:sz="0" w:space="0" w:color="auto"/>
        <w:left w:val="none" w:sz="0" w:space="0" w:color="auto"/>
        <w:bottom w:val="none" w:sz="0" w:space="0" w:color="auto"/>
        <w:right w:val="none" w:sz="0" w:space="0" w:color="auto"/>
      </w:divBdr>
    </w:div>
    <w:div w:id="1468550854">
      <w:bodyDiv w:val="1"/>
      <w:marLeft w:val="0"/>
      <w:marRight w:val="0"/>
      <w:marTop w:val="0"/>
      <w:marBottom w:val="0"/>
      <w:divBdr>
        <w:top w:val="none" w:sz="0" w:space="0" w:color="auto"/>
        <w:left w:val="none" w:sz="0" w:space="0" w:color="auto"/>
        <w:bottom w:val="none" w:sz="0" w:space="0" w:color="auto"/>
        <w:right w:val="none" w:sz="0" w:space="0" w:color="auto"/>
      </w:divBdr>
    </w:div>
    <w:div w:id="1509245970">
      <w:bodyDiv w:val="1"/>
      <w:marLeft w:val="0"/>
      <w:marRight w:val="0"/>
      <w:marTop w:val="0"/>
      <w:marBottom w:val="0"/>
      <w:divBdr>
        <w:top w:val="none" w:sz="0" w:space="0" w:color="auto"/>
        <w:left w:val="none" w:sz="0" w:space="0" w:color="auto"/>
        <w:bottom w:val="none" w:sz="0" w:space="0" w:color="auto"/>
        <w:right w:val="none" w:sz="0" w:space="0" w:color="auto"/>
      </w:divBdr>
    </w:div>
    <w:div w:id="1552811998">
      <w:bodyDiv w:val="1"/>
      <w:marLeft w:val="0"/>
      <w:marRight w:val="0"/>
      <w:marTop w:val="0"/>
      <w:marBottom w:val="0"/>
      <w:divBdr>
        <w:top w:val="none" w:sz="0" w:space="0" w:color="auto"/>
        <w:left w:val="none" w:sz="0" w:space="0" w:color="auto"/>
        <w:bottom w:val="none" w:sz="0" w:space="0" w:color="auto"/>
        <w:right w:val="none" w:sz="0" w:space="0" w:color="auto"/>
      </w:divBdr>
    </w:div>
    <w:div w:id="1594775445">
      <w:bodyDiv w:val="1"/>
      <w:marLeft w:val="0"/>
      <w:marRight w:val="0"/>
      <w:marTop w:val="0"/>
      <w:marBottom w:val="0"/>
      <w:divBdr>
        <w:top w:val="none" w:sz="0" w:space="0" w:color="auto"/>
        <w:left w:val="none" w:sz="0" w:space="0" w:color="auto"/>
        <w:bottom w:val="none" w:sz="0" w:space="0" w:color="auto"/>
        <w:right w:val="none" w:sz="0" w:space="0" w:color="auto"/>
      </w:divBdr>
    </w:div>
    <w:div w:id="1692145263">
      <w:bodyDiv w:val="1"/>
      <w:marLeft w:val="0"/>
      <w:marRight w:val="0"/>
      <w:marTop w:val="0"/>
      <w:marBottom w:val="0"/>
      <w:divBdr>
        <w:top w:val="none" w:sz="0" w:space="0" w:color="auto"/>
        <w:left w:val="none" w:sz="0" w:space="0" w:color="auto"/>
        <w:bottom w:val="none" w:sz="0" w:space="0" w:color="auto"/>
        <w:right w:val="none" w:sz="0" w:space="0" w:color="auto"/>
      </w:divBdr>
      <w:divsChild>
        <w:div w:id="628970938">
          <w:marLeft w:val="0"/>
          <w:marRight w:val="0"/>
          <w:marTop w:val="90"/>
          <w:marBottom w:val="0"/>
          <w:divBdr>
            <w:top w:val="none" w:sz="0" w:space="0" w:color="auto"/>
            <w:left w:val="none" w:sz="0" w:space="0" w:color="auto"/>
            <w:bottom w:val="none" w:sz="0" w:space="0" w:color="auto"/>
            <w:right w:val="none" w:sz="0" w:space="0" w:color="auto"/>
          </w:divBdr>
          <w:divsChild>
            <w:div w:id="527447658">
              <w:marLeft w:val="0"/>
              <w:marRight w:val="0"/>
              <w:marTop w:val="0"/>
              <w:marBottom w:val="420"/>
              <w:divBdr>
                <w:top w:val="none" w:sz="0" w:space="0" w:color="auto"/>
                <w:left w:val="none" w:sz="0" w:space="0" w:color="auto"/>
                <w:bottom w:val="none" w:sz="0" w:space="0" w:color="auto"/>
                <w:right w:val="none" w:sz="0" w:space="0" w:color="auto"/>
              </w:divBdr>
              <w:divsChild>
                <w:div w:id="2134203636">
                  <w:marLeft w:val="0"/>
                  <w:marRight w:val="0"/>
                  <w:marTop w:val="0"/>
                  <w:marBottom w:val="0"/>
                  <w:divBdr>
                    <w:top w:val="none" w:sz="0" w:space="0" w:color="auto"/>
                    <w:left w:val="none" w:sz="0" w:space="0" w:color="auto"/>
                    <w:bottom w:val="none" w:sz="0" w:space="0" w:color="auto"/>
                    <w:right w:val="none" w:sz="0" w:space="0" w:color="auto"/>
                  </w:divBdr>
                  <w:divsChild>
                    <w:div w:id="192882547">
                      <w:marLeft w:val="0"/>
                      <w:marRight w:val="0"/>
                      <w:marTop w:val="0"/>
                      <w:marBottom w:val="0"/>
                      <w:divBdr>
                        <w:top w:val="none" w:sz="0" w:space="0" w:color="auto"/>
                        <w:left w:val="none" w:sz="0" w:space="0" w:color="auto"/>
                        <w:bottom w:val="none" w:sz="0" w:space="0" w:color="auto"/>
                        <w:right w:val="none" w:sz="0" w:space="0" w:color="auto"/>
                      </w:divBdr>
                      <w:divsChild>
                        <w:div w:id="61120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3000">
      <w:bodyDiv w:val="1"/>
      <w:marLeft w:val="0"/>
      <w:marRight w:val="0"/>
      <w:marTop w:val="0"/>
      <w:marBottom w:val="0"/>
      <w:divBdr>
        <w:top w:val="none" w:sz="0" w:space="0" w:color="auto"/>
        <w:left w:val="none" w:sz="0" w:space="0" w:color="auto"/>
        <w:bottom w:val="none" w:sz="0" w:space="0" w:color="auto"/>
        <w:right w:val="none" w:sz="0" w:space="0" w:color="auto"/>
      </w:divBdr>
    </w:div>
    <w:div w:id="1894267683">
      <w:bodyDiv w:val="1"/>
      <w:marLeft w:val="0"/>
      <w:marRight w:val="0"/>
      <w:marTop w:val="0"/>
      <w:marBottom w:val="0"/>
      <w:divBdr>
        <w:top w:val="none" w:sz="0" w:space="0" w:color="auto"/>
        <w:left w:val="none" w:sz="0" w:space="0" w:color="auto"/>
        <w:bottom w:val="none" w:sz="0" w:space="0" w:color="auto"/>
        <w:right w:val="none" w:sz="0" w:space="0" w:color="auto"/>
      </w:divBdr>
    </w:div>
    <w:div w:id="1908106239">
      <w:bodyDiv w:val="1"/>
      <w:marLeft w:val="0"/>
      <w:marRight w:val="0"/>
      <w:marTop w:val="0"/>
      <w:marBottom w:val="0"/>
      <w:divBdr>
        <w:top w:val="none" w:sz="0" w:space="0" w:color="auto"/>
        <w:left w:val="none" w:sz="0" w:space="0" w:color="auto"/>
        <w:bottom w:val="none" w:sz="0" w:space="0" w:color="auto"/>
        <w:right w:val="none" w:sz="0" w:space="0" w:color="auto"/>
      </w:divBdr>
    </w:div>
    <w:div w:id="1962761252">
      <w:bodyDiv w:val="1"/>
      <w:marLeft w:val="0"/>
      <w:marRight w:val="0"/>
      <w:marTop w:val="0"/>
      <w:marBottom w:val="0"/>
      <w:divBdr>
        <w:top w:val="none" w:sz="0" w:space="0" w:color="auto"/>
        <w:left w:val="none" w:sz="0" w:space="0" w:color="auto"/>
        <w:bottom w:val="none" w:sz="0" w:space="0" w:color="auto"/>
        <w:right w:val="none" w:sz="0" w:space="0" w:color="auto"/>
      </w:divBdr>
    </w:div>
    <w:div w:id="2036760507">
      <w:bodyDiv w:val="1"/>
      <w:marLeft w:val="0"/>
      <w:marRight w:val="0"/>
      <w:marTop w:val="0"/>
      <w:marBottom w:val="0"/>
      <w:divBdr>
        <w:top w:val="none" w:sz="0" w:space="0" w:color="auto"/>
        <w:left w:val="none" w:sz="0" w:space="0" w:color="auto"/>
        <w:bottom w:val="none" w:sz="0" w:space="0" w:color="auto"/>
        <w:right w:val="none" w:sz="0" w:space="0" w:color="auto"/>
      </w:divBdr>
    </w:div>
    <w:div w:id="2043020706">
      <w:bodyDiv w:val="1"/>
      <w:marLeft w:val="0"/>
      <w:marRight w:val="0"/>
      <w:marTop w:val="0"/>
      <w:marBottom w:val="0"/>
      <w:divBdr>
        <w:top w:val="none" w:sz="0" w:space="0" w:color="auto"/>
        <w:left w:val="none" w:sz="0" w:space="0" w:color="auto"/>
        <w:bottom w:val="none" w:sz="0" w:space="0" w:color="auto"/>
        <w:right w:val="none" w:sz="0" w:space="0" w:color="auto"/>
      </w:divBdr>
    </w:div>
    <w:div w:id="2064938720">
      <w:bodyDiv w:val="1"/>
      <w:marLeft w:val="0"/>
      <w:marRight w:val="0"/>
      <w:marTop w:val="0"/>
      <w:marBottom w:val="0"/>
      <w:divBdr>
        <w:top w:val="none" w:sz="0" w:space="0" w:color="auto"/>
        <w:left w:val="none" w:sz="0" w:space="0" w:color="auto"/>
        <w:bottom w:val="none" w:sz="0" w:space="0" w:color="auto"/>
        <w:right w:val="none" w:sz="0" w:space="0" w:color="auto"/>
      </w:divBdr>
    </w:div>
    <w:div w:id="2132430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ossmark.crossref.org/dialog/?doi=10.31893/multiscience.2024xxx&amp;domain=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malque.pub/ojs/index.php/msj/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https://orcid.org/" TargetMode="External"/><Relationship Id="rId19" Type="http://schemas.openxmlformats.org/officeDocument/2006/relationships/hyperlink" Target="https://www.malque.pub/ojs/index.php/msj/guid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svg"/><Relationship Id="rId22" Type="http://schemas.openxmlformats.org/officeDocument/2006/relationships/hyperlink" Target="https://malque.pub/ojs/index.php/msj/ethics" TargetMode="External"/><Relationship Id="rId25" Type="http://schemas.openxmlformats.org/officeDocument/2006/relationships/hyperlink" Target="https://orcid.org/0009-0007-0042-2835" TargetMode="External"/><Relationship Id="rId26" Type="http://schemas.openxmlformats.org/officeDocument/2006/relationships/hyperlink" Target="https://orcid.org/0009-0008-3307-6569" TargetMode="External"/><Relationship Id="rId27" Type="http://schemas.openxmlformats.org/officeDocument/2006/relationships/hyperlink" Target="mailto:kontrungcany@gmail.com" TargetMode="External"/><Relationship Id="rId28" Type="http://schemas.openxmlformats.org/officeDocument/2006/relationships/hyperlink" Target="https://orcid.org/0000-0003-3581-6571" TargetMode="External"/><Relationship Id="rId29" Type="http://schemas.openxmlformats.org/officeDocument/2006/relationships/hyperlink" Target="https://orcid.org/0009-0003-0967-7528" TargetMode="External"/><Relationship Id="rId30" Type="http://schemas.openxmlformats.org/officeDocument/2006/relationships/image" Target="media/image9.png"/><Relationship Id="rId31" Type="http://schemas.openxmlformats.org/officeDocument/2006/relationships/image" Target="media/image10.png"/></Relationships>
</file>

<file path=word/_rels/footer1.xml.rels><?xml version='1.0' encoding='UTF-8' standalone='yes'?>
<Relationships xmlns="http://schemas.openxmlformats.org/package/2006/relationships"><Relationship Id="rId3" Type="http://schemas.openxmlformats.org/officeDocument/2006/relationships/hyperlink" Target="https://www.malque.pub/ojs/index.php/msj" TargetMode="External"/><Relationship Id="rId2" Type="http://schemas.openxmlformats.org/officeDocument/2006/relationships/image" Target="media/image5.png"/><Relationship Id="rId1" Type="http://schemas.openxmlformats.org/officeDocument/2006/relationships/hyperlink" Target="https://www.malque.pub" TargetMode="External"/><Relationship Id="rId4" Type="http://schemas.openxmlformats.org/officeDocument/2006/relationships/hyperlink" Target="https://www.malque.pub/ojs/index.php/msj" TargetMode="External"/></Relationships>
</file>

<file path=word/_rels/foot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7.png"/><Relationship Id="rId1" Type="http://schemas.openxmlformats.org/officeDocument/2006/relationships/hyperlink" Target="https://www.malque.pub"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doi.org/10.31893/jabb.21001" TargetMode="External"/><Relationship Id="rId1" Type="http://schemas.openxmlformats.org/officeDocument/2006/relationships/hyperlink" Target="https://doi.org/10.31893/jabb.21001" TargetMode="External"/></Relationships>
</file>

<file path=word/_rels/header2.xml.rels><?xml version='1.0' encoding='UTF-8' standalone='yes'?>
<Relationships xmlns="http://schemas.openxmlformats.org/package/2006/relationships"><Relationship Id="rId3" Type="http://schemas.openxmlformats.org/officeDocument/2006/relationships/hyperlink" Target="https://malque.pub/ojs/index.php/msj/index" TargetMode="External"/><Relationship Id="rId2" Type="http://schemas.openxmlformats.org/officeDocument/2006/relationships/hyperlink" Target="https://doi.org/10.31893/multiscience.2026xxx" TargetMode="External"/><Relationship Id="rId1" Type="http://schemas.openxmlformats.org/officeDocument/2006/relationships/hyperlink" Target="https://doi.org/10.31893/multiscience.2026xxx" TargetMode="External"/><Relationship Id="rId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3C1F50-F304-414B-B3CA-890330C54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2950</Words>
  <Characters>15935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Dayanne</dc:creator>
  <cp:lastModifiedBy>Microsoft Office User</cp:lastModifiedBy>
  <cp:revision>16</cp:revision>
  <cp:lastPrinted>2021-04-25T14:28:00Z</cp:lastPrinted>
  <dcterms:created xsi:type="dcterms:W3CDTF">2023-10-20T18:19:00Z</dcterms:created>
  <dcterms:modified xsi:type="dcterms:W3CDTF">2026-09-22T19:30:00Z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0ba2c21447cd7cd887107512ab0bf1c224e9f18955b8338954429a6a53db44a1</vt:lpwstr>
  </property>
</Properties>
</file>