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both"/>
      </w:pPr>
      <w:r>
        <w:rPr>
          <w:bCs/>
          <w:rFonts w:ascii="Calibri" w:hAnsi="Calibri"/>
          <w:b w:val="0"/>
          <w:sz w:val="20"/>
        </w:rPr>
        <w:t xml:space="preserve">Supplementary Material S1</w:t>
      </w:r>
    </w:p>
    <w:p>
      <w:pPr>
        <w:pStyle w:val="BodyText"/>
        <w:spacing w:line="240" w:lineRule="auto"/>
        <w:jc w:val="both"/>
      </w:pPr>
      <w:r>
        <w:rPr>
          <w:rFonts w:ascii="Calibri" w:hAnsi="Calibri"/>
          <w:b w:val="0"/>
          <w:sz w:val="20"/>
        </w:rPr>
        <w:t xml:space="preserve">Do price limits delay price discovery? Overnight gaps after limit closes in Vietnam</w:t>
      </w:r>
    </w:p>
    <w:bookmarkStart w:id="20" w:name="s1.1.-characteristic-definitions"/>
    <w:p>
      <w:pPr>
        <w:pStyle w:val="Heading2"/>
        <w:spacing w:line="240" w:lineRule="auto"/>
        <w:jc w:val="both"/>
      </w:pPr>
      <w:r>
        <w:rPr>
          <w:rFonts w:ascii="Calibri" w:hAnsi="Calibri"/>
          <w:b w:val="0"/>
          <w:sz w:val="20"/>
        </w:rPr>
        <w:t xml:space="preserve">S1.1. Characteristic definitions</w:t>
      </w:r>
    </w:p>
    <w:p>
      <w:pPr>
        <w:pStyle w:val="FirstParagraph"/>
        <w:spacing w:line="240" w:lineRule="auto"/>
        <w:jc w:val="both"/>
      </w:pPr>
      <w:r>
        <w:rPr>
          <w:rFonts w:ascii="Calibri" w:hAnsi="Calibri"/>
          <w:b w:val="0"/>
          <w:sz w:val="20"/>
        </w:rP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rPr>
          <w:rFonts w:ascii="Calibri" w:hAnsi="Calibri"/>
          <w:b w:val="0"/>
          <w:sz w:val="20"/>
        </w:rPr>
        <w:t xml:space="preserve"> </w:t>
      </w:r>
      <m:oMath>
        <m:r>
          <m:rPr>
            <m:sty m:val="p"/>
          </m:rPr>
          <m:t>min</m:t>
        </m:r>
        <m:sSup>
          <m:e>
            <m:d>
              <m:dPr>
                <m:begChr m:val="("/>
                <m:endChr m:val=")"/>
                <m:sepChr m:val=""/>
                <m:grow/>
              </m:dPr>
              <m:e>
                <m:r>
                  <m:t>r</m:t>
                </m:r>
                <m:r>
                  <m:rPr>
                    <m:sty m:val="p"/>
                  </m:rPr>
                  <m:t>,</m:t>
                </m:r>
                <m:r>
                  <m:t>0</m:t>
                </m:r>
              </m:e>
            </m:d>
          </m:e>
          <m:sup>
            <m:r>
              <m:t>2</m:t>
            </m:r>
          </m:sup>
        </m:sSup>
      </m:oMath>
      <w:r>
        <w:rPr>
          <w:rFonts w:ascii="Calibri" w:hAnsi="Calibri"/>
          <w:b w:val="0"/>
          <w:sz w:val="20"/>
        </w:rP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rPr>
          <w:rFonts w:ascii="Calibri" w:hAnsi="Calibri"/>
          <w:b w:val="0"/>
          <w:sz w:val="20"/>
        </w:rP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rPr>
          <w:rFonts w:ascii="Calibri" w:hAnsi="Calibri"/>
          <w:b w:val="0"/>
          <w:sz w:val="20"/>
        </w:rPr>
        <w:t xml:space="preserve">, where</w:t>
      </w:r>
      <w:r>
        <w:rPr>
          <w:rFonts w:ascii="Calibri" w:hAnsi="Calibri"/>
          <w:b w:val="0"/>
          <w:sz w:val="20"/>
        </w:rPr>
        <w:t xml:space="preserve"> </w:t>
      </w:r>
      <m:oMath>
        <m:sSub>
          <m:e>
            <m:r>
              <m:rPr>
                <m:sty m:val="p"/>
              </m:rPr>
              <m:t>T</m:t>
            </m:r>
            <m:r>
              <m:rPr>
                <m:sty m:val="p"/>
              </m:rPr>
              <m:t>O</m:t>
            </m:r>
          </m:e>
          <m:sub>
            <m:r>
              <m:t>L</m:t>
            </m:r>
          </m:sub>
        </m:sSub>
      </m:oMath>
      <w:r>
        <w:rPr>
          <w:rFonts w:ascii="Calibri" w:hAnsi="Calibri"/>
          <w:b w:val="0"/>
          <w:sz w:val="20"/>
        </w:rPr>
        <w:t xml:space="preserve"> </w:t>
      </w:r>
      <w:r>
        <w:rPr>
          <w:rFonts w:ascii="Calibri" w:hAnsi="Calibri"/>
          <w:b w:val="0"/>
          <w:sz w:val="20"/>
        </w:rPr>
        <w:t xml:space="preserve">and</w:t>
      </w:r>
      <w:r>
        <w:rPr>
          <w:rFonts w:ascii="Calibri" w:hAnsi="Calibri"/>
          <w:b w:val="0"/>
          <w:sz w:val="20"/>
        </w:rPr>
        <w:t xml:space="preserve"> </w:t>
      </w:r>
      <m:oMath>
        <m:sSub>
          <m:e>
            <m:r>
              <m:rPr>
                <m:sty m:val="p"/>
              </m:rPr>
              <m:t>T</m:t>
            </m:r>
            <m:r>
              <m:rPr>
                <m:sty m:val="p"/>
              </m:rPr>
              <m:t>O</m:t>
            </m:r>
          </m:e>
          <m:sub>
            <m:r>
              <m:t>S</m:t>
            </m:r>
          </m:sub>
        </m:sSub>
      </m:oMath>
      <w:r>
        <w:rPr>
          <w:rFonts w:ascii="Calibri" w:hAnsi="Calibri"/>
          <w:b w:val="0"/>
          <w:sz w:val="20"/>
        </w:rPr>
        <w:t xml:space="preserve"> </w:t>
      </w:r>
      <w:r>
        <w:rPr>
          <w:rFonts w:ascii="Calibri" w:hAnsi="Calibri"/>
          <w:b w:val="0"/>
          <w:sz w:val="20"/>
        </w:rPr>
        <w:t xml:space="preserve">are the shares of the long and short legs replaced since the previous week.</w:t>
      </w:r>
    </w:p>
    <w:bookmarkEnd w:id="20"/>
    <w:bookmarkStart w:id="21" w:name="s1.2.-literature-search"/>
    <w:p>
      <w:pPr>
        <w:pStyle w:val="Heading2"/>
        <w:spacing w:line="240" w:lineRule="auto"/>
        <w:jc w:val="both"/>
      </w:pPr>
      <w:r>
        <w:rPr>
          <w:rFonts w:ascii="Calibri" w:hAnsi="Calibri"/>
          <w:b w:val="0"/>
          <w:sz w:val="20"/>
        </w:rPr>
        <w:t xml:space="preserve">S1.2. Literature search</w:t>
      </w:r>
    </w:p>
    <w:p>
      <w:pPr>
        <w:pStyle w:val="FirstParagraph"/>
        <w:spacing w:line="240" w:lineRule="auto"/>
        <w:jc w:val="both"/>
      </w:pPr>
      <w:r>
        <w:rPr>
          <w:rFonts w:ascii="Calibri" w:hAnsi="Calibri"/>
          <w:b w:val="0"/>
          <w:sz w:val="20"/>
        </w:rPr>
        <w:t xml:space="preserve">We searched on October 4 and 5, 2026 with the web search tool of the AI assistant named in Section 6.2 of the article;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2.1 of the article) and the working paper of Farber et al. (2006), cited as background on the early market. A second search on October 6, 2026, covered studies of price limits in Vietnam, including the Vietnam Journals Online (VJOL) index, and added Le (2012) and the working paper of Farber et al. (2006); Vietnamese-language articles without an English record were not screened, and the coverage of Chinese A-share studies is incomplete. We read the bibliographic records and the abstract text returned by the search tool; the full texts of the three studies closest to ours (Kim &amp; Rhee, 1997; Huang et al., 2001; Qi, 2023) were read on October 6, 2026, and Table 6 reports their results.</w:t>
      </w:r>
    </w:p>
    <w:bookmarkEnd w:id="21"/>
    <w:bookmarkStart w:id="26" w:name="references"/>
    <w:p>
      <w:pPr>
        <w:pStyle w:val="Heading2"/>
        <w:spacing w:line="240" w:lineRule="auto"/>
        <w:jc w:val="both"/>
      </w:pPr>
      <w:r>
        <w:rPr>
          <w:rFonts w:ascii="Calibri" w:hAnsi="Calibri"/>
          <w:b w:val="0"/>
          <w:sz w:val="20"/>
        </w:rPr>
        <w:t xml:space="preserve">References</w:t>
      </w:r>
    </w:p>
    <w:p>
      <w:pPr>
        <w:pStyle w:val="FirstParagraph"/>
        <w:spacing w:line="240" w:lineRule="auto"/>
        <w:jc w:val="both"/>
      </w:pPr>
      <w:r>
        <w:rPr>
          <w:rFonts w:ascii="Calibri" w:hAnsi="Calibri"/>
          <w:b w:val="0"/>
          <w:sz w:val="20"/>
        </w:rPr>
        <w:t xml:space="preserve">Amihud, Y. (2002). Illiquidity and stock returns: Cross-section and time-series effects.</w:t>
      </w:r>
      <w:r>
        <w:rPr>
          <w:rFonts w:ascii="Calibri" w:hAnsi="Calibri"/>
          <w:b w:val="0"/>
          <w:sz w:val="20"/>
        </w:rPr>
        <w:t xml:space="preserve"> </w:t>
      </w:r>
      <w:r>
        <w:rPr>
          <w:iCs/>
          <w:rFonts w:ascii="Calibri" w:hAnsi="Calibri"/>
          <w:b w:val="0"/>
          <w:i/>
          <w:sz w:val="20"/>
        </w:rPr>
        <w:t xml:space="preserve">Journal of Financial Markets, 5</w:t>
      </w:r>
      <w:r>
        <w:rPr>
          <w:rFonts w:ascii="Calibri" w:hAnsi="Calibri"/>
          <w:b w:val="0"/>
          <w:sz w:val="20"/>
        </w:rPr>
        <w:t xml:space="preserve">(1), 31–56.</w:t>
      </w:r>
      <w:r>
        <w:rPr>
          <w:rFonts w:ascii="Calibri" w:hAnsi="Calibri"/>
          <w:b w:val="0"/>
          <w:sz w:val="20"/>
        </w:rPr>
        <w:t xml:space="preserve"> </w:t>
      </w:r>
      <w:hyperlink r:id="rId22">
        <w:r>
          <w:rPr>
            <w:rStyle w:val="Hyperlink"/>
          </w:rPr>
          <w:t xml:space="preserve">https://doi.org/10.1016/S1386-4181(01)00024-6</w:t>
        </w:r>
      </w:hyperlink>
    </w:p>
    <w:p>
      <w:pPr>
        <w:pStyle w:val="BodyText"/>
        <w:spacing w:line="240" w:lineRule="auto"/>
        <w:jc w:val="both"/>
      </w:pPr>
      <w:r>
        <w:rPr>
          <w:rFonts w:ascii="Calibri" w:hAnsi="Calibri"/>
          <w:b w:val="0"/>
          <w:sz w:val="20"/>
        </w:rPr>
        <w:t xml:space="preserve">Bali, T. G., Cakici, N., &amp; Whitelaw, R. F. (2011). Maxing out: Stocks as lotteries and the cross-section of expected returns.</w:t>
      </w:r>
      <w:r>
        <w:rPr>
          <w:rFonts w:ascii="Calibri" w:hAnsi="Calibri"/>
          <w:b w:val="0"/>
          <w:sz w:val="20"/>
        </w:rPr>
        <w:t xml:space="preserve"> </w:t>
      </w:r>
      <w:r>
        <w:rPr>
          <w:iCs/>
          <w:rFonts w:ascii="Calibri" w:hAnsi="Calibri"/>
          <w:b w:val="0"/>
          <w:i/>
          <w:sz w:val="20"/>
        </w:rPr>
        <w:t xml:space="preserve">Journal of Financial Economics, 99</w:t>
      </w:r>
      <w:r>
        <w:rPr>
          <w:rFonts w:ascii="Calibri" w:hAnsi="Calibri"/>
          <w:b w:val="0"/>
          <w:sz w:val="20"/>
        </w:rPr>
        <w:t xml:space="preserve">(2), 427–446.</w:t>
      </w:r>
      <w:r>
        <w:rPr>
          <w:rFonts w:ascii="Calibri" w:hAnsi="Calibri"/>
          <w:b w:val="0"/>
          <w:sz w:val="20"/>
        </w:rPr>
        <w:t xml:space="preserve"> </w:t>
      </w:r>
      <w:hyperlink r:id="rId23">
        <w:r>
          <w:rPr>
            <w:rStyle w:val="Hyperlink"/>
          </w:rPr>
          <w:t xml:space="preserve">https://doi.org/10.1016/j.jfineco.2010.08.014</w:t>
        </w:r>
      </w:hyperlink>
    </w:p>
    <w:p>
      <w:pPr>
        <w:pStyle w:val="BodyText"/>
        <w:spacing w:line="240" w:lineRule="auto"/>
        <w:jc w:val="both"/>
      </w:pPr>
      <w:r>
        <w:rPr>
          <w:rFonts w:ascii="Calibri" w:hAnsi="Calibri"/>
          <w:b w:val="0"/>
          <w:sz w:val="20"/>
        </w:rPr>
        <w:t xml:space="preserve">Corwin, S. A., &amp; Schultz, P. (2012). A simple way to estimate bid-ask spreads from daily high and low prices.</w:t>
      </w:r>
      <w:r>
        <w:rPr>
          <w:rFonts w:ascii="Calibri" w:hAnsi="Calibri"/>
          <w:b w:val="0"/>
          <w:sz w:val="20"/>
        </w:rPr>
        <w:t xml:space="preserve"> </w:t>
      </w:r>
      <w:r>
        <w:rPr>
          <w:iCs/>
          <w:rFonts w:ascii="Calibri" w:hAnsi="Calibri"/>
          <w:b w:val="0"/>
          <w:i/>
          <w:sz w:val="20"/>
        </w:rPr>
        <w:t xml:space="preserve">The Journal of Finance, 67</w:t>
      </w:r>
      <w:r>
        <w:rPr>
          <w:rFonts w:ascii="Calibri" w:hAnsi="Calibri"/>
          <w:b w:val="0"/>
          <w:sz w:val="20"/>
        </w:rPr>
        <w:t xml:space="preserve">(2), 719–760.</w:t>
      </w:r>
      <w:r>
        <w:rPr>
          <w:rFonts w:ascii="Calibri" w:hAnsi="Calibri"/>
          <w:b w:val="0"/>
          <w:sz w:val="20"/>
        </w:rPr>
        <w:t xml:space="preserve"> </w:t>
      </w:r>
      <w:hyperlink r:id="rId24">
        <w:r>
          <w:rPr>
            <w:rStyle w:val="Hyperlink"/>
          </w:rPr>
          <w:t xml:space="preserve">https://doi.org/10.1111/j.1540-6261.2012.01729.x</w:t>
        </w:r>
      </w:hyperlink>
    </w:p>
    <w:p>
      <w:pPr>
        <w:pStyle w:val="BodyText"/>
        <w:spacing w:line="240" w:lineRule="auto"/>
        <w:jc w:val="both"/>
      </w:pPr>
      <w:r>
        <w:rPr>
          <w:rFonts w:ascii="Calibri" w:hAnsi="Calibri"/>
          <w:b w:val="0"/>
          <w:sz w:val="20"/>
        </w:rPr>
        <w:t xml:space="preserve">Parkinson, M. (1980). The extreme value method for estimating the variance of the rate of return.</w:t>
      </w:r>
      <w:r>
        <w:rPr>
          <w:rFonts w:ascii="Calibri" w:hAnsi="Calibri"/>
          <w:b w:val="0"/>
          <w:sz w:val="20"/>
        </w:rPr>
        <w:t xml:space="preserve"> </w:t>
      </w:r>
      <w:r>
        <w:rPr>
          <w:iCs/>
          <w:rFonts w:ascii="Calibri" w:hAnsi="Calibri"/>
          <w:b w:val="0"/>
          <w:i/>
          <w:sz w:val="20"/>
        </w:rPr>
        <w:t xml:space="preserve">The Journal of Business, 53</w:t>
      </w:r>
      <w:r>
        <w:rPr>
          <w:rFonts w:ascii="Calibri" w:hAnsi="Calibri"/>
          <w:b w:val="0"/>
          <w:sz w:val="20"/>
        </w:rPr>
        <w:t xml:space="preserve">(1), 61–65.</w:t>
      </w:r>
      <w:r>
        <w:rPr>
          <w:rFonts w:ascii="Calibri" w:hAnsi="Calibri"/>
          <w:b w:val="0"/>
          <w:sz w:val="20"/>
        </w:rPr>
        <w:t xml:space="preserve"> </w:t>
      </w:r>
      <w:hyperlink r:id="rId25">
        <w:r>
          <w:rPr>
            <w:rStyle w:val="Hyperlink"/>
          </w:rPr>
          <w:t xml:space="preserve">https://doi.org/10.1086/296071</w:t>
        </w:r>
      </w:hyperlink>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2026-10-06T07:10:44Z</dcterms:created>
  <dcterms:modified xsi:type="dcterms:W3CDTF">2026-10-06T07:10:44Z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