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57A60" w14:textId="40D53118" w:rsidR="009E0F4A" w:rsidRDefault="002A3A56" w:rsidP="00824612">
      <w:pPr>
        <w:spacing w:after="0" w:line="240" w:lineRule="auto"/>
        <w:jc w:val="both"/>
      </w:pPr>
      <w:r>
        <w:tab/>
        <w:tab/>
        <w:tab/>
        <w:tab/>
        <w:tab/>
      </w:r>
    </w:p>
    <w:p w14:paraId="0AD4ABDD" w14:textId="7C076E23" w:rsidR="00AB23F0" w:rsidRDefault="00AB23F0" w:rsidP="00824612">
      <w:pPr>
        <w:spacing w:after="0" w:line="240" w:lineRule="auto"/>
        <w:jc w:val="both"/>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9"/>
        <w:gridCol w:w="990"/>
      </w:tblGrid>
      <w:tr w:rsidR="002453A7" w:rsidRPr="00BF5C77" w14:paraId="4B4F72BD" w14:textId="77777777" w:rsidTr="00C86194">
        <w:trPr>
          <w:trHeight w:val="473"/>
        </w:trPr>
        <w:tc>
          <w:tcPr>
            <w:tcW w:w="9219" w:type="dxa"/>
          </w:tcPr>
          <w:p w14:paraId="45517ECB" w14:textId="7321F257" w:rsidR="002453A7" w:rsidRPr="00A94872" w:rsidRDefault="00E0708B" w:rsidP="00433AFC">
            <w:pPr>
              <w:pStyle w:val="MDPI16affiliation"/>
              <w:spacing w:line="240" w:lineRule="auto"/>
              <w:ind w:left="-102" w:firstLine="0"/>
              <w:rPr>
                <w:rFonts w:ascii="Calibri" w:eastAsiaTheme="minorHAnsi" w:hAnsi="Calibri" w:cs="Calibri"/>
                <w:b/>
                <w:bCs/>
                <w:color w:val="83150E"/>
                <w:sz w:val="42"/>
                <w:szCs w:val="42"/>
                <w:lang w:eastAsia="en-US" w:bidi="ar-SA"/>
              </w:rPr>
            </w:pPr>
            <w:r>
              <w:rPr>
                <w:rFonts w:ascii="Calibri" w:eastAsiaTheme="minorHAnsi" w:hAnsi="Calibri" w:cs="Calibri"/>
                <w:b/>
                <w:bCs/>
                <w:color w:val="83150E"/>
                <w:sz w:val="42"/>
                <w:szCs w:val="42"/>
                <w:lang w:val="hr-HR" w:eastAsia="en-US" w:bidi="ar-SA"/>
              </w:rPr>
              <w:t xml:space="preserve">Do price limits delay price discovery? Overnight gaps after limit closes in Vietnam</w:t>
            </w:r>
          </w:p>
          <w:p w14:paraId="22537A96" w14:textId="2F490FFF" w:rsidR="00433AFC" w:rsidRPr="00351673" w:rsidRDefault="00433AFC" w:rsidP="00433AFC">
            <w:pPr>
              <w:pStyle w:val="MDPI16affiliation"/>
              <w:spacing w:line="240" w:lineRule="auto"/>
              <w:ind w:left="0" w:firstLine="0"/>
              <w:jc w:val="both"/>
              <w:rPr>
                <w:rFonts w:ascii="Calibri" w:eastAsiaTheme="minorHAnsi" w:hAnsi="Calibri" w:cs="Calibri"/>
                <w:b/>
                <w:color w:val="auto"/>
                <w:sz w:val="20"/>
                <w:szCs w:val="20"/>
                <w:lang w:val="en-GB" w:eastAsia="en-US" w:bidi="ar-SA"/>
              </w:rPr>
            </w:pPr>
          </w:p>
        </w:tc>
        <w:tc>
          <w:tcPr>
            <w:tcW w:w="990" w:type="dxa"/>
          </w:tcPr>
          <w:p w14:paraId="485EF5CE" w14:textId="77777777" w:rsidR="003458E8" w:rsidRPr="0078120D" w:rsidRDefault="003458E8" w:rsidP="00824612">
            <w:pPr>
              <w:spacing w:after="0" w:line="240" w:lineRule="auto"/>
              <w:rPr>
                <w:sz w:val="6"/>
                <w:szCs w:val="6"/>
                <w:lang w:val="en-US"/>
              </w:rPr>
            </w:pPr>
          </w:p>
          <w:p w14:paraId="779286EF" w14:textId="77777777" w:rsidR="002453A7" w:rsidRPr="00BF5C77" w:rsidRDefault="002453A7" w:rsidP="00824612">
            <w:pPr>
              <w:spacing w:after="0" w:line="240" w:lineRule="auto"/>
              <w:rPr>
                <w:lang w:val="en-US"/>
              </w:rPr>
            </w:pPr>
            <w:r>
              <w:rPr>
                <w:rFonts w:ascii="Times New Roman" w:hAnsi="Times New Roman"/>
                <w:b/>
                <w:bCs/>
                <w:noProof/>
                <w:sz w:val="30"/>
                <w:szCs w:val="30"/>
                <w:lang w:eastAsia="pt-BR"/>
              </w:rPr>
              <w:drawing>
                <wp:inline distT="0" distB="0" distL="0" distR="0" wp14:anchorId="773FD8B4" wp14:editId="4EB44F23">
                  <wp:extent cx="527323" cy="527323"/>
                  <wp:effectExtent l="0" t="0" r="6350" b="6350"/>
                  <wp:docPr id="19" name="Imagem 19" descr="C:\Users\Elite705g3Mini\OneDrive\Malque\Multi\CrossMark.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C:\Users\Elite705g3Mini\OneDrive\Malque\Multi\CrossMark.png">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399" cy="535399"/>
                          </a:xfrm>
                          <a:prstGeom prst="rect">
                            <a:avLst/>
                          </a:prstGeom>
                          <a:noFill/>
                          <a:ln>
                            <a:noFill/>
                          </a:ln>
                        </pic:spPr>
                      </pic:pic>
                    </a:graphicData>
                  </a:graphic>
                </wp:inline>
              </w:drawing>
            </w:r>
          </w:p>
        </w:tc>
      </w:tr>
      <w:tr w:rsidR="00D42C05" w:rsidRPr="00A94872" w14:paraId="68F92C2C" w14:textId="2F9D941C" w:rsidTr="00A94872">
        <w:tc>
          <w:tcPr>
            <w:tcW w:w="9219" w:type="dxa"/>
            <w:tcBorders>
              <w:bottom w:val="double" w:sz="4" w:space="0" w:color="83150E"/>
            </w:tcBorders>
          </w:tcPr>
          <w:p w14:paraId="42203760" w14:textId="7B2D08D5" w:rsidR="00247A1B" w:rsidRPr="002C15DB" w:rsidRDefault="00E0708B" w:rsidP="00E0708B">
            <w:pPr>
              <w:spacing w:after="0"/>
              <w:ind w:left="-102"/>
              <w:rPr>
                <w:rFonts w:asciiTheme="minorHAnsi" w:hAnsiTheme="minorHAnsi" w:cstheme="minorHAnsi"/>
                <w:b/>
                <w:sz w:val="4"/>
                <w:szCs w:val="4"/>
                <w:lang w:val="en-US"/>
              </w:rPr>
            </w:pPr>
            <w:r>
              <w:rPr>
                <w:rFonts w:asciiTheme="minorHAnsi" w:hAnsiTheme="minorHAnsi" w:cstheme="minorHAnsi"/>
                <w:b/>
                <w:bCs/>
                <w:lang w:val="hr-HR"/>
              </w:rPr>
              <w:t xml:space="preserve">Nguyen Thanh Binh</w:t>
            </w:r>
            <w:r>
              <w:rPr>
                <w:rFonts w:asciiTheme="minorHAnsi" w:hAnsiTheme="minorHAnsi" w:cstheme="minorHAnsi"/>
                <w:b/>
                <w:color w:val="943634" w:themeColor="accent2" w:themeShade="BF"/>
                <w:vertAlign w:val="superscript"/>
                <w:lang w:val="en-US"/>
              </w:rPr>
              <w:t>a</w:t>
            </w:r>
            <w:r>
              <w:rPr>
                <w:noProof/>
              </w:rPr>
              <w:drawing>
                <wp:inline distT="0" distB="0" distL="0" distR="0" wp14:anchorId="24DEB3B2" wp14:editId="76D0B5A7">
                  <wp:extent cx="99695" cy="98425"/>
                  <wp:effectExtent l="0" t="0" r="0" b="0"/>
                  <wp:docPr id="2009629071" name="Imagem 34" descr="C:\Users\Elite705g3Mini\OneDrive\Malque\orcid.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25"/>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Pr>
                <w:rFonts w:asciiTheme="minorHAnsi" w:hAnsiTheme="minorHAnsi" w:cstheme="minorHAnsi"/>
                <w:b/>
                <w:lang w:val="en-US"/>
              </w:rPr>
              <w:t xml:space="preserve"> |</w:t>
            </w:r>
            <w:r>
              <w:rPr>
                <w:rFonts w:asciiTheme="minorHAnsi" w:hAnsiTheme="minorHAnsi" w:cstheme="minorHAnsi"/>
                <w:b/>
                <w:bCs/>
                <w:lang w:val="hr-HR"/>
              </w:rPr>
              <w:t xml:space="preserve"> Nguyen Van Trung</w:t>
            </w:r>
            <w:r>
              <w:rPr>
                <w:rFonts w:asciiTheme="minorHAnsi" w:hAnsiTheme="minorHAnsi" w:cstheme="minorHAnsi"/>
                <w:b/>
                <w:color w:val="943634" w:themeColor="accent2" w:themeShade="BF"/>
                <w:vertAlign w:val="superscript"/>
                <w:lang w:val="en-US"/>
              </w:rPr>
              <w:t>a</w:t>
            </w:r>
            <w:r>
              <w:rPr>
                <w:noProof/>
              </w:rPr>
              <w:drawing>
                <wp:inline distT="0" distB="0" distL="0" distR="0" wp14:anchorId="24DEB3B2" wp14:editId="76D0B5A7">
                  <wp:extent cx="99695" cy="98425"/>
                  <wp:effectExtent l="0" t="0" r="0" b="0"/>
                  <wp:docPr id="2009629072" name="Imagem 34" descr="C:\Users\Elite705g3Mini\OneDrive\Malque\orcid.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26"/>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Pr>
                <w:rFonts w:asciiTheme="minorHAnsi" w:hAnsiTheme="minorHAnsi" w:cstheme="minorHAnsi"/>
                <w:b/>
                <w:color w:val="BFBFBF" w:themeColor="background1" w:themeShade="BF"/>
                <w:vertAlign w:val="superscript"/>
                <w:lang w:val="en-US"/>
              </w:rPr>
              <w:t xml:space="preserve"> </w:t>
            </w:r>
            <w:r>
              <w:rPr>
                <w:noProof/>
              </w:rPr>
              <w:drawing>
                <wp:inline distT="0" distB="0" distL="0" distR="0" wp14:anchorId="26500C72" wp14:editId="742073D6">
                  <wp:extent cx="127635" cy="94615"/>
                  <wp:effectExtent l="0" t="0" r="5715" b="635"/>
                  <wp:docPr id="2009629073" name="Gráfico 35" descr="Envelop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áfico 35" descr="Envelope">
                            <a:hlinkClick r:id="rId27"/>
                          </pic:cNvPr>
                          <pic:cNvPicPr>
                            <a:picLocks noChangeAspect="1"/>
                          </pic:cNvPicPr>
                        </pic:nvPicPr>
                        <pic:blipFill rotWithShape="1">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rcRect l="6249" t="17361" r="5556" b="17361"/>
                          <a:stretch/>
                        </pic:blipFill>
                        <pic:spPr bwMode="auto">
                          <a:xfrm>
                            <a:off x="0" y="0"/>
                            <a:ext cx="127635" cy="94615"/>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cstheme="minorHAnsi"/>
                <w:b/>
                <w:lang w:val="en-US"/>
              </w:rPr>
              <w:t xml:space="preserve"> |</w:t>
            </w:r>
            <w:r>
              <w:rPr>
                <w:rFonts w:asciiTheme="minorHAnsi" w:hAnsiTheme="minorHAnsi" w:cstheme="minorHAnsi"/>
                <w:b/>
                <w:bCs/>
                <w:lang w:val="hr-HR"/>
              </w:rPr>
              <w:t xml:space="preserve"> Ha Hong Hanh</w:t>
            </w:r>
            <w:r>
              <w:rPr>
                <w:rFonts w:asciiTheme="minorHAnsi" w:hAnsiTheme="minorHAnsi" w:cstheme="minorHAnsi"/>
                <w:b/>
                <w:color w:val="943634" w:themeColor="accent2" w:themeShade="BF"/>
                <w:vertAlign w:val="superscript"/>
                <w:lang w:val="en-US"/>
              </w:rPr>
              <w:t>b</w:t>
            </w:r>
            <w:r>
              <w:rPr>
                <w:noProof/>
              </w:rPr>
              <w:drawing>
                <wp:inline distT="0" distB="0" distL="0" distR="0" wp14:anchorId="24DEB3B2" wp14:editId="76D0B5A7">
                  <wp:extent cx="99695" cy="98425"/>
                  <wp:effectExtent l="0" t="0" r="0" b="0"/>
                  <wp:docPr id="2009629074" name="Imagem 34" descr="C:\Users\Elite705g3Mini\OneDrive\Malque\orcid.p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28"/>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Pr>
                <w:rFonts w:asciiTheme="minorHAnsi" w:hAnsiTheme="minorHAnsi" w:cstheme="minorHAnsi"/>
                <w:b/>
                <w:lang w:val="en-US"/>
              </w:rPr>
              <w:t xml:space="preserve"> |</w:t>
            </w:r>
            <w:r>
              <w:rPr>
                <w:rFonts w:asciiTheme="minorHAnsi" w:hAnsiTheme="minorHAnsi" w:cstheme="minorHAnsi"/>
                <w:b/>
                <w:bCs/>
                <w:lang w:val="hr-HR"/>
              </w:rPr>
              <w:t xml:space="preserve"> Nguyen Bach Diep</w:t>
            </w:r>
            <w:r>
              <w:rPr>
                <w:rFonts w:asciiTheme="minorHAnsi" w:hAnsiTheme="minorHAnsi" w:cstheme="minorHAnsi"/>
                <w:b/>
                <w:color w:val="943634" w:themeColor="accent2" w:themeShade="BF"/>
                <w:vertAlign w:val="superscript"/>
                <w:lang w:val="en-US"/>
              </w:rPr>
              <w:t>a</w:t>
            </w:r>
            <w:r>
              <w:rPr>
                <w:noProof/>
              </w:rPr>
              <w:drawing>
                <wp:inline distT="0" distB="0" distL="0" distR="0" wp14:anchorId="24DEB3B2" wp14:editId="76D0B5A7">
                  <wp:extent cx="99695" cy="98425"/>
                  <wp:effectExtent l="0" t="0" r="0" b="0"/>
                  <wp:docPr id="2009629075" name="Imagem 34" descr="C:\Users\Elite705g3Mini\OneDrive\Malque\orcid.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29"/>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p>
        </w:tc>
        <w:tc>
          <w:tcPr>
            <w:tcW w:w="990" w:type="dxa"/>
            <w:tcBorders>
              <w:bottom w:val="double" w:sz="4" w:space="0" w:color="83150E"/>
            </w:tcBorders>
          </w:tcPr>
          <w:p w14:paraId="1D994E0A" w14:textId="77777777" w:rsidR="00D42C05" w:rsidRPr="002C15DB" w:rsidRDefault="00D42C05" w:rsidP="00824612">
            <w:pPr>
              <w:spacing w:after="0" w:line="240" w:lineRule="auto"/>
              <w:rPr>
                <w:rFonts w:asciiTheme="minorHAnsi" w:hAnsiTheme="minorHAnsi" w:cstheme="minorHAnsi"/>
                <w:sz w:val="8"/>
                <w:szCs w:val="8"/>
                <w:lang w:val="en-US"/>
              </w:rPr>
            </w:pPr>
          </w:p>
          <w:p w14:paraId="4B47D3E8" w14:textId="77777777" w:rsidR="00D42C05" w:rsidRPr="002C15DB" w:rsidRDefault="00D42C05" w:rsidP="00C86194">
            <w:pPr>
              <w:spacing w:after="0" w:line="240" w:lineRule="auto"/>
              <w:ind w:left="-102"/>
              <w:jc w:val="right"/>
              <w:rPr>
                <w:rFonts w:asciiTheme="minorHAnsi" w:hAnsiTheme="minorHAnsi" w:cstheme="minorHAnsi"/>
                <w:sz w:val="8"/>
                <w:szCs w:val="8"/>
                <w:lang w:val="en-US"/>
              </w:rPr>
            </w:pPr>
          </w:p>
        </w:tc>
      </w:tr>
      <w:tr w:rsidR="00D42C05" w:rsidRPr="00A94872" w14:paraId="5DF52BDD" w14:textId="549ED092" w:rsidTr="00A94872">
        <w:tc>
          <w:tcPr>
            <w:tcW w:w="9219" w:type="dxa"/>
            <w:tcBorders>
              <w:top w:val="double" w:sz="4" w:space="0" w:color="83150E"/>
            </w:tcBorders>
          </w:tcPr>
          <w:p w14:paraId="3C71346E" w14:textId="77777777" w:rsidR="00D42C05" w:rsidRPr="002C15DB" w:rsidRDefault="00D42C05" w:rsidP="00824612">
            <w:pPr>
              <w:spacing w:after="0" w:line="240" w:lineRule="auto"/>
              <w:ind w:left="-103"/>
              <w:jc w:val="both"/>
              <w:rPr>
                <w:rFonts w:asciiTheme="minorHAnsi" w:hAnsiTheme="minorHAnsi" w:cstheme="minorHAnsi"/>
                <w:sz w:val="12"/>
                <w:szCs w:val="12"/>
                <w:lang w:val="en-US"/>
              </w:rPr>
            </w:pPr>
          </w:p>
        </w:tc>
        <w:tc>
          <w:tcPr>
            <w:tcW w:w="990" w:type="dxa"/>
            <w:tcBorders>
              <w:top w:val="double" w:sz="4" w:space="0" w:color="83150E"/>
            </w:tcBorders>
          </w:tcPr>
          <w:p w14:paraId="6BB44AA7" w14:textId="77777777" w:rsidR="00D42C05" w:rsidRPr="002C15DB" w:rsidRDefault="00D42C05" w:rsidP="00824612">
            <w:pPr>
              <w:spacing w:after="0" w:line="240" w:lineRule="auto"/>
              <w:ind w:left="-103"/>
              <w:jc w:val="both"/>
              <w:rPr>
                <w:rFonts w:asciiTheme="minorHAnsi" w:hAnsiTheme="minorHAnsi" w:cstheme="minorHAnsi"/>
                <w:sz w:val="12"/>
                <w:szCs w:val="12"/>
                <w:lang w:val="en-US"/>
              </w:rPr>
            </w:pPr>
          </w:p>
        </w:tc>
      </w:tr>
      <w:tr w:rsidR="00D42C05" w:rsidRPr="00A94872" w14:paraId="28D5582B" w14:textId="1893548E" w:rsidTr="00C86194">
        <w:tc>
          <w:tcPr>
            <w:tcW w:w="9219" w:type="dxa"/>
          </w:tcPr>
          <w:p w14:paraId="400F2739" w14:textId="491430DA" w:rsidR="00FB376B" w:rsidRPr="00FB376B" w:rsidRDefault="00CB5F40" w:rsidP="00FB376B">
            <w:pPr>
              <w:spacing w:after="0" w:line="240" w:lineRule="auto"/>
              <w:ind w:left="-103"/>
              <w:jc w:val="both"/>
              <w:rPr>
                <w:rFonts w:asciiTheme="minorHAnsi" w:hAnsiTheme="minorHAnsi" w:cstheme="minorHAnsi"/>
                <w:bCs/>
                <w:iCs/>
                <w:color w:val="000000" w:themeColor="text1"/>
                <w:sz w:val="14"/>
                <w:szCs w:val="14"/>
                <w:lang w:val="hr-HR"/>
              </w:rPr>
            </w:pPr>
            <w:r>
              <w:rPr>
                <w:rFonts w:asciiTheme="minorHAnsi" w:hAnsiTheme="minorHAnsi" w:cstheme="minorHAnsi"/>
                <w:b/>
                <w:color w:val="943634" w:themeColor="accent2" w:themeShade="BF"/>
                <w:sz w:val="14"/>
                <w:szCs w:val="14"/>
                <w:vertAlign w:val="superscript"/>
                <w:lang w:val="en-US"/>
              </w:rPr>
              <w:t>a</w:t>
            </w:r>
            <w:r>
              <w:rPr>
                <w:rFonts w:asciiTheme="minorHAnsi" w:hAnsiTheme="minorHAnsi" w:cstheme="minorHAnsi"/>
                <w:bCs/>
                <w:iCs/>
                <w:color w:val="000000" w:themeColor="text1"/>
                <w:sz w:val="14"/>
                <w:szCs w:val="14"/>
                <w:lang w:val="hr-HR"/>
              </w:rPr>
              <w:t xml:space="preserve">Academy of Policy and Development, Nam An Khanh Urban Area, Hoai Duc District, Hanoi, Vietnam.</w:t>
            </w:r>
          </w:p>
          <w:p w14:paraId="20607C71" w14:textId="716A071D" w:rsidR="00FB376B" w:rsidRPr="00FB376B" w:rsidRDefault="00FB376B" w:rsidP="00FB376B">
            <w:pPr>
              <w:spacing w:after="0" w:line="240" w:lineRule="auto"/>
              <w:ind w:left="-103"/>
              <w:jc w:val="both"/>
              <w:rPr>
                <w:rFonts w:asciiTheme="minorHAnsi" w:hAnsiTheme="minorHAnsi" w:cstheme="minorHAnsi"/>
                <w:bCs/>
                <w:iCs/>
                <w:color w:val="000000" w:themeColor="text1"/>
                <w:sz w:val="14"/>
                <w:szCs w:val="14"/>
                <w:lang w:val="hr-HR"/>
              </w:rPr>
            </w:pPr>
            <w:r>
              <w:rPr>
                <w:rFonts w:asciiTheme="minorHAnsi" w:hAnsiTheme="minorHAnsi" w:cstheme="minorHAnsi"/>
                <w:b/>
                <w:bCs/>
                <w:iCs/>
                <w:color w:val="943634" w:themeColor="accent2" w:themeShade="BF"/>
                <w:sz w:val="14"/>
                <w:szCs w:val="14"/>
                <w:vertAlign w:val="superscript"/>
                <w:lang w:val="hr-HR"/>
              </w:rPr>
              <w:t>b</w:t>
            </w:r>
            <w:r>
              <w:rPr>
                <w:rFonts w:asciiTheme="minorHAnsi" w:hAnsiTheme="minorHAnsi" w:cstheme="minorHAnsi"/>
                <w:bCs/>
                <w:iCs/>
                <w:color w:val="000000" w:themeColor="text1"/>
                <w:sz w:val="14"/>
                <w:szCs w:val="14"/>
                <w:lang w:val="hr-HR"/>
              </w:rPr>
              <w:t xml:space="preserve">School of Accounting and Auditing, National Economics University, Hanoi, Vietnam.</w:t>
            </w:r>
          </w:p>
        </w:tc>
        <w:tc>
          <w:tcPr>
            <w:tcW w:w="990" w:type="dxa"/>
          </w:tcPr>
          <w:p w14:paraId="3D7A2492" w14:textId="77777777" w:rsidR="00D42C05" w:rsidRPr="002C15DB" w:rsidRDefault="00D42C05" w:rsidP="00824612">
            <w:pPr>
              <w:spacing w:after="0" w:line="240" w:lineRule="auto"/>
              <w:rPr>
                <w:rFonts w:asciiTheme="minorHAnsi" w:hAnsiTheme="minorHAnsi" w:cstheme="minorHAnsi"/>
                <w:bCs/>
                <w:i/>
                <w:sz w:val="14"/>
                <w:szCs w:val="14"/>
                <w:lang w:val="en-US"/>
              </w:rPr>
            </w:pPr>
          </w:p>
          <w:p w14:paraId="671F7937" w14:textId="77777777" w:rsidR="00D42C05" w:rsidRPr="002C15DB" w:rsidRDefault="00D42C05" w:rsidP="00824612">
            <w:pPr>
              <w:spacing w:after="0" w:line="240" w:lineRule="auto"/>
              <w:ind w:left="-102"/>
              <w:jc w:val="right"/>
              <w:rPr>
                <w:rFonts w:asciiTheme="minorHAnsi" w:hAnsiTheme="minorHAnsi" w:cstheme="minorHAnsi"/>
                <w:bCs/>
                <w:i/>
                <w:sz w:val="14"/>
                <w:szCs w:val="14"/>
                <w:lang w:val="en-US"/>
              </w:rPr>
            </w:pPr>
          </w:p>
        </w:tc>
      </w:tr>
    </w:tbl>
    <w:p w14:paraId="3A208D12" w14:textId="78A7A9F0" w:rsidR="002453A7" w:rsidRPr="0078120D" w:rsidRDefault="00D01EE6" w:rsidP="00824612">
      <w:pPr>
        <w:pageBreakBefore/>
        <w:spacing w:after="0" w:line="240" w:lineRule="auto"/>
        <w:rPr>
          <w:rFonts w:ascii="Times New Roman" w:hAnsi="Times New Roman"/>
          <w:sz w:val="4"/>
          <w:szCs w:val="4"/>
          <w:lang w:val="en-US"/>
        </w:rPr>
        <w:sectPr w:rsidR="002453A7" w:rsidRPr="0078120D" w:rsidSect="00C16F30">
          <w:headerReference w:type="default" r:id="rId15"/>
          <w:footerReference w:type="default" r:id="rId16"/>
          <w:headerReference w:type="first" r:id="rId17"/>
          <w:footerReference w:type="first" r:id="rId18"/>
          <w:pgSz w:w="11906" w:h="16838"/>
          <w:pgMar w:top="1134" w:right="851" w:bottom="1134" w:left="851" w:header="709" w:footer="709" w:gutter="0"/>
          <w:pgNumType w:start="1"/>
          <w:cols w:space="708"/>
          <w:titlePg/>
          <w:docGrid w:linePitch="360"/>
        </w:sectPr>
      </w:pPr>
      <w:r>
        <w:rPr>
          <w:rFonts w:ascii="Candara" w:hAnsi="Candara" w:cstheme="majorHAnsi"/>
          <w:noProof/>
          <w:szCs w:val="30"/>
          <w:lang w:eastAsia="pt-BR"/>
        </w:rPr>
        <mc:AlternateContent>
          <mc:Choice Requires="wps">
            <w:drawing>
              <wp:anchor distT="0" distB="0" distL="114300" distR="114300" simplePos="0" relativeHeight="251658240" behindDoc="0" locked="0" layoutInCell="1" allowOverlap="1" wp14:anchorId="2C608016" wp14:editId="34AE8FE1">
                <wp:simplePos x="0" y="0"/>
                <wp:positionH relativeFrom="margin">
                  <wp:align>left</wp:align>
                </wp:positionH>
                <wp:positionV relativeFrom="paragraph">
                  <wp:posOffset>45085</wp:posOffset>
                </wp:positionV>
                <wp:extent cx="6477000" cy="3289300"/>
                <wp:effectExtent l="0" t="0" r="12700" b="12700"/>
                <wp:wrapTopAndBottom/>
                <wp:docPr id="23" name="Caixa de texto 23"/>
                <wp:cNvGraphicFramePr/>
                <a:graphic xmlns:a="http://schemas.openxmlformats.org/drawingml/2006/main">
                  <a:graphicData uri="http://schemas.microsoft.com/office/word/2010/wordprocessingShape">
                    <wps:wsp>
                      <wps:cNvSpPr txBox="1"/>
                      <wps:spPr>
                        <a:xfrm>
                          <a:off x="0" y="0"/>
                          <a:ext cx="6477000" cy="3289300"/>
                        </a:xfrm>
                        <a:prstGeom prst="rect">
                          <a:avLst/>
                        </a:prstGeom>
                        <a:solidFill>
                          <a:schemeClr val="accent2">
                            <a:lumMod val="20000"/>
                            <a:lumOff val="80000"/>
                          </a:schemeClr>
                        </a:solidFill>
                        <a:ln w="6350">
                          <a:solidFill>
                            <a:srgbClr val="83150E"/>
                          </a:solidFill>
                        </a:ln>
                        <a:effectLst/>
                      </wps:spPr>
                      <wps:style>
                        <a:lnRef idx="0">
                          <a:schemeClr val="accent1"/>
                        </a:lnRef>
                        <a:fillRef idx="0">
                          <a:schemeClr val="accent1"/>
                        </a:fillRef>
                        <a:effectRef idx="0">
                          <a:schemeClr val="accent1"/>
                        </a:effectRef>
                        <a:fontRef idx="minor">
                          <a:schemeClr val="dk1"/>
                        </a:fontRef>
                      </wps:style>
                      <wps:txbx>
                        <w:txbxContent>
                          <w:p w14:paraId="6F763DD0" w14:textId="262E42C9" w:rsidR="007010C3" w:rsidRDefault="00A633A5" w:rsidP="001A2274">
                            <w:pPr>
                              <w:spacing w:after="0" w:line="240" w:lineRule="auto"/>
                              <w:ind w:right="-46"/>
                              <w:jc w:val="both"/>
                              <w:rPr>
                                <w:rFonts w:asciiTheme="minorHAnsi" w:hAnsiTheme="minorHAnsi" w:cstheme="minorHAnsi"/>
                                <w:color w:val="000000" w:themeColor="text1"/>
                                <w:sz w:val="20"/>
                                <w:szCs w:val="20"/>
                                <w:lang w:val="en-US"/>
                              </w:rPr>
                            </w:pPr>
                            <w:r>
                              <w:rPr>
                                <w:rFonts w:asciiTheme="minorHAnsi" w:hAnsiTheme="minorHAnsi" w:cstheme="minorHAnsi"/>
                                <w:b/>
                                <w:color w:val="000000" w:themeColor="text1"/>
                                <w:sz w:val="20"/>
                                <w:szCs w:val="20"/>
                                <w:lang w:val="en-US"/>
                              </w:rPr>
                              <w:t>Abstract</w:t>
                            </w:r>
                            <w:r>
                              <w:rPr>
                                <w:rFonts w:asciiTheme="minorHAnsi" w:hAnsiTheme="minorHAnsi" w:cstheme="minorHAnsi"/>
                                <w:color w:val="000000" w:themeColor="text1"/>
                                <w:sz w:val="20"/>
                                <w:szCs w:val="20"/>
                                <w:lang w:val="en-US"/>
                              </w:rPr>
                              <w:t xml:space="preserve"> Daily price limits aim to cool markets but can delay price discovery. Few studies trace prices after limit closes in emerging markets, and among the studies identified by our search, none tests the limit against other candidate signals. For 347 stocks on the Ho Chi Minh Stock Exchange from August 2024 to September 2026, we run 26 tests under false discovery rate control: four price limit event tests and 22 price- and volume-based characteristics. About 2.0% of stock-days close at the upper limit and 1.4% at the lower limit. We split the next-day abnormal return into an overnight gap and an intraday return and compare limit closes with stocks that moved almost as far. All four limit tests survived; none of the 22 lower-powered characteristic tests survived. After a ceiling close, the next-day abnormal return of 1.7% is an overnight gap of 2.2% less an intraday reversal of 0.5%, and the gap exceeds that after rises of 5% to 6.5% by 2.7 percentage points, and by 3.1 points when those stocks also closed at their daily high. After a floor close the overnight gap is −1.0%, and the size of the floor effect depends on the benchmark. The ceiling gap is positive and significant in each of the 8 calendar quarters and is present before the move of the exchange to a new trading platform in May 2025. A buyer at the next opening loses 0.7% against the market by the fifth closing. The pattern is consistent with delayed price discovery, but also with news, attention, and opening-auction overshooting; without news or order-book data, we cannot separate them. Most of the next-day effect arises in the opening auction, linking price-limit design to auction design.</w:t>
                            </w:r>
                          </w:p>
                          <w:p w14:paraId="106004E8" w14:textId="77777777" w:rsidR="005705D6" w:rsidRPr="0078120D" w:rsidRDefault="005705D6" w:rsidP="00C85EFE">
                            <w:pPr>
                              <w:spacing w:after="0" w:line="240" w:lineRule="auto"/>
                              <w:jc w:val="both"/>
                              <w:rPr>
                                <w:rFonts w:asciiTheme="minorHAnsi" w:eastAsia="Times New Roman" w:hAnsiTheme="minorHAnsi" w:cstheme="minorHAnsi"/>
                                <w:sz w:val="8"/>
                                <w:szCs w:val="8"/>
                                <w:lang w:val="en-US" w:eastAsia="es-MX"/>
                              </w:rPr>
                            </w:pPr>
                          </w:p>
                          <w:p w14:paraId="4EA8DF3E" w14:textId="66CA68A7" w:rsidR="005705D6" w:rsidRPr="007B2E86" w:rsidRDefault="00A633A5" w:rsidP="002504A6">
                            <w:pPr>
                              <w:spacing w:after="0" w:line="240" w:lineRule="auto"/>
                              <w:ind w:right="-28"/>
                              <w:rPr>
                                <w:rFonts w:cstheme="minorHAnsi"/>
                                <w:sz w:val="20"/>
                                <w:szCs w:val="20"/>
                                <w:lang w:val="en-US"/>
                              </w:rPr>
                            </w:pPr>
                            <w:r>
                              <w:rPr>
                                <w:rFonts w:asciiTheme="minorHAnsi" w:hAnsiTheme="minorHAnsi" w:cstheme="minorHAnsi"/>
                                <w:b/>
                                <w:iCs/>
                                <w:color w:val="000000" w:themeColor="text1"/>
                                <w:sz w:val="20"/>
                                <w:szCs w:val="20"/>
                                <w:lang w:val="en-US"/>
                              </w:rPr>
                              <w:t>Keywords</w:t>
                            </w:r>
                            <w:r>
                              <w:rPr>
                                <w:rFonts w:asciiTheme="minorHAnsi" w:hAnsiTheme="minorHAnsi" w:cstheme="minorHAnsi"/>
                                <w:b/>
                                <w:iCs/>
                                <w:color w:val="000000" w:themeColor="text1"/>
                                <w:sz w:val="20"/>
                                <w:szCs w:val="20"/>
                                <w:lang w:val="hr-HR"/>
                              </w:rPr>
                              <w:t>:</w:t>
                            </w:r>
                            <w:r>
                              <w:rPr>
                                <w:rFonts w:asciiTheme="minorHAnsi" w:hAnsiTheme="minorHAnsi" w:cstheme="minorHAnsi"/>
                                <w:iCs/>
                                <w:color w:val="000000" w:themeColor="text1"/>
                                <w:sz w:val="20"/>
                                <w:szCs w:val="20"/>
                                <w:lang w:val="hr-HR"/>
                              </w:rPr>
                              <w:t xml:space="preserve"> Market microstructure, Multiple testing, False discovery rate, Call auction, Emerging markets, Ho Chi Minh Stock Exchange.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608016" id="_x0000_t202" coordsize="21600,21600" o:spt="202" path="m,l,21600r21600,l21600,xe">
                <v:stroke joinstyle="miter"/>
                <v:path gradientshapeok="t" o:connecttype="rect"/>
              </v:shapetype>
              <v:shape id="Caixa de texto 23" o:spid="_x0000_s1026" type="#_x0000_t202" style="position:absolute;margin-left:0;margin-top:3.55pt;width:510pt;height:259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sxWdmwIAAM4FAAAOAAAAZHJzL2Uyb0RvYy54bWysVFtv0zAUfkfiP1h+Z0kvuxAtncrGENLY Jja0Z9exWwvHx9huk/LrOXaSthvwMMRLcnzu5zuX84u21mQjnFdgSjo6yikRhkOlzLKk3x6v351R 4gMzFdNgREm3wtOL2ds3540txBhWoCvhCDoxvmhsSVch2CLLPF+JmvkjsMKgUIKrWcCnW2aVYw16 r3U2zvOTrAFXWQdceI/cq05IZ8m/lIKHOym9CESXFHML6evSdxG/2eycFUvH7ErxPg32D1nUTBkM unN1xQIja6d+c1Ur7sCDDEcc6gykVFykGrCaUf6imocVsyLVguB4u4PJ/z+3/HbzYO8dCe0HaLGB EZDG+sIjM9bTSlfHP2ZKUI4QbnewiTYQjsyT6elpnqOIo2w8mkxO8IF+sr25dT58ElCTSJTUYV8S XGxz40OnOqjEaB60qq6V1ukRZ0Fcakc2DLvIOBcmjJO5XtdfoOr4OA1dWFYgG7vesc8GNmaTpip6 Srk9C6INabCSyXGeHD+Tebdc7MKfTUbH+ce+vAM1dK9NTFekqevL2kOZqLDVIupo81VIoqqE6F9r TM1IflE7aklE5DWGvf4+q9cYd3UMkcGEnXGtDLgOpuetqb4PKctOH3E+qDuSoV20/YgtoNri5Dno ltJbfq1wOm6YD/fM4RbiROFlCXf4kRqwPdBTlKzA/fwTP+rjcqCUkga3uqT+x5o5QYn+bHBt3o+m 03gG0mN6fDrGhzuULA4lZl1fAo7cCG+Y5YmM+kEPpHRQP+EBmseoKGKGY+yShoG8DN2twQPGxXye lHDxLQs35sHy6Dp2J87+Y/vEnO0XJOBu3cKw/6x4sSedbrQ0MF8HkCotUQS4Q7UHHo9GGvX+wMWr dPhOWvszPPsFAAD//wMAUEsDBBQABgAIAAAAIQDWYp9Z3wAAAAwBAAAPAAAAZHJzL2Rvd25yZXYu eG1sTI/bSsNAEIbvBd9hGcE7u0lbbEkzKVHxShCtPsA2OznY7GzIbtv49p1e6c3A8PMfvnw7uV6d aAydZ4R0loAirrztuEH4/np9WIMK0bA1vWdC+KUA2+L2JjeZ9Wf+pNMuNkpCOGQGoY1xyLQOVUvO hJkfiEWr/ehMlHdstB3NWcJdr+dJ8qid6VgaWjPQc0vVYXd0CD+trXV4eivL6n2ecr368OtDiXh/ N71s5JQbUJGm+OeAK4Psh0KG7f2RbVA9gtBEhFUK6iom0ghqj7BYLlLQRa7/QxQXAAAA//8DAFBL AQItABQABgAIAAAAIQC2gziS/gAAAOEBAAATAAAAAAAAAAAAAAAAAAAAAABbQ29udGVudF9UeXBl c10ueG1sUEsBAi0AFAAGAAgAAAAhADj9If/WAAAAlAEAAAsAAAAAAAAAAAAAAAAALwEAAF9yZWxz Ly5yZWxzUEsBAi0AFAAGAAgAAAAhAMizFZ2bAgAAzgUAAA4AAAAAAAAAAAAAAAAALgIAAGRycy9l Mm9Eb2MueG1sUEsBAi0AFAAGAAgAAAAhANZin1nfAAAADAEAAA8AAAAAAAAAAAAAAAAA9QQAAGRy cy9kb3ducmV2LnhtbFBLBQYAAAAABAAEAPMAAAABBgAAAAA= " fillcolor="#f2dbdb [661]" strokecolor="#83150e" strokeweight=".5pt">
                <v:textbox>
                  <w:txbxContent>
                    <w:p w14:paraId="6F763DD0" w14:textId="262E42C9" w:rsidR="007010C3" w:rsidRDefault="00A633A5" w:rsidP="001A2274">
                      <w:pPr>
                        <w:spacing w:after="0" w:line="240" w:lineRule="auto"/>
                        <w:ind w:right="-46"/>
                        <w:jc w:val="both"/>
                        <w:rPr>
                          <w:rFonts w:asciiTheme="minorHAnsi" w:hAnsiTheme="minorHAnsi" w:cstheme="minorHAnsi"/>
                          <w:color w:val="000000" w:themeColor="text1"/>
                          <w:sz w:val="20"/>
                          <w:szCs w:val="20"/>
                          <w:lang w:val="en-US"/>
                        </w:rPr>
                      </w:pPr>
                      <w:r>
                        <w:rPr>
                          <w:rFonts w:asciiTheme="minorHAnsi" w:hAnsiTheme="minorHAnsi" w:cstheme="minorHAnsi"/>
                          <w:b/>
                          <w:color w:val="000000" w:themeColor="text1"/>
                          <w:sz w:val="20"/>
                          <w:szCs w:val="20"/>
                          <w:lang w:val="en-US"/>
                        </w:rPr>
                        <w:t>Abstract</w:t>
                      </w:r>
                      <w:r>
                        <w:rPr>
                          <w:rFonts w:asciiTheme="minorHAnsi" w:hAnsiTheme="minorHAnsi" w:cstheme="minorHAnsi"/>
                          <w:color w:val="000000" w:themeColor="text1"/>
                          <w:sz w:val="20"/>
                          <w:szCs w:val="20"/>
                          <w:lang w:val="en-US"/>
                        </w:rPr>
                        <w:t xml:space="preserve"> Daily price limits aim to cool markets but can delay price discovery. Few studies trace prices after limit closes in emerging markets, and among the studies identified by our search, none tests the limit against other candidate signals. For 347 stocks on the Ho Chi Minh Stock Exchange from August 2024 to September 2026, we run 26 tests under false discovery rate control: four price limit event tests and 22 price- and volume-based characteristics. About 2.0% of stock-days close at the upper limit and 1.4% at the lower limit. We split the next-day abnormal return into an overnight gap and an intraday return and compare limit closes with stocks that moved almost as far. All four limit tests survived; none of the 22 lower-powered characteristic tests survived. After a ceiling close, the next-day abnormal return of 1.7% is an overnight gap of 2.2% less an intraday reversal of 0.5%, and the gap exceeds that after rises of 5% to 6.5% by 2.7 percentage points, and by 3.1 points when those stocks also closed at their daily high. After a floor close the overnight gap is −1.0%, and the size of the floor effect depends on the benchmark. The ceiling gap is positive and significant in each of the 8 calendar quarters and is present before the move of the exchange to a new trading platform in May 2025. A buyer at the next opening loses 0.7% against the market by the fifth closing. The pattern is consistent with delayed price discovery, but also with news, attention, and opening-auction overshooting; without news or order-book data, we cannot separate them. Most of the next-day effect arises in the opening auction, linking price-limit design to auction design.</w:t>
                      </w:r>
                    </w:p>
                    <w:p w14:paraId="106004E8" w14:textId="77777777" w:rsidR="005705D6" w:rsidRPr="0078120D" w:rsidRDefault="005705D6" w:rsidP="00C85EFE">
                      <w:pPr>
                        <w:spacing w:after="0" w:line="240" w:lineRule="auto"/>
                        <w:jc w:val="both"/>
                        <w:rPr>
                          <w:rFonts w:asciiTheme="minorHAnsi" w:eastAsia="Times New Roman" w:hAnsiTheme="minorHAnsi" w:cstheme="minorHAnsi"/>
                          <w:sz w:val="8"/>
                          <w:szCs w:val="8"/>
                          <w:lang w:val="en-US" w:eastAsia="es-MX"/>
                        </w:rPr>
                      </w:pPr>
                    </w:p>
                    <w:p w14:paraId="4EA8DF3E" w14:textId="66CA68A7" w:rsidR="005705D6" w:rsidRPr="007B2E86" w:rsidRDefault="00A633A5" w:rsidP="002504A6">
                      <w:pPr>
                        <w:spacing w:after="0" w:line="240" w:lineRule="auto"/>
                        <w:ind w:right="-28"/>
                        <w:rPr>
                          <w:rFonts w:cstheme="minorHAnsi"/>
                          <w:sz w:val="20"/>
                          <w:szCs w:val="20"/>
                          <w:lang w:val="en-US"/>
                        </w:rPr>
                      </w:pPr>
                      <w:r>
                        <w:rPr>
                          <w:rFonts w:asciiTheme="minorHAnsi" w:hAnsiTheme="minorHAnsi" w:cstheme="minorHAnsi"/>
                          <w:b/>
                          <w:iCs/>
                          <w:color w:val="000000" w:themeColor="text1"/>
                          <w:sz w:val="20"/>
                          <w:szCs w:val="20"/>
                          <w:lang w:val="en-US"/>
                        </w:rPr>
                        <w:t>Keywords</w:t>
                      </w:r>
                      <w:r>
                        <w:rPr>
                          <w:rFonts w:asciiTheme="minorHAnsi" w:hAnsiTheme="minorHAnsi" w:cstheme="minorHAnsi"/>
                          <w:b/>
                          <w:iCs/>
                          <w:color w:val="000000" w:themeColor="text1"/>
                          <w:sz w:val="20"/>
                          <w:szCs w:val="20"/>
                          <w:lang w:val="hr-HR"/>
                        </w:rPr>
                        <w:t>:</w:t>
                      </w:r>
                      <w:r>
                        <w:rPr>
                          <w:rFonts w:asciiTheme="minorHAnsi" w:hAnsiTheme="minorHAnsi" w:cstheme="minorHAnsi"/>
                          <w:iCs/>
                          <w:color w:val="000000" w:themeColor="text1"/>
                          <w:sz w:val="20"/>
                          <w:szCs w:val="20"/>
                          <w:lang w:val="hr-HR"/>
                        </w:rPr>
                        <w:t xml:space="preserve"> Market microstructure, Multiple testing, False discovery rate, Call auction, Emerging markets, Ho Chi Minh Stock Exchange.</w:t>
                      </w:r>
                    </w:p>
                  </w:txbxContent>
                </v:textbox>
                <w10:wrap type="topAndBottom" anchorx="margin"/>
              </v:shape>
            </w:pict>
          </mc:Fallback>
        </mc:AlternateConten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1. Introduction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 daily price limit prevents a stock from moving beyond a fixed band within one trading day. Exchanges in Tokyo, Taipei, Seoul, Shenzhen, and Ho Chi Minh City have used limits to cool markets after large shocks, and economists ask whether a limit protects prices or postpones their adjustments. The question is sharpest where limit closes are common and call auctions set opening and closing prices. The Ho Chi Minh Stock Exchange (HOSE) has both features: one 7% band applies to all stocks, and about 2.0% of stock-days in our event window close at the upper limit (a ceiling close; Section 2.2) and about 1.4% at the lower limit (a floor close).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Studies on band changes document the effects on volatility, liquidity, and crash risk (Jia et al., 2024; Lien et al., 2019; Qi, 2023), and account-level data show that large investors buy on the limit day and sell on the next (Chen et al., 2019). Among the studies identified by the search described in Supplementary Material S1, only Huang et al. (2001) described the overnight-then-intraday pattern after limit hits, and the records we could access have no magnitudes. None measures the overnight gap and intraday return after a limit close against a benchmark, places the limit result in a family of tests that controls for the other price-based signals a researcher could have examined, or examines the 2025 move of the HOSE to a new trading platform.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We estimate the abnormal return after the ceiling and floor close on the HOSE, split it into overnight gap and intraday return, and test whether an outside buyer can capture it. We place the four limit tests in a family of 26 tests with 22 price- and volume-based characteristics and control the false discovery rate (FDR; Benjamini &amp; Hochberg, 1995; Harvey et al., 2016).</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We make three contributions. First, we measure the overnight gap and the intraday return after limit closes, a pattern that Huang et al. (2001) describe qualitatively for Taiwan, and show that the ceiling effect is a gap of 2.2%, of which the following session reverses 24%. Second, we show that the ceiling gap is 2.7 percentage points larger than after rises of 5% to 6.5% that stop short of the limit, and that the contrast survives when the comparison stocks also close at their daily high. Third, we show that all four limit tests survive a multiplicity-controlled family in which no characteristic survives and that a buyer at the next open loses 0.7% against the market by the fifth close. We also split the events at the 2025 platform change.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1.1. Related literature and hypotheses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Theory.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Models predict protection or distortion, depending on the source of the shock. Brennan (1986) rationalizes limits in futures markets, Kodres and O’Brien (1994) show that well-chosen limits can be Pareto superior when fundamental news drives prices because they partly insure traders against implementation risk, and Greenwald and Stein (1991) link crashes to imperfect transactional mechanisms. Subrahmanyam (1994) shows that halts can advance trades in time and raise price variability, and in the model of Chen et al. (2024), volatility rises as the price nears a circuit breaker, a magnet effect. A limit that only delays adjustment leaves a predictable next-day continuation, which the return after a limit close can reveal.</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Classic evidence.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Kim and Rhee (1997) find support in Tokyo for three criticisms of limits: they spill volatility into later days, delay price discovery, and interfere with trading. Bildik and Gülay (2006) find the same in Istanbul, with stronger evidence from price locks than from limit moves alone. Chen (1993) finds that serial correlation falls as the Taiwanese limit widens, which implies delayed adjustment under the narrower limit. Berkman and Lee (2002) examine volatility and trading activity around a revision of the Korean limit system. Huang et al. (2001) report for Taiwan that the overnight overreaction after limit hits reverses during the following day, the timing pattern we test. Cho et al. (2003) find a magnet effect: prices accelerate toward the upper limit in five-minute Taiwanese datasets. Kim and Limpaphayom (2000) show that small, volatile, high-volume stocks hit limits more often, whereas Deb et al. (2013) argue that rigid limits in Tokyo can disrupt price discovery and liquidity provision.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Band changes and investor-level data.</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After ChiNext widened its band from 10% to 20% in August 2020, Qi (2023) confirms delayed price discovery, volatility spillover, and trading interference, stronger at the lower limit and with no magnet effect; Zhang et al. (2022) find higher liquidity, volatility, and probability of informed trading; and Jia et al. (2024) find lower crash risk. Wider bands raised spreads and intraday volatility but improved execution quality in Taiwan (Lien et al., 2019) and raised intraday realized variance in Korea (Kim &amp; Jun, 2019). In Shenzhen account data, large investors buy on the day a stock hits the 10% upper limit and sell the next day, and their limit-day net buying predicts stronger long-run reversal (Chen et al., 2019). Stocks with large limit exposure attract attention and earn lower future returns, most where retail investors hold many shares (Lin et al., 2023), and stocks with frequent upper-limit hits also earn lower future returns (Zeng et al., 2024). Liang and Hu (2025) forecast limit hits; the record we could access reports no returns after the hit.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Overnight and intraday returns.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Kelly and Clark (2011) show for index funds that overnight and intraday returns differ. In U.S. stocks, positive overnight returns are followed by intraday reversals, concentrated among stocks with recent retail attention (Berkman et al., 2012). Aboody et al. (2018) tie overnight persistence to sentiment, Lou et al. (2019) find overnight and intraday continuation with an offsetting cross-period reversal, Akbas et al. (2022) find that persistent positive-overnight, negative-daytime patterns predict higher returns, Bogousslavsky (2021) links the split to margin and lending costs, and Lu et al. (2023) link it to market makers who absorb retail imbalances near the open. In China, overnight returns are negative on average, which Qiao and Dam (2020) link to the T+1 rule that bars selling shares on the day of purchase; the lottery-like anomaly arises mainly overnight (Gu et al., 2025); day-night anomalies concentrate at the open and close (Qiu et al., 2025); and small retail investors show weak stock selection (Jones et al., 2025).</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Multiple testing and weekly regressions.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Harvey et al. (2016) argue that a new factor needs a</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-statistic above 3.0, Harvey and Liu (2020) tie the hurdle to a chosen FDR, Chordia et al. (2020) put multiple-testing thresholds for cross-sectional regressions near 3.4, and Hou et al. (2020) find that, with microcaps mitigated, 65% of 452 anomalies fail the single-test hurdle of 1.96. Petersen (2009) compares standard-error estimators for panel data, which motivates our alternative clusters, and Gutierrez and Kelley (2008) study weekly returns, the frequency of our regressions. For Vietnam, Huang et al. (2023) find a size effect and an earnings-to-price effect; our search (Supplementary Material S1) identified no peer-reviewed study of post-limit returns on HOSE.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Gap and hypotheses.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These studies compare band regimes, sort stocks by limit exposure, or split overnight and intraday returns for all stocks. Among the studies our search identified, only Huang et al. (2001) link limit hits to the overnight-intraday split, and none controls for multiple testing or uses the 2025 platform change. If a limit delays price discovery, a ceiling close predicts a positive next-day abnormal return and a floor close a negative one (H</w:t>
      </w:r>
      <w:r>
        <w:rPr>
          <w:rFonts w:asciiTheme="minorHAnsi" w:eastAsia="Georgia" w:hAnsiTheme="minorHAnsi" w:cstheme="minorHAnsi"/>
          <w:color w:val="000000"/>
          <w:sz w:val="20"/>
          <w:szCs w:val="20"/>
          <w:bdr w:val="nil"/>
          <w:vertAlign w:val="subscript"/>
          <w:lang w:val="hr-HR" w:eastAsia="es-MX"/>
        </w:rPr>
        <w:t xml:space="preserve">1</w:t>
      </w:r>
      <w:r>
        <w:rPr>
          <w:rFonts w:asciiTheme="minorHAnsi" w:eastAsia="Georgia" w:hAnsiTheme="minorHAnsi" w:cstheme="minorHAnsi"/>
          <w:color w:val="000000"/>
          <w:sz w:val="20"/>
          <w:szCs w:val="20"/>
          <w:bdr w:val="nil"/>
          <w:lang w:val="hr-HR" w:eastAsia="es-MX"/>
        </w:rPr>
        <w:t xml:space="preserve">). If the opening auction absorbs the blocked demand, the effect concentrates in the overnight gap (H</w:t>
      </w:r>
      <w:r>
        <w:rPr>
          <w:rFonts w:asciiTheme="minorHAnsi" w:eastAsia="Georgia" w:hAnsiTheme="minorHAnsi" w:cstheme="minorHAnsi"/>
          <w:color w:val="000000"/>
          <w:sz w:val="20"/>
          <w:szCs w:val="20"/>
          <w:bdr w:val="nil"/>
          <w:vertAlign w:val="subscript"/>
          <w:lang w:val="hr-HR" w:eastAsia="es-MX"/>
        </w:rPr>
        <w:t xml:space="preserve">2</w:t>
      </w:r>
      <w:r>
        <w:rPr>
          <w:rFonts w:asciiTheme="minorHAnsi" w:eastAsia="Georgia" w:hAnsiTheme="minorHAnsi" w:cstheme="minorHAnsi"/>
          <w:color w:val="000000"/>
          <w:sz w:val="20"/>
          <w:szCs w:val="20"/>
          <w:bdr w:val="nil"/>
          <w:lang w:val="hr-HR" w:eastAsia="es-MX"/>
        </w:rPr>
        <w:t xml:space="preserve">). If the limit itself drives the gap, the gap after a limit close exceeds the gap after moves of similar size that stop short of the limit (H</w:t>
      </w:r>
      <w:r>
        <w:rPr>
          <w:rFonts w:asciiTheme="minorHAnsi" w:eastAsia="Georgia" w:hAnsiTheme="minorHAnsi" w:cstheme="minorHAnsi"/>
          <w:color w:val="000000"/>
          <w:sz w:val="20"/>
          <w:szCs w:val="20"/>
          <w:bdr w:val="nil"/>
          <w:vertAlign w:val="subscript"/>
          <w:lang w:val="hr-HR" w:eastAsia="es-MX"/>
        </w:rPr>
        <w:t xml:space="preserve">3</w:t>
      </w:r>
      <w:r>
        <w:rPr>
          <w:rFonts w:asciiTheme="minorHAnsi" w:eastAsia="Georgia" w:hAnsiTheme="minorHAnsi" w:cstheme="minorHAnsi"/>
          <w:color w:val="000000"/>
          <w:sz w:val="20"/>
          <w:szCs w:val="20"/>
          <w:bdr w:val="nil"/>
          <w:lang w:val="hr-HR" w:eastAsia="es-MX"/>
        </w:rPr>
        <w:t xml:space="preserve">). An investor who buys at the next open earns no positive abnormal return through the fifth trading day (H</w:t>
      </w:r>
      <w:r>
        <w:rPr>
          <w:rFonts w:asciiTheme="minorHAnsi" w:eastAsia="Georgia" w:hAnsiTheme="minorHAnsi" w:cstheme="minorHAnsi"/>
          <w:color w:val="000000"/>
          <w:sz w:val="20"/>
          <w:szCs w:val="20"/>
          <w:bdr w:val="nil"/>
          <w:vertAlign w:val="subscript"/>
          <w:lang w:val="hr-HR" w:eastAsia="es-MX"/>
        </w:rPr>
        <w:t xml:space="preserve">4</w:t>
      </w:r>
      <w:r>
        <w:rPr>
          <w:rFonts w:asciiTheme="minorHAnsi" w:eastAsia="Georgia" w:hAnsiTheme="minorHAnsi" w:cstheme="minorHAnsi"/>
          <w:color w:val="000000"/>
          <w:sz w:val="20"/>
          <w:szCs w:val="20"/>
          <w:bdr w:val="nil"/>
          <w:lang w:val="hr-HR" w:eastAsia="es-MX"/>
        </w:rPr>
        <w:t xml:space="preserve">). A limit effect that survives the screen applied to all 22 characteristics is more credible than a single large estimate.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2. Materials and Methods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2.1. Data and institutional setting</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Data source.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On 24 September 2026, we downloaded daily open, high, low, close, and volume series for all HOSE-listed stocks with the vnstock Python library (version 4.0.4; source Vietcap Securities, VCI). A listing file from the same source and date (743 rows, all instrument types) defines the universe. The retrieval returned 405 HOSE stock files with records through 23 September 2026, and we use the 519 trading days from 21 August 2024. Prices are in thousand dong. The vendor does not document corporate-action adjustment, and the files contain no market capitalization, order book, investor type, or news.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Sample.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We keep the 347 stocks with at least 95% non-missing closes, 178,773 stock-days in all. The daily close-to-close return has a mean of 0.018%, a median of 0.00%, and a standard deviation of 2.10%. Dollar volume (price times shares traded, in dong) is skewed, with a median of 2.6 billion dong per stock-day and a mean of 51.2 billion. The stocks span 18 two-digit Industry Classification Benchmark sectors; the largest holds 15% of them.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Institutional setting.</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HOSE sets a daily price limit of 7% around the reference price, the previous close on normal trading days (Ho Chi Minh City Securities Corporation [HSC], 2025). On 5 May 2025, HOSE moved to the trading platform of the Korea Exchange (KRX). The band stayed unchanged, but at-the-open and at-the-close orders lost their priority over limit orders in the opening and closing call auctions (HSC, 2025; Viet Nam News, 2025), whose prices define our events and gaps. Treating the band, tick sizes, and reference-price rule as assumptions, we check the band against the data: 1.98% of stock-days fall between +6.5% and +7.1% and 1.30% between −7.1% and −6.5%, against 0.29% between +6.0% and +6.5%, a pile-up consistent with a 7% band.</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2.2. Research design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Returns and events.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For stock</w:t>
      </w:r>
      <w:r>
        <w:rPr>
          <w:rFonts w:asciiTheme="minorHAnsi" w:eastAsia="Georgia" w:hAnsiTheme="minorHAnsi" w:cstheme="minorHAnsi"/>
          <w:color w:val="000000"/>
          <w:sz w:val="20"/>
          <w:szCs w:val="20"/>
          <w:bdr w:val="nil"/>
          <w:lang w:val="hr-HR" w:eastAsia="es-MX"/>
        </w:rPr>
        <w:t xml:space="preserve"> </w:t>
      </w:r>
      <m:oMath>
        <m:r>
          <m:t>i</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on trading day</w:t>
      </w:r>
      <w:r>
        <w:rPr>
          <w:rFonts w:asciiTheme="minorHAnsi" w:eastAsia="Georgia" w:hAnsiTheme="minorHAnsi" w:cstheme="minorHAnsi"/>
          <w:color w:val="000000"/>
          <w:sz w:val="20"/>
          <w:szCs w:val="20"/>
          <w:bdr w:val="nil"/>
          <w:lang w:val="hr-HR" w:eastAsia="es-MX"/>
        </w:rPr>
        <w:t xml:space="preserve"> </w:t>
      </w:r>
      <m:oMath>
        <m:r>
          <m:t>d</m:t>
        </m:r>
      </m:oMath>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m:oMath>
        <m:sSub>
          <m:e>
            <m:r>
              <m:t>C</m:t>
            </m:r>
          </m:e>
          <m:sub>
            <m:r>
              <m:t>i</m:t>
            </m:r>
            <m:r>
              <m:rPr>
                <m:sty m:val="p"/>
              </m:rPr>
              <m:t>,</m:t>
            </m:r>
            <m:r>
              <m:t>d</m:t>
            </m:r>
          </m:sub>
        </m:sSub>
      </m:oMath>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m:oMath>
        <m:sSub>
          <m:e>
            <m:r>
              <m:t>O</m:t>
            </m:r>
          </m:e>
          <m:sub>
            <m:r>
              <m:t>i</m:t>
            </m:r>
            <m:r>
              <m:rPr>
                <m:sty m:val="p"/>
              </m:rPr>
              <m:t>,</m:t>
            </m:r>
            <m:r>
              <m:t>d</m:t>
            </m:r>
          </m:sub>
        </m:sSub>
      </m:oMath>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m:oMath>
        <m:sSub>
          <m:e>
            <m:r>
              <m:t>H</m:t>
            </m:r>
          </m:e>
          <m:sub>
            <m:r>
              <m:t>i</m:t>
            </m:r>
            <m:r>
              <m:rPr>
                <m:sty m:val="p"/>
              </m:rPr>
              <m:t>,</m:t>
            </m:r>
            <m:r>
              <m:t>d</m:t>
            </m:r>
          </m:sub>
        </m:sSub>
      </m:oMath>
      <w:r>
        <w:rPr>
          <w:rFonts w:asciiTheme="minorHAnsi" w:eastAsia="Georgia" w:hAnsiTheme="minorHAnsi" w:cstheme="minorHAnsi"/>
          <w:color w:val="000000"/>
          <w:sz w:val="20"/>
          <w:szCs w:val="20"/>
          <w:bdr w:val="nil"/>
          <w:lang w:val="hr-HR" w:eastAsia="es-MX"/>
        </w:rPr>
        <w:t xml:space="preserve">, and</w:t>
      </w:r>
      <w:r>
        <w:rPr>
          <w:rFonts w:asciiTheme="minorHAnsi" w:eastAsia="Georgia" w:hAnsiTheme="minorHAnsi" w:cstheme="minorHAnsi"/>
          <w:color w:val="000000"/>
          <w:sz w:val="20"/>
          <w:szCs w:val="20"/>
          <w:bdr w:val="nil"/>
          <w:lang w:val="hr-HR" w:eastAsia="es-MX"/>
        </w:rPr>
        <w:t xml:space="preserve"> </w:t>
      </w:r>
      <m:oMath>
        <m:sSub>
          <m:e>
            <m:r>
              <m:t>L</m:t>
            </m:r>
          </m:e>
          <m:sub>
            <m:r>
              <m:t>i</m:t>
            </m:r>
            <m:r>
              <m:rPr>
                <m:sty m:val="p"/>
              </m:rPr>
              <m:t>,</m:t>
            </m:r>
            <m:r>
              <m:t>d</m:t>
            </m:r>
          </m:sub>
        </m:sSub>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are the close, open, high, and low prices, and the close-to-close return is</w:t>
      </w:r>
    </w:p>
    <w:p>
      <w:pPr/>
      <m:oMathPara>
        <m:oMathParaPr>
          <m:jc m:val="center"/>
        </m:oMathParaPr>
        <m:oMath>
          <m:sSub>
            <m:e>
              <m:r>
                <m:t>R</m:t>
              </m:r>
            </m:e>
            <m:sub>
              <m:r>
                <m:t>i</m:t>
              </m:r>
              <m:r>
                <m:rPr>
                  <m:sty m:val="p"/>
                </m:rPr>
                <m:t>,</m:t>
              </m:r>
              <m:r>
                <m:t>d</m:t>
              </m:r>
            </m:sub>
          </m:sSub>
          <m:r>
            <m:rPr>
              <m:sty m:val="p"/>
            </m:rPr>
            <m:t>=</m:t>
          </m:r>
          <m:f>
            <m:fPr>
              <m:type m:val="bar"/>
            </m:fPr>
            <m:num>
              <m:sSub>
                <m:e>
                  <m:r>
                    <m:t>C</m:t>
                  </m:r>
                </m:e>
                <m:sub>
                  <m:r>
                    <m:t>i</m:t>
                  </m:r>
                  <m:r>
                    <m:rPr>
                      <m:sty m:val="p"/>
                    </m:rPr>
                    <m:t>,</m:t>
                  </m:r>
                  <m:r>
                    <m:t>d</m:t>
                  </m:r>
                </m:sub>
              </m:sSub>
            </m:num>
            <m:den>
              <m:sSub>
                <m:e>
                  <m:r>
                    <m:t>C</m:t>
                  </m:r>
                </m:e>
                <m:sub>
                  <m:r>
                    <m:t>i</m:t>
                  </m:r>
                  <m:r>
                    <m:rPr>
                      <m:sty m:val="p"/>
                    </m:rPr>
                    <m:t>,</m:t>
                  </m:r>
                  <m:r>
                    <m:t>d</m:t>
                  </m:r>
                  <m:r>
                    <m:rPr>
                      <m:sty m:val="p"/>
                    </m:rPr>
                    <m:t>−</m:t>
                  </m:r>
                  <m:r>
                    <m:t>1</m:t>
                  </m:r>
                </m:sub>
              </m:sSub>
            </m:den>
          </m:f>
          <m:r>
            <m:rPr>
              <m:sty m:val="p"/>
            </m:rPr>
            <m:t>−</m:t>
          </m:r>
          <m:r>
            <m:t>1</m:t>
          </m:r>
          <m:r>
            <m:rPr>
              <m:sty m:val="p"/>
            </m:rPr>
            <m:t>.</m:t>
          </m:r>
          <m:r>
            <m:t>  </m:t>
          </m:r>
          <m:r>
            <m:rPr>
              <m:nor/>
            </m:rPr>
            <m:t>(1)</m:t>
          </m:r>
        </m:oMath>
      </m:oMathPara>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 ceiling event has a return (Equation (1)) of</w:t>
      </w:r>
      <w:r>
        <w:rPr>
          <w:rFonts w:asciiTheme="minorHAnsi" w:eastAsia="Georgia" w:hAnsiTheme="minorHAnsi" w:cstheme="minorHAnsi"/>
          <w:color w:val="000000"/>
          <w:sz w:val="20"/>
          <w:szCs w:val="20"/>
          <w:bdr w:val="nil"/>
          <w:lang w:val="hr-HR" w:eastAsia="es-MX"/>
        </w:rPr>
        <w:t xml:space="preserve"> </w:t>
      </w:r>
      <m:oMath>
        <m:sSub>
          <m:e>
            <m:r>
              <m:t>R</m:t>
            </m:r>
          </m:e>
          <m:sub>
            <m:r>
              <m:t>i</m:t>
            </m:r>
            <m:r>
              <m:rPr>
                <m:sty m:val="p"/>
              </m:rPr>
              <m:t>,</m:t>
            </m:r>
            <m:r>
              <m:t>d</m:t>
            </m:r>
          </m:sub>
        </m:sSub>
        <m:r>
          <m:rPr>
            <m:sty m:val="p"/>
          </m:rPr>
          <m:t>≥</m:t>
        </m:r>
        <m:r>
          <m:t>0.065</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and</w:t>
      </w:r>
      <w:r>
        <w:rPr>
          <w:rFonts w:asciiTheme="minorHAnsi" w:eastAsia="Georgia" w:hAnsiTheme="minorHAnsi" w:cstheme="minorHAnsi"/>
          <w:color w:val="000000"/>
          <w:sz w:val="20"/>
          <w:szCs w:val="20"/>
          <w:bdr w:val="nil"/>
          <w:lang w:val="hr-HR" w:eastAsia="es-MX"/>
        </w:rPr>
        <w:t xml:space="preserve"> </w:t>
      </w:r>
      <m:oMath>
        <m:sSub>
          <m:e>
            <m:r>
              <m:t>C</m:t>
            </m:r>
          </m:e>
          <m:sub>
            <m:r>
              <m:t>i</m:t>
            </m:r>
            <m:r>
              <m:rPr>
                <m:sty m:val="p"/>
              </m:rPr>
              <m:t>,</m:t>
            </m:r>
            <m:r>
              <m:t>d</m:t>
            </m:r>
          </m:sub>
        </m:sSub>
        <m:r>
          <m:rPr>
            <m:sty m:val="p"/>
          </m:rPr>
          <m:t>=</m:t>
        </m:r>
        <m:sSub>
          <m:e>
            <m:r>
              <m:t>H</m:t>
            </m:r>
          </m:e>
          <m:sub>
            <m:r>
              <m:t>i</m:t>
            </m:r>
            <m:r>
              <m:rPr>
                <m:sty m:val="p"/>
              </m:rPr>
              <m:t>,</m:t>
            </m:r>
            <m:r>
              <m:t>d</m:t>
            </m:r>
          </m:sub>
        </m:sSub>
      </m:oMath>
      <w:r>
        <w:rPr>
          <w:rFonts w:asciiTheme="minorHAnsi" w:eastAsia="Georgia" w:hAnsiTheme="minorHAnsi" w:cstheme="minorHAnsi"/>
          <w:color w:val="000000"/>
          <w:sz w:val="20"/>
          <w:szCs w:val="20"/>
          <w:bdr w:val="nil"/>
          <w:lang w:val="hr-HR" w:eastAsia="es-MX"/>
        </w:rPr>
        <w:t xml:space="preserve">, and a floor event has</w:t>
      </w:r>
      <w:r>
        <w:rPr>
          <w:rFonts w:asciiTheme="minorHAnsi" w:eastAsia="Georgia" w:hAnsiTheme="minorHAnsi" w:cstheme="minorHAnsi"/>
          <w:color w:val="000000"/>
          <w:sz w:val="20"/>
          <w:szCs w:val="20"/>
          <w:bdr w:val="nil"/>
          <w:lang w:val="hr-HR" w:eastAsia="es-MX"/>
        </w:rPr>
        <w:t xml:space="preserve"> </w:t>
      </w:r>
      <m:oMath>
        <m:sSub>
          <m:e>
            <m:r>
              <m:t>R</m:t>
            </m:r>
          </m:e>
          <m:sub>
            <m:r>
              <m:t>i</m:t>
            </m:r>
            <m:r>
              <m:rPr>
                <m:sty m:val="p"/>
              </m:rPr>
              <m:t>,</m:t>
            </m:r>
            <m:r>
              <m:t>d</m:t>
            </m:r>
          </m:sub>
        </m:sSub>
        <m:r>
          <m:rPr>
            <m:sty m:val="p"/>
          </m:rPr>
          <m:t>≤</m:t>
        </m:r>
        <m:r>
          <m:rPr>
            <m:sty m:val="p"/>
          </m:rPr>
          <m:t>−</m:t>
        </m:r>
        <m:r>
          <m:t>0.065</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and</w:t>
      </w:r>
      <w:r>
        <w:rPr>
          <w:rFonts w:asciiTheme="minorHAnsi" w:eastAsia="Georgia" w:hAnsiTheme="minorHAnsi" w:cstheme="minorHAnsi"/>
          <w:color w:val="000000"/>
          <w:sz w:val="20"/>
          <w:szCs w:val="20"/>
          <w:bdr w:val="nil"/>
          <w:lang w:val="hr-HR" w:eastAsia="es-MX"/>
        </w:rPr>
        <w:t xml:space="preserve"> </w:t>
      </w:r>
      <m:oMath>
        <m:sSub>
          <m:e>
            <m:r>
              <m:t>C</m:t>
            </m:r>
          </m:e>
          <m:sub>
            <m:r>
              <m:t>i</m:t>
            </m:r>
            <m:r>
              <m:rPr>
                <m:sty m:val="p"/>
              </m:rPr>
              <m:t>,</m:t>
            </m:r>
            <m:r>
              <m:t>d</m:t>
            </m:r>
          </m:sub>
        </m:sSub>
        <m:r>
          <m:rPr>
            <m:sty m:val="p"/>
          </m:rPr>
          <m:t>=</m:t>
        </m:r>
        <m:sSub>
          <m:e>
            <m:r>
              <m:t>L</m:t>
            </m:r>
          </m:e>
          <m:sub>
            <m:r>
              <m:t>i</m:t>
            </m:r>
            <m:r>
              <m:rPr>
                <m:sty m:val="p"/>
              </m:rPr>
              <m:t>,</m:t>
            </m:r>
            <m:r>
              <m:t>d</m:t>
            </m:r>
          </m:sub>
        </m:sSub>
      </m:oMath>
      <w:r>
        <w:rPr>
          <w:rFonts w:asciiTheme="minorHAnsi" w:eastAsia="Georgia" w:hAnsiTheme="minorHAnsi" w:cstheme="minorHAnsi"/>
          <w:color w:val="000000"/>
          <w:sz w:val="20"/>
          <w:szCs w:val="20"/>
          <w:bdr w:val="nil"/>
          <w:lang w:val="hr-HR" w:eastAsia="es-MX"/>
        </w:rPr>
        <w:t xml:space="preserve">. The event window runs from day 61, once a 60-day volume history exists, to five days before the sample end. The market return weights stocks by dollar volume,</w:t>
      </w:r>
    </w:p>
    <w:p>
      <w:pPr/>
      <m:oMathPara>
        <m:oMathParaPr>
          <m:jc m:val="center"/>
        </m:oMathParaPr>
        <m:oMath>
          <m:sSubSup>
            <m:e>
              <m:r>
                <m:t>R</m:t>
              </m:r>
            </m:e>
            <m:sub>
              <m:r>
                <m:t>d</m:t>
              </m:r>
            </m:sub>
            <m:sup>
              <m:r>
                <m:rPr>
                  <m:nor/>
                </m:rPr>
                <m:t>mkt</m:t>
              </m:r>
            </m:sup>
          </m:sSubSup>
          <m:r>
            <m:rPr>
              <m:sty m:val="p"/>
            </m:rPr>
            <m:t>=</m:t>
          </m:r>
          <m:nary>
            <m:naryPr>
              <m:chr m:val="∑"/>
              <m:limLoc m:val="undOvr"/>
              <m:subHide m:val="off"/>
              <m:supHide m:val="on"/>
            </m:naryPr>
            <m:sub>
              <m:r>
                <m:t>j</m:t>
              </m:r>
            </m:sub>
            <m:sup>
              <m:r>
                <m:t>​</m:t>
              </m:r>
            </m:sup>
            <m:e>
              <m:sSub>
                <m:e>
                  <m:r>
                    <m:t>w</m:t>
                  </m:r>
                </m:e>
                <m:sub>
                  <m:r>
                    <m:t>j</m:t>
                  </m:r>
                  <m:r>
                    <m:rPr>
                      <m:sty m:val="p"/>
                    </m:rPr>
                    <m:t>,</m:t>
                  </m:r>
                  <m:r>
                    <m:t>d</m:t>
                  </m:r>
                </m:sub>
              </m:sSub>
            </m:e>
          </m:nary>
          <m:r>
            <m:t> </m:t>
          </m:r>
          <m:sSub>
            <m:e>
              <m:r>
                <m:t>R</m:t>
              </m:r>
            </m:e>
            <m:sub>
              <m:r>
                <m:t>j</m:t>
              </m:r>
              <m:r>
                <m:rPr>
                  <m:sty m:val="p"/>
                </m:rPr>
                <m:t>,</m:t>
              </m:r>
              <m:r>
                <m:t>d</m:t>
              </m:r>
            </m:sub>
          </m:sSub>
          <m:r>
            <m:rPr>
              <m:sty m:val="p"/>
            </m:rPr>
            <m:t>,</m:t>
          </m:r>
          <m:r>
            <m:t>  </m:t>
          </m:r>
          <m:sSub>
            <m:e>
              <m:r>
                <m:t>w</m:t>
              </m:r>
            </m:e>
            <m:sub>
              <m:r>
                <m:t>j</m:t>
              </m:r>
              <m:r>
                <m:rPr>
                  <m:sty m:val="p"/>
                </m:rPr>
                <m:t>,</m:t>
              </m:r>
              <m:r>
                <m:t>d</m:t>
              </m:r>
            </m:sub>
          </m:sSub>
          <m:r>
            <m:rPr>
              <m:sty m:val="p"/>
            </m:rPr>
            <m:t>=</m:t>
          </m:r>
          <m:f>
            <m:fPr>
              <m:type m:val="bar"/>
            </m:fPr>
            <m:num>
              <m:sSub>
                <m:e>
                  <m:bar>
                    <m:barPr>
                      <m:pos m:val="top"/>
                    </m:barPr>
                    <m:e>
                      <m:r>
                        <m:t>V</m:t>
                      </m:r>
                    </m:e>
                  </m:bar>
                </m:e>
                <m:sub>
                  <m:r>
                    <m:t>j</m:t>
                  </m:r>
                  <m:r>
                    <m:rPr>
                      <m:sty m:val="p"/>
                    </m:rPr>
                    <m:t>,</m:t>
                  </m:r>
                  <m:r>
                    <m:t>d</m:t>
                  </m:r>
                </m:sub>
              </m:sSub>
            </m:num>
            <m:den>
              <m:nary>
                <m:naryPr>
                  <m:chr m:val="∑"/>
                  <m:limLoc m:val="undOvr"/>
                  <m:subHide m:val="off"/>
                  <m:supHide m:val="on"/>
                </m:naryPr>
                <m:sub>
                  <m:r>
                    <m:t>l</m:t>
                  </m:r>
                </m:sub>
                <m:sup>
                  <m:r>
                    <m:t>​</m:t>
                  </m:r>
                </m:sup>
                <m:e>
                  <m:sSub>
                    <m:e>
                      <m:bar>
                        <m:barPr>
                          <m:pos m:val="top"/>
                        </m:barPr>
                        <m:e>
                          <m:r>
                            <m:t>V</m:t>
                          </m:r>
                        </m:e>
                      </m:bar>
                    </m:e>
                    <m:sub>
                      <m:r>
                        <m:t>l</m:t>
                      </m:r>
                      <m:r>
                        <m:rPr>
                          <m:sty m:val="p"/>
                        </m:rPr>
                        <m:t>,</m:t>
                      </m:r>
                      <m:r>
                        <m:t>d</m:t>
                      </m:r>
                    </m:sub>
                  </m:sSub>
                </m:e>
              </m:nary>
            </m:den>
          </m:f>
          <m:r>
            <m:rPr>
              <m:sty m:val="p"/>
            </m:rPr>
            <m:t>,</m:t>
          </m:r>
          <m:r>
            <m:t>  </m:t>
          </m:r>
          <m:r>
            <m:rPr>
              <m:nor/>
            </m:rPr>
            <m:t>(2)</m:t>
          </m:r>
        </m:oMath>
      </m:oMathPara>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where</w:t>
      </w:r>
      <w:r>
        <w:rPr>
          <w:rFonts w:asciiTheme="minorHAnsi" w:eastAsia="Georgia" w:hAnsiTheme="minorHAnsi" w:cstheme="minorHAnsi"/>
          <w:color w:val="000000"/>
          <w:sz w:val="20"/>
          <w:szCs w:val="20"/>
          <w:bdr w:val="nil"/>
          <w:lang w:val="hr-HR" w:eastAsia="es-MX"/>
        </w:rPr>
        <w:t xml:space="preserve"> </w:t>
      </w:r>
      <m:oMath>
        <m:r>
          <m:t>j</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and</w:t>
      </w:r>
      <w:r>
        <w:rPr>
          <w:rFonts w:asciiTheme="minorHAnsi" w:eastAsia="Georgia" w:hAnsiTheme="minorHAnsi" w:cstheme="minorHAnsi"/>
          <w:color w:val="000000"/>
          <w:sz w:val="20"/>
          <w:szCs w:val="20"/>
          <w:bdr w:val="nil"/>
          <w:lang w:val="hr-HR" w:eastAsia="es-MX"/>
        </w:rPr>
        <w:t xml:space="preserve"> </w:t>
      </w:r>
      <m:oMath>
        <m:r>
          <m:t>l</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run over stocks with a day-</w:t>
      </w:r>
      <m:oMath>
        <m:r>
          <m:t>d</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return and a full 60-day history, and</w:t>
      </w:r>
      <w:r>
        <w:rPr>
          <w:rFonts w:asciiTheme="minorHAnsi" w:eastAsia="Georgia" w:hAnsiTheme="minorHAnsi" w:cstheme="minorHAnsi"/>
          <w:color w:val="000000"/>
          <w:sz w:val="20"/>
          <w:szCs w:val="20"/>
          <w:bdr w:val="nil"/>
          <w:lang w:val="hr-HR" w:eastAsia="es-MX"/>
        </w:rPr>
        <w:t xml:space="preserve"> </w:t>
      </w:r>
      <m:oMath>
        <m:sSub>
          <m:e>
            <m:bar>
              <m:barPr>
                <m:pos m:val="top"/>
              </m:barPr>
              <m:e>
                <m:r>
                  <m:t>V</m:t>
                </m:r>
              </m:e>
            </m:bar>
          </m:e>
          <m:sub>
            <m:r>
              <m:t>j</m:t>
            </m:r>
            <m:r>
              <m:rPr>
                <m:sty m:val="p"/>
              </m:rPr>
              <m:t>,</m:t>
            </m:r>
            <m:r>
              <m:t>d</m:t>
            </m:r>
          </m:sub>
        </m:sSub>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the mean dollar volume of stock</w:t>
      </w:r>
      <w:r>
        <w:rPr>
          <w:rFonts w:asciiTheme="minorHAnsi" w:eastAsia="Georgia" w:hAnsiTheme="minorHAnsi" w:cstheme="minorHAnsi"/>
          <w:color w:val="000000"/>
          <w:sz w:val="20"/>
          <w:szCs w:val="20"/>
          <w:bdr w:val="nil"/>
          <w:lang w:val="hr-HR" w:eastAsia="es-MX"/>
        </w:rPr>
        <w:t xml:space="preserve"> </w:t>
      </w:r>
      <m:oMath>
        <m:r>
          <m:t>j</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over the 60 trading days through day</w:t>
      </w:r>
      <w:r>
        <w:rPr>
          <w:rFonts w:asciiTheme="minorHAnsi" w:eastAsia="Georgia" w:hAnsiTheme="minorHAnsi" w:cstheme="minorHAnsi"/>
          <w:color w:val="000000"/>
          <w:sz w:val="20"/>
          <w:szCs w:val="20"/>
          <w:bdr w:val="nil"/>
          <w:lang w:val="hr-HR" w:eastAsia="es-MX"/>
        </w:rPr>
        <w:t xml:space="preserve"> </w:t>
      </w:r>
      <m:oMath>
        <m:r>
          <m:t>d</m:t>
        </m:r>
      </m:oMath>
      <w:r>
        <w:rPr>
          <w:rFonts w:asciiTheme="minorHAnsi" w:eastAsia="Georgia" w:hAnsiTheme="minorHAnsi" w:cstheme="minorHAnsi"/>
          <w:color w:val="000000"/>
          <w:sz w:val="20"/>
          <w:szCs w:val="20"/>
          <w:bdr w:val="nil"/>
          <w:lang w:val="hr-HR" w:eastAsia="es-MX"/>
        </w:rPr>
        <w:t xml:space="preserv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Exact hits.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An exact hit is an event whose close equals the limit price (within</w:t>
      </w:r>
      <w:r>
        <w:rPr>
          <w:rFonts w:asciiTheme="minorHAnsi" w:eastAsia="Georgia" w:hAnsiTheme="minorHAnsi" w:cstheme="minorHAnsi"/>
          <w:color w:val="000000"/>
          <w:sz w:val="20"/>
          <w:szCs w:val="20"/>
          <w:bdr w:val="nil"/>
          <w:lang w:val="hr-HR" w:eastAsia="es-MX"/>
        </w:rPr>
        <w:t xml:space="preserve"> </w:t>
      </w:r>
      <m:oMath>
        <m:sSup>
          <m:e>
            <m:r>
              <m:t>10</m:t>
            </m:r>
          </m:e>
          <m:sup>
            <m:r>
              <m:rPr>
                <m:sty m:val="p"/>
              </m:rPr>
              <m:t>−</m:t>
            </m:r>
            <m:r>
              <m:t>6</m:t>
            </m:r>
          </m:sup>
        </m:sSup>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thousand dong),</w:t>
      </w:r>
    </w:p>
    <w:p>
      <w:pPr/>
      <m:oMathPara>
        <m:oMathParaPr>
          <m:jc m:val="center"/>
        </m:oMathParaPr>
        <m:oMath>
          <m:sSubSup>
            <m:e>
              <m:r>
                <m:t>P</m:t>
              </m:r>
            </m:e>
            <m:sub>
              <m:r>
                <m:t>i</m:t>
              </m:r>
              <m:r>
                <m:rPr>
                  <m:sty m:val="p"/>
                </m:rPr>
                <m:t>,</m:t>
              </m:r>
              <m:r>
                <m:t>d</m:t>
              </m:r>
            </m:sub>
            <m:sup>
              <m:r>
                <m:rPr>
                  <m:nor/>
                </m:rPr>
                <m:t>ceiling</m:t>
              </m:r>
            </m:sup>
          </m:sSubSup>
          <m:r>
            <m:rPr>
              <m:sty m:val="p"/>
            </m:rPr>
            <m:t>=</m:t>
          </m:r>
          <m:d>
            <m:dPr>
              <m:begChr m:val="⌊"/>
              <m:sepChr m:val=""/>
              <m:endChr m:val="⌋"/>
              <m:grow/>
            </m:dPr>
            <m:e>
              <m:f>
                <m:fPr>
                  <m:type m:val="bar"/>
                </m:fPr>
                <m:num>
                  <m:r>
                    <m:t>1.07</m:t>
                  </m:r>
                  <m:r>
                    <m:t> </m:t>
                  </m:r>
                  <m:sSub>
                    <m:e>
                      <m:r>
                        <m:t>C</m:t>
                      </m:r>
                    </m:e>
                    <m:sub>
                      <m:r>
                        <m:t>i</m:t>
                      </m:r>
                      <m:r>
                        <m:rPr>
                          <m:sty m:val="p"/>
                        </m:rPr>
                        <m:t>,</m:t>
                      </m:r>
                      <m:r>
                        <m:t>d</m:t>
                      </m:r>
                      <m:r>
                        <m:rPr>
                          <m:sty m:val="p"/>
                        </m:rPr>
                        <m:t>−</m:t>
                      </m:r>
                      <m:r>
                        <m:t>1</m:t>
                      </m:r>
                    </m:sub>
                  </m:sSub>
                </m:num>
                <m:den>
                  <m:r>
                    <m:t>δ</m:t>
                  </m:r>
                </m:den>
              </m:f>
            </m:e>
          </m:d>
          <m:r>
            <m:t>δ</m:t>
          </m:r>
          <m:r>
            <m:rPr>
              <m:sty m:val="p"/>
            </m:rPr>
            <m:t>,</m:t>
          </m:r>
          <m:r>
            <m:t>  </m:t>
          </m:r>
          <m:sSubSup>
            <m:e>
              <m:r>
                <m:t>P</m:t>
              </m:r>
            </m:e>
            <m:sub>
              <m:r>
                <m:t>i</m:t>
              </m:r>
              <m:r>
                <m:rPr>
                  <m:sty m:val="p"/>
                </m:rPr>
                <m:t>,</m:t>
              </m:r>
              <m:r>
                <m:t>d</m:t>
              </m:r>
            </m:sub>
            <m:sup>
              <m:r>
                <m:rPr>
                  <m:nor/>
                </m:rPr>
                <m:t>floor</m:t>
              </m:r>
            </m:sup>
          </m:sSubSup>
          <m:r>
            <m:rPr>
              <m:sty m:val="p"/>
            </m:rPr>
            <m:t>=</m:t>
          </m:r>
          <m:d>
            <m:dPr>
              <m:begChr m:val="⌈"/>
              <m:sepChr m:val=""/>
              <m:endChr m:val="⌉"/>
              <m:grow/>
            </m:dPr>
            <m:e>
              <m:f>
                <m:fPr>
                  <m:type m:val="bar"/>
                </m:fPr>
                <m:num>
                  <m:r>
                    <m:t>0.93</m:t>
                  </m:r>
                  <m:r>
                    <m:t> </m:t>
                  </m:r>
                  <m:sSub>
                    <m:e>
                      <m:r>
                        <m:t>C</m:t>
                      </m:r>
                    </m:e>
                    <m:sub>
                      <m:r>
                        <m:t>i</m:t>
                      </m:r>
                      <m:r>
                        <m:rPr>
                          <m:sty m:val="p"/>
                        </m:rPr>
                        <m:t>,</m:t>
                      </m:r>
                      <m:r>
                        <m:t>d</m:t>
                      </m:r>
                      <m:r>
                        <m:rPr>
                          <m:sty m:val="p"/>
                        </m:rPr>
                        <m:t>−</m:t>
                      </m:r>
                      <m:r>
                        <m:t>1</m:t>
                      </m:r>
                    </m:sub>
                  </m:sSub>
                </m:num>
                <m:den>
                  <m:r>
                    <m:t>δ</m:t>
                  </m:r>
                </m:den>
              </m:f>
            </m:e>
          </m:d>
          <m:r>
            <m:t>δ</m:t>
          </m:r>
          <m:r>
            <m:rPr>
              <m:sty m:val="p"/>
            </m:rPr>
            <m:t>,</m:t>
          </m:r>
          <m:r>
            <m:t>  </m:t>
          </m:r>
          <m:r>
            <m:rPr>
              <m:nor/>
            </m:rPr>
            <m:t>(3)</m:t>
          </m:r>
        </m:oMath>
      </m:oMathPara>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where</w:t>
      </w:r>
      <w:r>
        <w:rPr>
          <w:rFonts w:asciiTheme="minorHAnsi" w:eastAsia="Georgia" w:hAnsiTheme="minorHAnsi" w:cstheme="minorHAnsi"/>
          <w:color w:val="000000"/>
          <w:sz w:val="20"/>
          <w:szCs w:val="20"/>
          <w:bdr w:val="nil"/>
          <w:lang w:val="hr-HR" w:eastAsia="es-MX"/>
        </w:rPr>
        <w:t xml:space="preserve"> </w:t>
      </w:r>
      <m:oMath>
        <m:r>
          <m:rPr>
            <m:sty m:val="p"/>
          </m:rPr>
          <m:t>⌊</m:t>
        </m:r>
        <m:r>
          <m:rPr>
            <m:sty m:val="p"/>
          </m:rPr>
          <m:t>⋅</m:t>
        </m:r>
        <m:r>
          <m:rPr>
            <m:sty m:val="p"/>
          </m:rPr>
          <m:t>⌋</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and</w:t>
      </w:r>
      <w:r>
        <w:rPr>
          <w:rFonts w:asciiTheme="minorHAnsi" w:eastAsia="Georgia" w:hAnsiTheme="minorHAnsi" w:cstheme="minorHAnsi"/>
          <w:color w:val="000000"/>
          <w:sz w:val="20"/>
          <w:szCs w:val="20"/>
          <w:bdr w:val="nil"/>
          <w:lang w:val="hr-HR" w:eastAsia="es-MX"/>
        </w:rPr>
        <w:t xml:space="preserve"> </w:t>
      </w:r>
      <m:oMath>
        <m:r>
          <m:rPr>
            <m:sty m:val="p"/>
          </m:rPr>
          <m:t>⌈</m:t>
        </m:r>
        <m:r>
          <m:rPr>
            <m:sty m:val="p"/>
          </m:rPr>
          <m:t>⋅</m:t>
        </m:r>
        <m:r>
          <m:rPr>
            <m:sty m:val="p"/>
          </m:rPr>
          <m:t>⌉</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round down and up (after adding and subtracting</w:t>
      </w:r>
      <w:r>
        <w:rPr>
          <w:rFonts w:asciiTheme="minorHAnsi" w:eastAsia="Georgia" w:hAnsiTheme="minorHAnsi" w:cstheme="minorHAnsi"/>
          <w:color w:val="000000"/>
          <w:sz w:val="20"/>
          <w:szCs w:val="20"/>
          <w:bdr w:val="nil"/>
          <w:lang w:val="hr-HR" w:eastAsia="es-MX"/>
        </w:rPr>
        <w:t xml:space="preserve"> </w:t>
      </w:r>
      <m:oMath>
        <m:sSup>
          <m:e>
            <m:r>
              <m:t>10</m:t>
            </m:r>
          </m:e>
          <m:sup>
            <m:r>
              <m:rPr>
                <m:sty m:val="p"/>
              </m:rPr>
              <m:t>−</m:t>
            </m:r>
            <m:r>
              <m:t>9</m:t>
            </m:r>
          </m:sup>
        </m:sSup>
      </m:oMath>
      <w:r>
        <w:rPr>
          <w:rFonts w:asciiTheme="minorHAnsi" w:eastAsia="Georgia" w:hAnsiTheme="minorHAnsi" w:cstheme="minorHAnsi"/>
          <w:color w:val="000000"/>
          <w:sz w:val="20"/>
          <w:szCs w:val="20"/>
          <w:bdr w:val="nil"/>
          <w:lang w:val="hr-HR" w:eastAsia="es-MX"/>
        </w:rPr>
        <w:t xml:space="preserve">, respectively, against floating-point error), and the tick</w:t>
      </w:r>
      <w:r>
        <w:rPr>
          <w:rFonts w:asciiTheme="minorHAnsi" w:eastAsia="Georgia" w:hAnsiTheme="minorHAnsi" w:cstheme="minorHAnsi"/>
          <w:color w:val="000000"/>
          <w:sz w:val="20"/>
          <w:szCs w:val="20"/>
          <w:bdr w:val="nil"/>
          <w:lang w:val="hr-HR" w:eastAsia="es-MX"/>
        </w:rPr>
        <w:t xml:space="preserve"> </w:t>
      </w:r>
      <m:oMath>
        <m:r>
          <m:t>δ</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0.01, 0.05, or 0.10 thousand dong for reference prices</w:t>
      </w:r>
      <w:r>
        <w:rPr>
          <w:rFonts w:asciiTheme="minorHAnsi" w:eastAsia="Georgia" w:hAnsiTheme="minorHAnsi" w:cstheme="minorHAnsi"/>
          <w:color w:val="000000"/>
          <w:sz w:val="20"/>
          <w:szCs w:val="20"/>
          <w:bdr w:val="nil"/>
          <w:lang w:val="hr-HR" w:eastAsia="es-MX"/>
        </w:rPr>
        <w:t xml:space="preserve"> </w:t>
      </w:r>
      <m:oMath>
        <m:sSub>
          <m:e>
            <m:r>
              <m:t>C</m:t>
            </m:r>
          </m:e>
          <m:sub>
            <m:r>
              <m:t>i</m:t>
            </m:r>
            <m:r>
              <m:rPr>
                <m:sty m:val="p"/>
              </m:rPr>
              <m:t>,</m:t>
            </m:r>
            <m:r>
              <m:t>d</m:t>
            </m:r>
            <m:r>
              <m:rPr>
                <m:sty m:val="p"/>
              </m:rPr>
              <m:t>−</m:t>
            </m:r>
            <m:r>
              <m:t>1</m:t>
            </m:r>
          </m:sub>
        </m:sSub>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below 10, from 10 to below 50, and from 50 upward. Other events are near hits (see Section 4.1 on vendor price adjustment).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Outcomes.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 abnormal return (AR) on day</w:t>
      </w:r>
      <w:r>
        <w:rPr>
          <w:rFonts w:asciiTheme="minorHAnsi" w:eastAsia="Georgia" w:hAnsiTheme="minorHAnsi" w:cstheme="minorHAnsi"/>
          <w:color w:val="000000"/>
          <w:sz w:val="20"/>
          <w:szCs w:val="20"/>
          <w:bdr w:val="nil"/>
          <w:lang w:val="hr-HR" w:eastAsia="es-MX"/>
        </w:rPr>
        <w:t xml:space="preserve"> </w:t>
      </w:r>
      <m:oMath>
        <m:r>
          <m:t>d</m:t>
        </m:r>
        <m:r>
          <m:rPr>
            <m:sty m:val="p"/>
          </m:rPr>
          <m:t>+</m:t>
        </m:r>
        <m:r>
          <m:t>1</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and the cumulative abnormal return (CAR) over days</w:t>
      </w:r>
      <w:r>
        <w:rPr>
          <w:rFonts w:asciiTheme="minorHAnsi" w:eastAsia="Georgia" w:hAnsiTheme="minorHAnsi" w:cstheme="minorHAnsi"/>
          <w:color w:val="000000"/>
          <w:sz w:val="20"/>
          <w:szCs w:val="20"/>
          <w:bdr w:val="nil"/>
          <w:lang w:val="hr-HR" w:eastAsia="es-MX"/>
        </w:rPr>
        <w:t xml:space="preserve"> </w:t>
      </w:r>
      <m:oMath>
        <m:r>
          <m:t>d</m:t>
        </m:r>
        <m:r>
          <m:rPr>
            <m:sty m:val="p"/>
          </m:rPr>
          <m:t>+</m:t>
        </m:r>
        <m:r>
          <m:t>1</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to</w:t>
      </w:r>
      <w:r>
        <w:rPr>
          <w:rFonts w:asciiTheme="minorHAnsi" w:eastAsia="Georgia" w:hAnsiTheme="minorHAnsi" w:cstheme="minorHAnsi"/>
          <w:color w:val="000000"/>
          <w:sz w:val="20"/>
          <w:szCs w:val="20"/>
          <w:bdr w:val="nil"/>
          <w:lang w:val="hr-HR" w:eastAsia="es-MX"/>
        </w:rPr>
        <w:t xml:space="preserve"> </w:t>
      </w:r>
      <m:oMath>
        <m:r>
          <m:t>d</m:t>
        </m:r>
        <m:r>
          <m:rPr>
            <m:sty m:val="p"/>
          </m:rPr>
          <m:t>+</m:t>
        </m:r>
        <m:r>
          <m:t>5</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are</w:t>
      </w:r>
    </w:p>
    <w:p>
      <w:pPr/>
      <m:oMathPara>
        <m:oMathParaPr>
          <m:jc m:val="center"/>
        </m:oMathParaPr>
        <m:oMath>
          <m:sSub>
            <m:e>
              <m:r>
                <m:rPr>
                  <m:sty m:val="p"/>
                </m:rPr>
                <m:t>A</m:t>
              </m:r>
              <m:r>
                <m:rPr>
                  <m:sty m:val="p"/>
                </m:rPr>
                <m:t>R</m:t>
              </m:r>
            </m:e>
            <m:sub>
              <m:r>
                <m:t>i</m:t>
              </m:r>
              <m:r>
                <m:rPr>
                  <m:sty m:val="p"/>
                </m:rPr>
                <m:t>,</m:t>
              </m:r>
              <m:r>
                <m:t>d</m:t>
              </m:r>
            </m:sub>
          </m:sSub>
          <m:r>
            <m:rPr>
              <m:sty m:val="p"/>
            </m:rPr>
            <m:t>=</m:t>
          </m:r>
          <m:sSub>
            <m:e>
              <m:r>
                <m:t>R</m:t>
              </m:r>
            </m:e>
            <m:sub>
              <m:r>
                <m:t>i</m:t>
              </m:r>
              <m:r>
                <m:rPr>
                  <m:sty m:val="p"/>
                </m:rPr>
                <m:t>,</m:t>
              </m:r>
              <m:r>
                <m:t>d</m:t>
              </m:r>
              <m:r>
                <m:rPr>
                  <m:sty m:val="p"/>
                </m:rPr>
                <m:t>+</m:t>
              </m:r>
              <m:r>
                <m:t>1</m:t>
              </m:r>
            </m:sub>
          </m:sSub>
          <m:r>
            <m:rPr>
              <m:sty m:val="p"/>
            </m:rPr>
            <m:t>−</m:t>
          </m:r>
          <m:sSubSup>
            <m:e>
              <m:r>
                <m:t>R</m:t>
              </m:r>
            </m:e>
            <m:sub>
              <m:r>
                <m:t>d</m:t>
              </m:r>
              <m:r>
                <m:rPr>
                  <m:sty m:val="p"/>
                </m:rPr>
                <m:t>+</m:t>
              </m:r>
              <m:r>
                <m:t>1</m:t>
              </m:r>
            </m:sub>
            <m:sup>
              <m:r>
                <m:rPr>
                  <m:nor/>
                </m:rPr>
                <m:t>mkt</m:t>
              </m:r>
            </m:sup>
          </m:sSubSup>
          <m:r>
            <m:rPr>
              <m:sty m:val="p"/>
            </m:rPr>
            <m:t>,</m:t>
          </m:r>
          <m:r>
            <m:t>  </m:t>
          </m:r>
          <m:sSub>
            <m:e>
              <m:r>
                <m:rPr>
                  <m:sty m:val="p"/>
                </m:rPr>
                <m:t>C</m:t>
              </m:r>
              <m:r>
                <m:rPr>
                  <m:sty m:val="p"/>
                </m:rPr>
                <m:t>A</m:t>
              </m:r>
              <m:r>
                <m:rPr>
                  <m:sty m:val="p"/>
                </m:rPr>
                <m:t>R</m:t>
              </m:r>
            </m:e>
            <m:sub>
              <m:r>
                <m:t>i</m:t>
              </m:r>
              <m:r>
                <m:rPr>
                  <m:sty m:val="p"/>
                </m:rPr>
                <m:t>,</m:t>
              </m:r>
              <m:r>
                <m:t>d</m:t>
              </m:r>
            </m:sub>
          </m:sSub>
          <m:r>
            <m:rPr>
              <m:sty m:val="p"/>
            </m:rPr>
            <m:t>=</m:t>
          </m:r>
          <m:nary>
            <m:naryPr>
              <m:chr m:val="∏"/>
              <m:limLoc m:val="undOvr"/>
              <m:subHide m:val="off"/>
              <m:supHide m:val="off"/>
            </m:naryPr>
            <m:sub>
              <m:r>
                <m:t>k</m:t>
              </m:r>
              <m:r>
                <m:rPr>
                  <m:sty m:val="p"/>
                </m:rPr>
                <m:t>=</m:t>
              </m:r>
              <m:r>
                <m:t>1</m:t>
              </m:r>
            </m:sub>
            <m:sup>
              <m:r>
                <m:t>5</m:t>
              </m:r>
            </m:sup>
            <m:e>
              <m:d>
                <m:dPr>
                  <m:begChr m:val="("/>
                  <m:sepChr m:val=""/>
                  <m:endChr m:val=")"/>
                  <m:grow/>
                </m:dPr>
                <m:e>
                  <m:r>
                    <m:t>1</m:t>
                  </m:r>
                  <m:r>
                    <m:rPr>
                      <m:sty m:val="p"/>
                    </m:rPr>
                    <m:t>+</m:t>
                  </m:r>
                  <m:sSub>
                    <m:e>
                      <m:r>
                        <m:t>R</m:t>
                      </m:r>
                    </m:e>
                    <m:sub>
                      <m:r>
                        <m:t>i</m:t>
                      </m:r>
                      <m:r>
                        <m:rPr>
                          <m:sty m:val="p"/>
                        </m:rPr>
                        <m:t>,</m:t>
                      </m:r>
                      <m:r>
                        <m:t>d</m:t>
                      </m:r>
                      <m:r>
                        <m:rPr>
                          <m:sty m:val="p"/>
                        </m:rPr>
                        <m:t>+</m:t>
                      </m:r>
                      <m:r>
                        <m:t>k</m:t>
                      </m:r>
                    </m:sub>
                  </m:sSub>
                </m:e>
              </m:d>
            </m:e>
          </m:nary>
          <m:r>
            <m:rPr>
              <m:sty m:val="p"/>
            </m:rPr>
            <m:t>−</m:t>
          </m:r>
          <m:nary>
            <m:naryPr>
              <m:chr m:val="∏"/>
              <m:limLoc m:val="undOvr"/>
              <m:subHide m:val="off"/>
              <m:supHide m:val="off"/>
            </m:naryPr>
            <m:sub>
              <m:r>
                <m:t>k</m:t>
              </m:r>
              <m:r>
                <m:rPr>
                  <m:sty m:val="p"/>
                </m:rPr>
                <m:t>=</m:t>
              </m:r>
              <m:r>
                <m:t>1</m:t>
              </m:r>
            </m:sub>
            <m:sup>
              <m:r>
                <m:t>5</m:t>
              </m:r>
            </m:sup>
            <m:e>
              <m:d>
                <m:dPr>
                  <m:begChr m:val="("/>
                  <m:sepChr m:val=""/>
                  <m:endChr m:val=")"/>
                  <m:grow/>
                </m:dPr>
                <m:e>
                  <m:r>
                    <m:t>1</m:t>
                  </m:r>
                  <m:r>
                    <m:rPr>
                      <m:sty m:val="p"/>
                    </m:rPr>
                    <m:t>+</m:t>
                  </m:r>
                  <m:sSubSup>
                    <m:e>
                      <m:r>
                        <m:t>R</m:t>
                      </m:r>
                    </m:e>
                    <m:sub>
                      <m:r>
                        <m:t>d</m:t>
                      </m:r>
                      <m:r>
                        <m:rPr>
                          <m:sty m:val="p"/>
                        </m:rPr>
                        <m:t>+</m:t>
                      </m:r>
                      <m:r>
                        <m:t>k</m:t>
                      </m:r>
                    </m:sub>
                    <m:sup>
                      <m:r>
                        <m:rPr>
                          <m:nor/>
                        </m:rPr>
                        <m:t>mkt</m:t>
                      </m:r>
                    </m:sup>
                  </m:sSubSup>
                </m:e>
              </m:d>
            </m:e>
          </m:nary>
          <m:r>
            <m:rPr>
              <m:sty m:val="p"/>
            </m:rPr>
            <m:t>,</m:t>
          </m:r>
          <m:r>
            <m:t>  </m:t>
          </m:r>
          <m:r>
            <m:rPr>
              <m:nor/>
            </m:rPr>
            <m:t>(4)</m:t>
          </m:r>
        </m:oMath>
      </m:oMathPara>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where each</w:t>
      </w:r>
      <w:r>
        <w:rPr>
          <w:rFonts w:asciiTheme="minorHAnsi" w:eastAsia="Georgia" w:hAnsiTheme="minorHAnsi" w:cstheme="minorHAnsi"/>
          <w:color w:val="000000"/>
          <w:sz w:val="20"/>
          <w:szCs w:val="20"/>
          <w:bdr w:val="nil"/>
          <w:lang w:val="hr-HR" w:eastAsia="es-MX"/>
        </w:rPr>
        <w:t xml:space="preserve"> </w:t>
      </w:r>
      <m:oMath>
        <m:sSubSup>
          <m:e>
            <m:r>
              <m:t>R</m:t>
            </m:r>
          </m:e>
          <m:sub>
            <m:r>
              <m:t>d</m:t>
            </m:r>
            <m:r>
              <m:rPr>
                <m:sty m:val="p"/>
              </m:rPr>
              <m:t>+</m:t>
            </m:r>
            <m:r>
              <m:t>k</m:t>
            </m:r>
          </m:sub>
          <m:sup>
            <m:r>
              <m:rPr>
                <m:nor/>
              </m:rPr>
              <m:t>mkt</m:t>
            </m:r>
          </m:sup>
        </m:sSubSup>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uses weights through day</w:t>
      </w:r>
      <w:r>
        <w:rPr>
          <w:rFonts w:asciiTheme="minorHAnsi" w:eastAsia="Georgia" w:hAnsiTheme="minorHAnsi" w:cstheme="minorHAnsi"/>
          <w:color w:val="000000"/>
          <w:sz w:val="20"/>
          <w:szCs w:val="20"/>
          <w:bdr w:val="nil"/>
          <w:lang w:val="hr-HR" w:eastAsia="es-MX"/>
        </w:rPr>
        <w:t xml:space="preserve"> </w:t>
      </w:r>
      <m:oMath>
        <m:r>
          <m:t>d</m:t>
        </m:r>
        <m:r>
          <m:rPr>
            <m:sty m:val="p"/>
          </m:rPr>
          <m:t>+</m:t>
        </m:r>
        <m:r>
          <m:t>k</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(Table 1). The day-</w:t>
      </w:r>
      <m:oMath>
        <m:r>
          <m:t>d</m:t>
        </m:r>
        <m:r>
          <m:rPr>
            <m:sty m:val="p"/>
          </m:rPr>
          <m:t>+</m:t>
        </m:r>
        <m:r>
          <m:t>1</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return splits into the overnight gap and the intraday return,</w:t>
      </w:r>
    </w:p>
    <w:p>
      <w:pPr/>
      <m:oMathPara>
        <m:oMathParaPr>
          <m:jc m:val="center"/>
        </m:oMathParaPr>
        <m:oMath>
          <m:sSub>
            <m:e>
              <m:r>
                <m:rPr>
                  <m:sty m:val="p"/>
                </m:rPr>
                <m:t>G</m:t>
              </m:r>
              <m:r>
                <m:rPr>
                  <m:sty m:val="p"/>
                </m:rPr>
                <m:t>A</m:t>
              </m:r>
              <m:r>
                <m:rPr>
                  <m:sty m:val="p"/>
                </m:rPr>
                <m:t>P</m:t>
              </m:r>
            </m:e>
            <m:sub>
              <m:r>
                <m:t>i</m:t>
              </m:r>
              <m:r>
                <m:rPr>
                  <m:sty m:val="p"/>
                </m:rPr>
                <m:t>,</m:t>
              </m:r>
              <m:r>
                <m:t>d</m:t>
              </m:r>
            </m:sub>
          </m:sSub>
          <m:r>
            <m:rPr>
              <m:sty m:val="p"/>
            </m:rPr>
            <m:t>=</m:t>
          </m:r>
          <m:f>
            <m:fPr>
              <m:type m:val="bar"/>
            </m:fPr>
            <m:num>
              <m:sSub>
                <m:e>
                  <m:r>
                    <m:t>O</m:t>
                  </m:r>
                </m:e>
                <m:sub>
                  <m:r>
                    <m:t>i</m:t>
                  </m:r>
                  <m:r>
                    <m:rPr>
                      <m:sty m:val="p"/>
                    </m:rPr>
                    <m:t>,</m:t>
                  </m:r>
                  <m:r>
                    <m:t>d</m:t>
                  </m:r>
                  <m:r>
                    <m:rPr>
                      <m:sty m:val="p"/>
                    </m:rPr>
                    <m:t>+</m:t>
                  </m:r>
                  <m:r>
                    <m:t>1</m:t>
                  </m:r>
                </m:sub>
              </m:sSub>
            </m:num>
            <m:den>
              <m:sSub>
                <m:e>
                  <m:r>
                    <m:t>C</m:t>
                  </m:r>
                </m:e>
                <m:sub>
                  <m:r>
                    <m:t>i</m:t>
                  </m:r>
                  <m:r>
                    <m:rPr>
                      <m:sty m:val="p"/>
                    </m:rPr>
                    <m:t>,</m:t>
                  </m:r>
                  <m:r>
                    <m:t>d</m:t>
                  </m:r>
                </m:sub>
              </m:sSub>
            </m:den>
          </m:f>
          <m:r>
            <m:rPr>
              <m:sty m:val="p"/>
            </m:rPr>
            <m:t>−</m:t>
          </m:r>
          <m:r>
            <m:t>1</m:t>
          </m:r>
          <m:r>
            <m:rPr>
              <m:sty m:val="p"/>
            </m:rPr>
            <m:t>,</m:t>
          </m:r>
          <m:r>
            <m:t>  </m:t>
          </m:r>
          <m:sSub>
            <m:e>
              <m:r>
                <m:rPr>
                  <m:sty m:val="p"/>
                </m:rPr>
                <m:t>I</m:t>
              </m:r>
              <m:r>
                <m:rPr>
                  <m:sty m:val="p"/>
                </m:rPr>
                <m:t>N</m:t>
              </m:r>
              <m:r>
                <m:rPr>
                  <m:sty m:val="p"/>
                </m:rPr>
                <m:t>T</m:t>
              </m:r>
              <m:r>
                <m:rPr>
                  <m:sty m:val="p"/>
                </m:rPr>
                <m:t>R</m:t>
              </m:r>
              <m:r>
                <m:rPr>
                  <m:sty m:val="p"/>
                </m:rPr>
                <m:t>A</m:t>
              </m:r>
            </m:e>
            <m:sub>
              <m:r>
                <m:t>i</m:t>
              </m:r>
              <m:r>
                <m:rPr>
                  <m:sty m:val="p"/>
                </m:rPr>
                <m:t>,</m:t>
              </m:r>
              <m:r>
                <m:t>d</m:t>
              </m:r>
            </m:sub>
          </m:sSub>
          <m:r>
            <m:rPr>
              <m:sty m:val="p"/>
            </m:rPr>
            <m:t>=</m:t>
          </m:r>
          <m:f>
            <m:fPr>
              <m:type m:val="bar"/>
            </m:fPr>
            <m:num>
              <m:sSub>
                <m:e>
                  <m:r>
                    <m:t>C</m:t>
                  </m:r>
                </m:e>
                <m:sub>
                  <m:r>
                    <m:t>i</m:t>
                  </m:r>
                  <m:r>
                    <m:rPr>
                      <m:sty m:val="p"/>
                    </m:rPr>
                    <m:t>,</m:t>
                  </m:r>
                  <m:r>
                    <m:t>d</m:t>
                  </m:r>
                  <m:r>
                    <m:rPr>
                      <m:sty m:val="p"/>
                    </m:rPr>
                    <m:t>+</m:t>
                  </m:r>
                  <m:r>
                    <m:t>1</m:t>
                  </m:r>
                </m:sub>
              </m:sSub>
            </m:num>
            <m:den>
              <m:sSub>
                <m:e>
                  <m:r>
                    <m:t>O</m:t>
                  </m:r>
                </m:e>
                <m:sub>
                  <m:r>
                    <m:t>i</m:t>
                  </m:r>
                  <m:r>
                    <m:rPr>
                      <m:sty m:val="p"/>
                    </m:rPr>
                    <m:t>,</m:t>
                  </m:r>
                  <m:r>
                    <m:t>d</m:t>
                  </m:r>
                  <m:r>
                    <m:rPr>
                      <m:sty m:val="p"/>
                    </m:rPr>
                    <m:t>+</m:t>
                  </m:r>
                  <m:r>
                    <m:t>1</m:t>
                  </m:r>
                </m:sub>
              </m:sSub>
            </m:den>
          </m:f>
          <m:r>
            <m:rPr>
              <m:sty m:val="p"/>
            </m:rPr>
            <m:t>−</m:t>
          </m:r>
          <m:r>
            <m:t>1</m:t>
          </m:r>
          <m:r>
            <m:rPr>
              <m:sty m:val="p"/>
            </m:rPr>
            <m:t>,</m:t>
          </m:r>
          <m:r>
            <m:t>  </m:t>
          </m:r>
          <m:r>
            <m:t>1</m:t>
          </m:r>
          <m:r>
            <m:rPr>
              <m:sty m:val="p"/>
            </m:rPr>
            <m:t>+</m:t>
          </m:r>
          <m:sSub>
            <m:e>
              <m:r>
                <m:t>R</m:t>
              </m:r>
            </m:e>
            <m:sub>
              <m:r>
                <m:t>i</m:t>
              </m:r>
              <m:r>
                <m:rPr>
                  <m:sty m:val="p"/>
                </m:rPr>
                <m:t>,</m:t>
              </m:r>
              <m:r>
                <m:t>d</m:t>
              </m:r>
              <m:r>
                <m:rPr>
                  <m:sty m:val="p"/>
                </m:rPr>
                <m:t>+</m:t>
              </m:r>
              <m:r>
                <m:t>1</m:t>
              </m:r>
            </m:sub>
          </m:sSub>
          <m:r>
            <m:rPr>
              <m:sty m:val="p"/>
            </m:rPr>
            <m:t>=</m:t>
          </m:r>
          <m:d>
            <m:dPr>
              <m:begChr m:val="("/>
              <m:sepChr m:val=""/>
              <m:endChr m:val=")"/>
              <m:grow/>
            </m:dPr>
            <m:e>
              <m:r>
                <m:t>1</m:t>
              </m:r>
              <m:r>
                <m:rPr>
                  <m:sty m:val="p"/>
                </m:rPr>
                <m:t>+</m:t>
              </m:r>
              <m:sSub>
                <m:e>
                  <m:r>
                    <m:rPr>
                      <m:sty m:val="p"/>
                    </m:rPr>
                    <m:t>G</m:t>
                  </m:r>
                  <m:r>
                    <m:rPr>
                      <m:sty m:val="p"/>
                    </m:rPr>
                    <m:t>A</m:t>
                  </m:r>
                  <m:r>
                    <m:rPr>
                      <m:sty m:val="p"/>
                    </m:rPr>
                    <m:t>P</m:t>
                  </m:r>
                </m:e>
                <m:sub>
                  <m:r>
                    <m:t>i</m:t>
                  </m:r>
                  <m:r>
                    <m:rPr>
                      <m:sty m:val="p"/>
                    </m:rPr>
                    <m:t>,</m:t>
                  </m:r>
                  <m:r>
                    <m:t>d</m:t>
                  </m:r>
                </m:sub>
              </m:sSub>
            </m:e>
          </m:d>
          <m:d>
            <m:dPr>
              <m:begChr m:val="("/>
              <m:sepChr m:val=""/>
              <m:endChr m:val=")"/>
              <m:grow/>
            </m:dPr>
            <m:e>
              <m:r>
                <m:t>1</m:t>
              </m:r>
              <m:r>
                <m:rPr>
                  <m:sty m:val="p"/>
                </m:rPr>
                <m:t>+</m:t>
              </m:r>
              <m:sSub>
                <m:e>
                  <m:r>
                    <m:rPr>
                      <m:sty m:val="p"/>
                    </m:rPr>
                    <m:t>I</m:t>
                  </m:r>
                  <m:r>
                    <m:rPr>
                      <m:sty m:val="p"/>
                    </m:rPr>
                    <m:t>N</m:t>
                  </m:r>
                  <m:r>
                    <m:rPr>
                      <m:sty m:val="p"/>
                    </m:rPr>
                    <m:t>T</m:t>
                  </m:r>
                  <m:r>
                    <m:rPr>
                      <m:sty m:val="p"/>
                    </m:rPr>
                    <m:t>R</m:t>
                  </m:r>
                  <m:r>
                    <m:rPr>
                      <m:sty m:val="p"/>
                    </m:rPr>
                    <m:t>A</m:t>
                  </m:r>
                </m:e>
                <m:sub>
                  <m:r>
                    <m:t>i</m:t>
                  </m:r>
                  <m:r>
                    <m:rPr>
                      <m:sty m:val="p"/>
                    </m:rPr>
                    <m:t>,</m:t>
                  </m:r>
                  <m:r>
                    <m:t>d</m:t>
                  </m:r>
                </m:sub>
              </m:sSub>
            </m:e>
          </m:d>
          <m:r>
            <m:rPr>
              <m:sty m:val="p"/>
            </m:rPr>
            <m:t>,</m:t>
          </m:r>
          <m:r>
            <m:t>  </m:t>
          </m:r>
          <m:r>
            <m:rPr>
              <m:nor/>
            </m:rPr>
            <m:t>(5)</m:t>
          </m:r>
        </m:oMath>
      </m:oMathPara>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and abnormal values subtract the market counterpart of each component, the same-interval return across stocks weighted with</w:t>
      </w:r>
      <w:r>
        <w:rPr>
          <w:rFonts w:asciiTheme="minorHAnsi" w:eastAsia="Georgia" w:hAnsiTheme="minorHAnsi" w:cstheme="minorHAnsi"/>
          <w:color w:val="000000"/>
          <w:sz w:val="20"/>
          <w:szCs w:val="20"/>
          <w:bdr w:val="nil"/>
          <w:lang w:val="hr-HR" w:eastAsia="es-MX"/>
        </w:rPr>
        <w:t xml:space="preserve"> </w:t>
      </w:r>
      <m:oMath>
        <m:sSub>
          <m:e>
            <m:r>
              <m:t>w</m:t>
            </m:r>
          </m:e>
          <m:sub>
            <m:r>
              <m:t>j</m:t>
            </m:r>
            <m:r>
              <m:rPr>
                <m:sty m:val="p"/>
              </m:rPr>
              <m:t>,</m:t>
            </m:r>
            <m:r>
              <m:t>d</m:t>
            </m:r>
          </m:sub>
        </m:sSub>
      </m:oMath>
      <w:r>
        <w:rPr>
          <w:rFonts w:asciiTheme="minorHAnsi" w:eastAsia="Georgia" w:hAnsiTheme="minorHAnsi" w:cstheme="minorHAnsi"/>
          <w:color w:val="000000"/>
          <w:sz w:val="20"/>
          <w:szCs w:val="20"/>
          <w:bdr w:val="nil"/>
          <w:lang w:val="hr-HR" w:eastAsia="es-MX"/>
        </w:rPr>
        <w:t xml:space="preserve">, known at the event close. A buyer at the next open earns</w:t>
      </w:r>
      <w:r>
        <w:rPr>
          <w:rFonts w:asciiTheme="minorHAnsi" w:eastAsia="Georgia" w:hAnsiTheme="minorHAnsi" w:cstheme="minorHAnsi"/>
          <w:color w:val="000000"/>
          <w:sz w:val="20"/>
          <w:szCs w:val="20"/>
          <w:bdr w:val="nil"/>
          <w:lang w:val="hr-HR" w:eastAsia="es-MX"/>
        </w:rPr>
        <w:t xml:space="preserve"> </w:t>
      </w:r>
      <m:oMath>
        <m:sSub>
          <m:e>
            <m:r>
              <m:t>C</m:t>
            </m:r>
          </m:e>
          <m:sub>
            <m:r>
              <m:t>i</m:t>
            </m:r>
            <m:r>
              <m:rPr>
                <m:sty m:val="p"/>
              </m:rPr>
              <m:t>,</m:t>
            </m:r>
            <m:r>
              <m:t>d</m:t>
            </m:r>
            <m:r>
              <m:rPr>
                <m:sty m:val="p"/>
              </m:rPr>
              <m:t>+</m:t>
            </m:r>
            <m:r>
              <m:t>5</m:t>
            </m:r>
          </m:sub>
        </m:sSub>
        <m:r>
          <m:rPr>
            <m:sty m:val="p"/>
          </m:rPr>
          <m:t>/</m:t>
        </m:r>
        <m:sSub>
          <m:e>
            <m:r>
              <m:t>O</m:t>
            </m:r>
          </m:e>
          <m:sub>
            <m:r>
              <m:t>i</m:t>
            </m:r>
            <m:r>
              <m:rPr>
                <m:sty m:val="p"/>
              </m:rPr>
              <m:t>,</m:t>
            </m:r>
            <m:r>
              <m:t>d</m:t>
            </m:r>
            <m:r>
              <m:rPr>
                <m:sty m:val="p"/>
              </m:rPr>
              <m:t>+</m:t>
            </m:r>
            <m:r>
              <m:t>1</m:t>
            </m:r>
          </m:sub>
        </m:sSub>
        <m:r>
          <m:rPr>
            <m:sty m:val="p"/>
          </m:rPr>
          <m:t>−</m:t>
        </m:r>
        <m:r>
          <m:t>1</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less the buy-and-hold market return</w:t>
      </w:r>
      <w:r>
        <w:rPr>
          <w:rFonts w:asciiTheme="minorHAnsi" w:eastAsia="Georgia" w:hAnsiTheme="minorHAnsi" w:cstheme="minorHAnsi"/>
          <w:color w:val="000000"/>
          <w:sz w:val="20"/>
          <w:szCs w:val="20"/>
          <w:bdr w:val="nil"/>
          <w:lang w:val="hr-HR" w:eastAsia="es-MX"/>
        </w:rPr>
        <w:t xml:space="preserve"> </w:t>
      </w:r>
      <m:oMath>
        <m:nary>
          <m:naryPr>
            <m:chr m:val="∑"/>
            <m:limLoc m:val="undOvr"/>
            <m:subHide m:val="off"/>
            <m:supHide m:val="on"/>
          </m:naryPr>
          <m:sub>
            <m:r>
              <m:t>j</m:t>
            </m:r>
          </m:sub>
          <m:sup>
            <m:r>
              <m:t>​</m:t>
            </m:r>
          </m:sup>
          <m:e>
            <m:sSub>
              <m:e>
                <m:r>
                  <m:t>w</m:t>
                </m:r>
              </m:e>
              <m:sub>
                <m:r>
                  <m:t>j</m:t>
                </m:r>
                <m:r>
                  <m:rPr>
                    <m:sty m:val="p"/>
                  </m:rPr>
                  <m:t>,</m:t>
                </m:r>
                <m:r>
                  <m:t>d</m:t>
                </m:r>
              </m:sub>
            </m:sSub>
          </m:e>
        </m:nary>
        <m:r>
          <m:t> </m:t>
        </m:r>
        <m:d>
          <m:dPr>
            <m:begChr m:val="("/>
            <m:sepChr m:val=""/>
            <m:endChr m:val=")"/>
            <m:grow/>
          </m:dPr>
          <m:e>
            <m:sSub>
              <m:e>
                <m:r>
                  <m:t>C</m:t>
                </m:r>
              </m:e>
              <m:sub>
                <m:r>
                  <m:t>j</m:t>
                </m:r>
                <m:r>
                  <m:rPr>
                    <m:sty m:val="p"/>
                  </m:rPr>
                  <m:t>,</m:t>
                </m:r>
                <m:r>
                  <m:t>d</m:t>
                </m:r>
                <m:r>
                  <m:rPr>
                    <m:sty m:val="p"/>
                  </m:rPr>
                  <m:t>+</m:t>
                </m:r>
                <m:r>
                  <m:t>5</m:t>
                </m:r>
              </m:sub>
            </m:sSub>
            <m:r>
              <m:rPr>
                <m:sty m:val="p"/>
              </m:rPr>
              <m:t>/</m:t>
            </m:r>
            <m:sSub>
              <m:e>
                <m:r>
                  <m:t>O</m:t>
                </m:r>
              </m:e>
              <m:sub>
                <m:r>
                  <m:t>j</m:t>
                </m:r>
                <m:r>
                  <m:rPr>
                    <m:sty m:val="p"/>
                  </m:rPr>
                  <m:t>,</m:t>
                </m:r>
                <m:r>
                  <m:t>d</m:t>
                </m:r>
                <m:r>
                  <m:rPr>
                    <m:sty m:val="p"/>
                  </m:rPr>
                  <m:t>+</m:t>
                </m:r>
                <m:r>
                  <m:t>1</m:t>
                </m:r>
              </m:sub>
            </m:sSub>
            <m:r>
              <m:rPr>
                <m:sty m:val="p"/>
              </m:rPr>
              <m:t>−</m:t>
            </m:r>
            <m:r>
              <m:t>1</m:t>
            </m:r>
          </m:e>
        </m:d>
      </m:oMath>
      <w:r>
        <w:rPr>
          <w:rFonts w:asciiTheme="minorHAnsi" w:eastAsia="Georgia" w:hAnsiTheme="minorHAnsi" w:cstheme="minorHAnsi"/>
          <w:color w:val="000000"/>
          <w:sz w:val="20"/>
          <w:szCs w:val="20"/>
          <w:bdr w:val="nil"/>
          <w:lang w:val="hr-HR" w:eastAsia="es-MX"/>
        </w:rPr>
        <w:t xml:space="preserve">. The control benchmark is the equal-weighted mean same-interval return of control stocks (absolute day-</w:t>
      </w:r>
      <m:oMath>
        <m:r>
          <m:t>d</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return below 6.5%) in the event stock’s tercile of</w:t>
      </w:r>
      <w:r>
        <w:rPr>
          <w:rFonts w:asciiTheme="minorHAnsi" w:eastAsia="Georgia" w:hAnsiTheme="minorHAnsi" w:cstheme="minorHAnsi"/>
          <w:color w:val="000000"/>
          <w:sz w:val="20"/>
          <w:szCs w:val="20"/>
          <w:bdr w:val="nil"/>
          <w:lang w:val="hr-HR" w:eastAsia="es-MX"/>
        </w:rPr>
        <w:t xml:space="preserve"> </w:t>
      </w:r>
      <m:oMath>
        <m:sSub>
          <m:e>
            <m:bar>
              <m:barPr>
                <m:pos m:val="top"/>
              </m:barPr>
              <m:e>
                <m:r>
                  <m:t>V</m:t>
                </m:r>
              </m:e>
            </m:bar>
          </m:e>
          <m:sub>
            <m:r>
              <m:t>i</m:t>
            </m:r>
            <m:r>
              <m:rPr>
                <m:sty m:val="p"/>
              </m:rPr>
              <m:t>,</m:t>
            </m:r>
            <m:r>
              <m:t>d</m:t>
            </m:r>
          </m:sub>
        </m:sSub>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on that date; dates with fewer than 30 control stocks have no benchmark.</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Samples.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 event definition uses only returns and the close-at-high (close-at-low) condition, which proportional price adjustment by the vendor leaves unchanged except on ex-dates; the exact-hit split is a diagnostic only (Section 4.1). Event counts differ across exhibits because each outcome needs different data. Table 1 requires returns on all five days after the event (3,187 ceiling and 2,105 floor events). Tables 2 to 4 require the open and close of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+1 (3,199 and 2,111 events), the open-to-day-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return also requires the 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close, and the control benchmark requires at least 30 control stocks on the date (3,100 and 2,047 events). Figure 2 uses event days up to the second-to-last trading day (3,220 ceiling events). No event is dropped for any other reason.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Inference.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For</w:t>
      </w:r>
      <w:r>
        <w:rPr>
          <w:rFonts w:asciiTheme="minorHAnsi" w:eastAsia="Georgia" w:hAnsiTheme="minorHAnsi" w:cstheme="minorHAnsi"/>
          <w:color w:val="000000"/>
          <w:sz w:val="20"/>
          <w:szCs w:val="20"/>
          <w:bdr w:val="nil"/>
          <w:lang w:val="hr-HR" w:eastAsia="es-MX"/>
        </w:rPr>
        <w:t xml:space="preserve"> </w:t>
      </w:r>
      <m:oMath>
        <m:r>
          <m:t>N</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events</w:t>
      </w:r>
      <w:r>
        <w:rPr>
          <w:rFonts w:asciiTheme="minorHAnsi" w:eastAsia="Georgia" w:hAnsiTheme="minorHAnsi" w:cstheme="minorHAnsi"/>
          <w:color w:val="000000"/>
          <w:sz w:val="20"/>
          <w:szCs w:val="20"/>
          <w:bdr w:val="nil"/>
          <w:lang w:val="hr-HR" w:eastAsia="es-MX"/>
        </w:rPr>
        <w:t xml:space="preserve"> </w:t>
      </w:r>
      <m:oMath>
        <m:r>
          <m:t>e</m:t>
        </m:r>
      </m:oMath>
      <w:r>
        <w:rPr>
          <w:rFonts w:asciiTheme="minorHAnsi" w:eastAsia="Georgia" w:hAnsiTheme="minorHAnsi" w:cstheme="minorHAnsi"/>
          <w:color w:val="000000"/>
          <w:sz w:val="20"/>
          <w:szCs w:val="20"/>
          <w:bdr w:val="nil"/>
          <w:lang w:val="hr-HR" w:eastAsia="es-MX"/>
        </w:rPr>
        <w:t xml:space="preserve">, each a stock-day pair, with outcome</w:t>
      </w:r>
      <w:r>
        <w:rPr>
          <w:rFonts w:asciiTheme="minorHAnsi" w:eastAsia="Georgia" w:hAnsiTheme="minorHAnsi" w:cstheme="minorHAnsi"/>
          <w:color w:val="000000"/>
          <w:sz w:val="20"/>
          <w:szCs w:val="20"/>
          <w:bdr w:val="nil"/>
          <w:lang w:val="hr-HR" w:eastAsia="es-MX"/>
        </w:rPr>
        <w:t xml:space="preserve"> </w:t>
      </w:r>
      <m:oMath>
        <m:sSub>
          <m:e>
            <m:r>
              <m:t>y</m:t>
            </m:r>
          </m:e>
          <m:sub>
            <m:r>
              <m:t>e</m:t>
            </m:r>
          </m:sub>
        </m:sSub>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and mean</w:t>
      </w:r>
      <w:r>
        <w:rPr>
          <w:rFonts w:asciiTheme="minorHAnsi" w:eastAsia="Georgia" w:hAnsiTheme="minorHAnsi" w:cstheme="minorHAnsi"/>
          <w:color w:val="000000"/>
          <w:sz w:val="20"/>
          <w:szCs w:val="20"/>
          <w:bdr w:val="nil"/>
          <w:lang w:val="hr-HR" w:eastAsia="es-MX"/>
        </w:rPr>
        <w:t xml:space="preserve"> </w:t>
      </w:r>
      <m:oMath>
        <m:bar>
          <m:barPr>
            <m:pos m:val="top"/>
          </m:barPr>
          <m:e>
            <m:r>
              <m:t>y</m:t>
            </m:r>
          </m:e>
        </m:bar>
        <m:r>
          <m:rPr>
            <m:sty m:val="p"/>
          </m:rPr>
          <m:t>=</m:t>
        </m:r>
        <m:sSup>
          <m:e>
            <m:r>
              <m:t>N</m:t>
            </m:r>
          </m:e>
          <m:sup>
            <m:r>
              <m:rPr>
                <m:sty m:val="p"/>
              </m:rPr>
              <m:t>−</m:t>
            </m:r>
            <m:r>
              <m:t>1</m:t>
            </m:r>
          </m:sup>
        </m:sSup>
        <m:nary>
          <m:naryPr>
            <m:chr m:val="∑"/>
            <m:limLoc m:val="undOvr"/>
            <m:subHide m:val="off"/>
            <m:supHide m:val="on"/>
          </m:naryPr>
          <m:sub>
            <m:r>
              <m:t>e</m:t>
            </m:r>
          </m:sub>
          <m:sup>
            <m:r>
              <m:t>​</m:t>
            </m:r>
          </m:sup>
          <m:e>
            <m:sSub>
              <m:e>
                <m:r>
                  <m:t>y</m:t>
                </m:r>
              </m:e>
              <m:sub>
                <m:r>
                  <m:t>e</m:t>
                </m:r>
              </m:sub>
            </m:sSub>
          </m:e>
        </m:nary>
      </m:oMath>
      <w:r>
        <w:rPr>
          <w:rFonts w:asciiTheme="minorHAnsi" w:eastAsia="Georgia" w:hAnsiTheme="minorHAnsi" w:cstheme="minorHAnsi"/>
          <w:color w:val="000000"/>
          <w:sz w:val="20"/>
          <w:szCs w:val="20"/>
          <w:bdr w:val="nil"/>
          <w:lang w:val="hr-HR" w:eastAsia="es-MX"/>
        </w:rPr>
        <w:t xml:space="preserve">, the cluster-robust variance is</w:t>
      </w:r>
    </w:p>
    <w:p>
      <w:pPr/>
      <m:oMathPara>
        <m:oMathParaPr>
          <m:jc m:val="center"/>
        </m:oMathParaPr>
        <m:oMath>
          <m:acc>
            <m:accPr>
              <m:chr m:val="̂"/>
            </m:accPr>
            <m:e>
              <m:r>
                <m:rPr>
                  <m:sty m:val="p"/>
                </m:rPr>
                <m:t>Var</m:t>
              </m:r>
            </m:e>
          </m:acc>
          <m:d>
            <m:dPr>
              <m:begChr m:val="("/>
              <m:sepChr m:val=""/>
              <m:endChr m:val=")"/>
              <m:grow/>
            </m:dPr>
            <m:e>
              <m:bar>
                <m:barPr>
                  <m:pos m:val="top"/>
                </m:barPr>
                <m:e>
                  <m:r>
                    <m:t>y</m:t>
                  </m:r>
                </m:e>
              </m:bar>
            </m:e>
          </m:d>
          <m:r>
            <m:rPr>
              <m:sty m:val="p"/>
            </m:rPr>
            <m:t>=</m:t>
          </m:r>
          <m:f>
            <m:fPr>
              <m:type m:val="bar"/>
            </m:fPr>
            <m:num>
              <m:r>
                <m:t>1</m:t>
              </m:r>
            </m:num>
            <m:den>
              <m:sSup>
                <m:e>
                  <m:r>
                    <m:t>N</m:t>
                  </m:r>
                </m:e>
                <m:sup>
                  <m:r>
                    <m:t>2</m:t>
                  </m:r>
                </m:sup>
              </m:sSup>
            </m:den>
          </m:f>
          <m:r>
            <m:rPr>
              <m:sty m:val="p"/>
            </m:rPr>
            <m:t>⋅</m:t>
          </m:r>
          <m:f>
            <m:fPr>
              <m:type m:val="bar"/>
            </m:fPr>
            <m:num>
              <m:r>
                <m:t>G</m:t>
              </m:r>
            </m:num>
            <m:den>
              <m:r>
                <m:t>G</m:t>
              </m:r>
              <m:r>
                <m:rPr>
                  <m:sty m:val="p"/>
                </m:rPr>
                <m:t>−</m:t>
              </m:r>
              <m:r>
                <m:t>1</m:t>
              </m:r>
            </m:den>
          </m:f>
          <m:nary>
            <m:naryPr>
              <m:chr m:val="∑"/>
              <m:limLoc m:val="undOvr"/>
              <m:subHide m:val="off"/>
              <m:supHide m:val="off"/>
            </m:naryPr>
            <m:sub>
              <m:r>
                <m:t>g</m:t>
              </m:r>
              <m:r>
                <m:rPr>
                  <m:sty m:val="p"/>
                </m:rPr>
                <m:t>=</m:t>
              </m:r>
              <m:r>
                <m:t>1</m:t>
              </m:r>
            </m:sub>
            <m:sup>
              <m:r>
                <m:t>G</m:t>
              </m:r>
            </m:sup>
            <m:e>
              <m:sSup>
                <m:e>
                  <m:d>
                    <m:dPr>
                      <m:begChr m:val="("/>
                      <m:sepChr m:val=""/>
                      <m:endChr m:val=")"/>
                      <m:grow/>
                    </m:dPr>
                    <m:e>
                      <m:nary>
                        <m:naryPr>
                          <m:chr m:val="∑"/>
                          <m:limLoc m:val="undOvr"/>
                          <m:subHide m:val="off"/>
                          <m:supHide m:val="on"/>
                        </m:naryPr>
                        <m:sub>
                          <m:r>
                            <m:t>e</m:t>
                          </m:r>
                          <m:r>
                            <m:rPr>
                              <m:sty m:val="p"/>
                            </m:rPr>
                            <m:t>∈</m:t>
                          </m:r>
                          <m:r>
                            <m:t>g</m:t>
                          </m:r>
                        </m:sub>
                        <m:sup>
                          <m:r>
                            <m:t>​</m:t>
                          </m:r>
                        </m:sup>
                        <m:e>
                          <m:d>
                            <m:dPr>
                              <m:begChr m:val="("/>
                              <m:sepChr m:val=""/>
                              <m:endChr m:val=")"/>
                              <m:grow/>
                            </m:dPr>
                            <m:e>
                              <m:sSub>
                                <m:e>
                                  <m:r>
                                    <m:t>y</m:t>
                                  </m:r>
                                </m:e>
                                <m:sub>
                                  <m:r>
                                    <m:t>e</m:t>
                                  </m:r>
                                </m:sub>
                              </m:sSub>
                              <m:r>
                                <m:rPr>
                                  <m:sty m:val="p"/>
                                </m:rPr>
                                <m:t>−</m:t>
                              </m:r>
                              <m:bar>
                                <m:barPr>
                                  <m:pos m:val="top"/>
                                </m:barPr>
                                <m:e>
                                  <m:r>
                                    <m:t>y</m:t>
                                  </m:r>
                                </m:e>
                              </m:bar>
                            </m:e>
                          </m:d>
                        </m:e>
                      </m:nary>
                    </m:e>
                  </m:d>
                </m:e>
                <m:sup>
                  <m:r>
                    <m:t>2</m:t>
                  </m:r>
                </m:sup>
              </m:sSup>
            </m:e>
          </m:nary>
          <m:r>
            <m:rPr>
              <m:sty m:val="p"/>
            </m:rPr>
            <m:t>,</m:t>
          </m:r>
          <m:r>
            <m:t>  </m:t>
          </m:r>
          <m:r>
            <m:rPr>
              <m:nor/>
            </m:rPr>
            <m:t>(6)</m:t>
          </m:r>
        </m:oMath>
      </m:oMathPara>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where</w:t>
      </w:r>
      <w:r>
        <w:rPr>
          <w:rFonts w:asciiTheme="minorHAnsi" w:eastAsia="Georgia" w:hAnsiTheme="minorHAnsi" w:cstheme="minorHAnsi"/>
          <w:color w:val="000000"/>
          <w:sz w:val="20"/>
          <w:szCs w:val="20"/>
          <w:bdr w:val="nil"/>
          <w:lang w:val="hr-HR" w:eastAsia="es-MX"/>
        </w:rPr>
        <w:t xml:space="preserve"> </w:t>
      </w:r>
      <m:oMath>
        <m:r>
          <m:t>g</m:t>
        </m:r>
        <m:r>
          <m:rPr>
            <m:sty m:val="p"/>
          </m:rPr>
          <m:t>=</m:t>
        </m:r>
        <m:r>
          <m:t>1</m:t>
        </m:r>
        <m:r>
          <m:rPr>
            <m:sty m:val="p"/>
          </m:rPr>
          <m:t>,</m:t>
        </m:r>
        <m:r>
          <m:rPr>
            <m:sty m:val="p"/>
          </m:rPr>
          <m:t>…</m:t>
        </m:r>
        <m:r>
          <m:rPr>
            <m:sty m:val="p"/>
          </m:rPr>
          <m:t>,</m:t>
        </m:r>
        <m:r>
          <m:t>G</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indexes clusters: event dates, ISO calendar weeks, or blocks of ten consecutive trading days. The family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-values of the four event tests use Equation (6) with event-date clusters, omit</w:t>
      </w:r>
      <w:r>
        <w:rPr>
          <w:rFonts w:asciiTheme="minorHAnsi" w:eastAsia="Georgia" w:hAnsiTheme="minorHAnsi" w:cstheme="minorHAnsi"/>
          <w:color w:val="000000"/>
          <w:sz w:val="20"/>
          <w:szCs w:val="20"/>
          <w:bdr w:val="nil"/>
          <w:lang w:val="hr-HR" w:eastAsia="es-MX"/>
        </w:rPr>
        <w:t xml:space="preserve"> </w:t>
      </w:r>
      <m:oMath>
        <m:r>
          <m:t>G</m:t>
        </m:r>
        <m:r>
          <m:rPr>
            <m:sty m:val="p"/>
          </m:rPr>
          <m:t>/</m:t>
        </m:r>
        <m:d>
          <m:dPr>
            <m:begChr m:val="("/>
            <m:sepChr m:val=""/>
            <m:endChr m:val=")"/>
            <m:grow/>
          </m:dPr>
          <m:e>
            <m:r>
              <m:t>G</m:t>
            </m:r>
            <m:r>
              <m:rPr>
                <m:sty m:val="p"/>
              </m:rPr>
              <m:t>−</m:t>
            </m:r>
            <m:r>
              <m:t>1</m:t>
            </m:r>
          </m:e>
        </m:d>
      </m:oMath>
      <w:r>
        <w:rPr>
          <w:rFonts w:asciiTheme="minorHAnsi" w:eastAsia="Georgia" w:hAnsiTheme="minorHAnsi" w:cstheme="minorHAnsi"/>
          <w:color w:val="000000"/>
          <w:sz w:val="20"/>
          <w:szCs w:val="20"/>
          <w:bdr w:val="nil"/>
          <w:lang w:val="hr-HR" w:eastAsia="es-MX"/>
        </w:rPr>
        <w:t xml:space="preserve">, and take a normal reference; Table 1</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-statistics include the factor and use a</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reference with</w:t>
      </w:r>
      <w:r>
        <w:rPr>
          <w:rFonts w:asciiTheme="minorHAnsi" w:eastAsia="Georgia" w:hAnsiTheme="minorHAnsi" w:cstheme="minorHAnsi"/>
          <w:color w:val="000000"/>
          <w:sz w:val="20"/>
          <w:szCs w:val="20"/>
          <w:bdr w:val="nil"/>
          <w:lang w:val="hr-HR" w:eastAsia="es-MX"/>
        </w:rPr>
        <w:t xml:space="preserve"> </w:t>
      </w:r>
      <m:oMath>
        <m:r>
          <m:t>G</m:t>
        </m:r>
        <m:r>
          <m:rPr>
            <m:sty m:val="p"/>
          </m:rPr>
          <m:t>−</m:t>
        </m:r>
        <m:r>
          <m:t>1</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degrees of freedom. Two-way clustering by date and stock follows Cameron et al. (2011), without the factor and with the variance bounded below at</w:t>
      </w:r>
      <w:r>
        <w:rPr>
          <w:rFonts w:asciiTheme="minorHAnsi" w:eastAsia="Georgia" w:hAnsiTheme="minorHAnsi" w:cstheme="minorHAnsi"/>
          <w:color w:val="000000"/>
          <w:sz w:val="20"/>
          <w:szCs w:val="20"/>
          <w:bdr w:val="nil"/>
          <w:lang w:val="hr-HR" w:eastAsia="es-MX"/>
        </w:rPr>
        <w:t xml:space="preserve"> </w:t>
      </w:r>
      <m:oMath>
        <m:sSup>
          <m:e>
            <m:r>
              <m:t>10</m:t>
            </m:r>
          </m:e>
          <m:sup>
            <m:r>
              <m:rPr>
                <m:sty m:val="p"/>
              </m:rPr>
              <m:t>−</m:t>
            </m:r>
            <m:r>
              <m:t>12</m:t>
            </m:r>
          </m:sup>
        </m:sSup>
      </m:oMath>
      <w:r>
        <w:rPr>
          <w:rFonts w:asciiTheme="minorHAnsi" w:eastAsia="Georgia" w:hAnsiTheme="minorHAnsi" w:cstheme="minorHAnsi"/>
          <w:color w:val="000000"/>
          <w:sz w:val="20"/>
          <w:szCs w:val="20"/>
          <w:bdr w:val="nil"/>
          <w:lang w:val="hr-HR" w:eastAsia="es-MX"/>
        </w:rPr>
        <w:t xml:space="preserve">. Table 3 reports</w:t>
      </w:r>
      <w:r>
        <w:rPr>
          <w:rFonts w:asciiTheme="minorHAnsi" w:eastAsia="Georgia" w:hAnsiTheme="minorHAnsi" w:cstheme="minorHAnsi"/>
          <w:color w:val="000000"/>
          <w:sz w:val="20"/>
          <w:szCs w:val="20"/>
          <w:bdr w:val="nil"/>
          <w:lang w:val="hr-HR" w:eastAsia="es-MX"/>
        </w:rPr>
        <w:t xml:space="preserve"> </w:t>
      </w:r>
      <m:oMath>
        <m:acc>
          <m:accPr>
            <m:chr m:val="̂"/>
          </m:accPr>
          <m:e>
            <m:r>
              <m:t>β</m:t>
            </m:r>
          </m:e>
        </m:acc>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from</w:t>
      </w:r>
      <w:r>
        <w:rPr>
          <w:rFonts w:asciiTheme="minorHAnsi" w:eastAsia="Georgia" w:hAnsiTheme="minorHAnsi" w:cstheme="minorHAnsi"/>
          <w:color w:val="000000"/>
          <w:sz w:val="20"/>
          <w:szCs w:val="20"/>
          <w:bdr w:val="nil"/>
          <w:lang w:val="hr-HR" w:eastAsia="es-MX"/>
        </w:rPr>
        <w:t xml:space="preserve"> </w:t>
      </w:r>
      <m:oMath>
        <m:sSub>
          <m:e>
            <m:r>
              <m:t>y</m:t>
            </m:r>
          </m:e>
          <m:sub>
            <m:r>
              <m:t>e</m:t>
            </m:r>
          </m:sub>
        </m:sSub>
        <m:r>
          <m:rPr>
            <m:sty m:val="p"/>
          </m:rPr>
          <m:t>=</m:t>
        </m:r>
        <m:r>
          <m:t>α</m:t>
        </m:r>
        <m:r>
          <m:rPr>
            <m:sty m:val="p"/>
          </m:rPr>
          <m:t>+</m:t>
        </m:r>
        <m:r>
          <m:t>β</m:t>
        </m:r>
        <m:sSub>
          <m:e>
            <m:r>
              <m:t>D</m:t>
            </m:r>
          </m:e>
          <m:sub>
            <m:r>
              <m:t>e</m:t>
            </m:r>
          </m:sub>
        </m:sSub>
        <m:r>
          <m:rPr>
            <m:sty m:val="p"/>
          </m:rPr>
          <m:t>+</m:t>
        </m:r>
        <m:sSub>
          <m:e>
            <m:r>
              <m:t>u</m:t>
            </m:r>
          </m:e>
          <m:sub>
            <m:r>
              <m:t>e</m:t>
            </m:r>
          </m:sub>
        </m:sSub>
      </m:oMath>
      <w:r>
        <w:rPr>
          <w:rFonts w:asciiTheme="minorHAnsi" w:eastAsia="Georgia" w:hAnsiTheme="minorHAnsi" w:cstheme="minorHAnsi"/>
          <w:color w:val="000000"/>
          <w:sz w:val="20"/>
          <w:szCs w:val="20"/>
          <w:bdr w:val="nil"/>
          <w:lang w:val="hr-HR" w:eastAsia="es-MX"/>
        </w:rPr>
        <w:t xml:space="preserve">, where</w:t>
      </w:r>
      <w:r>
        <w:rPr>
          <w:rFonts w:asciiTheme="minorHAnsi" w:eastAsia="Georgia" w:hAnsiTheme="minorHAnsi" w:cstheme="minorHAnsi"/>
          <w:color w:val="000000"/>
          <w:sz w:val="20"/>
          <w:szCs w:val="20"/>
          <w:bdr w:val="nil"/>
          <w:lang w:val="hr-HR" w:eastAsia="es-MX"/>
        </w:rPr>
        <w:t xml:space="preserve"> </w:t>
      </w:r>
      <m:oMath>
        <m:sSub>
          <m:e>
            <m:r>
              <m:t>D</m:t>
            </m:r>
          </m:e>
          <m:sub>
            <m:r>
              <m:t>e</m:t>
            </m:r>
          </m:sub>
        </m:sSub>
        <m:r>
          <m:rPr>
            <m:sty m:val="p"/>
          </m:rPr>
          <m:t>=</m:t>
        </m:r>
        <m:r>
          <m:t>1</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for limit closes and 0 for the comparison moves,</w:t>
      </w:r>
      <w:r>
        <w:rPr>
          <w:rFonts w:asciiTheme="minorHAnsi" w:eastAsia="Georgia" w:hAnsiTheme="minorHAnsi" w:cstheme="minorHAnsi"/>
          <w:color w:val="000000"/>
          <w:sz w:val="20"/>
          <w:szCs w:val="20"/>
          <w:bdr w:val="nil"/>
          <w:lang w:val="hr-HR" w:eastAsia="es-MX"/>
        </w:rPr>
        <w:t xml:space="preserve"> </w:t>
      </w:r>
      <m:oMath>
        <m:r>
          <m:t>α</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the intercept, and</w:t>
      </w:r>
      <w:r>
        <w:rPr>
          <w:rFonts w:asciiTheme="minorHAnsi" w:eastAsia="Georgia" w:hAnsiTheme="minorHAnsi" w:cstheme="minorHAnsi"/>
          <w:color w:val="000000"/>
          <w:sz w:val="20"/>
          <w:szCs w:val="20"/>
          <w:bdr w:val="nil"/>
          <w:lang w:val="hr-HR" w:eastAsia="es-MX"/>
        </w:rPr>
        <w:t xml:space="preserve"> </w:t>
      </w:r>
      <m:oMath>
        <m:sSub>
          <m:e>
            <m:r>
              <m:t>u</m:t>
            </m:r>
          </m:e>
          <m:sub>
            <m:r>
              <m:t>e</m:t>
            </m:r>
          </m:sub>
        </m:sSub>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the error, with date-clustered HC1 standard errors (R package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sandwich</w:t>
      </w:r>
      <w:r>
        <w:rPr>
          <w:rFonts w:asciiTheme="minorHAnsi" w:eastAsia="Georgia" w:hAnsiTheme="minorHAnsi" w:cstheme="minorHAnsi"/>
          <w:color w:val="000000"/>
          <w:sz w:val="20"/>
          <w:szCs w:val="20"/>
          <w:bdr w:val="nil"/>
          <w:lang w:val="hr-HR" w:eastAsia="es-MX"/>
        </w:rPr>
        <w:t xml:space="preserv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Characteristics.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We form cross-sections on trading days 120 (so that every lookback is complete), 125, and so on to 510:</w:t>
      </w:r>
      <w:r>
        <w:rPr>
          <w:rFonts w:asciiTheme="minorHAnsi" w:eastAsia="Georgia" w:hAnsiTheme="minorHAnsi" w:cstheme="minorHAnsi"/>
          <w:color w:val="000000"/>
          <w:sz w:val="20"/>
          <w:szCs w:val="20"/>
          <w:bdr w:val="nil"/>
          <w:lang w:val="hr-HR" w:eastAsia="es-MX"/>
        </w:rPr>
        <w:t xml:space="preserve"> </w:t>
      </w:r>
      <m:oMath>
        <m:r>
          <m:t>T</m:t>
        </m:r>
        <m:r>
          <m:rPr>
            <m:sty m:val="p"/>
          </m:rPr>
          <m:t>=</m:t>
        </m:r>
        <m:r>
          <m:t>79</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formation weeks</w:t>
      </w:r>
      <w:r>
        <w:rPr>
          <w:rFonts w:asciiTheme="minorHAnsi" w:eastAsia="Georgia" w:hAnsiTheme="minorHAnsi" w:cstheme="minorHAnsi"/>
          <w:color w:val="000000"/>
          <w:sz w:val="20"/>
          <w:szCs w:val="20"/>
          <w:bdr w:val="nil"/>
          <w:lang w:val="hr-HR" w:eastAsia="es-MX"/>
        </w:rPr>
        <w:t xml:space="preserve"> </w:t>
      </w:r>
      <m:oMath>
        <m:r>
          <m:t>τ</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(five-trading-day periods, not the calendar weeks used for clustering), each followed by a non-overlapping five-day holding period. Each week we rank-normalize each characteristic</w:t>
      </w:r>
      <w:r>
        <w:rPr>
          <w:rFonts w:asciiTheme="minorHAnsi" w:eastAsia="Georgia" w:hAnsiTheme="minorHAnsi" w:cstheme="minorHAnsi"/>
          <w:color w:val="000000"/>
          <w:sz w:val="20"/>
          <w:szCs w:val="20"/>
          <w:bdr w:val="nil"/>
          <w:lang w:val="hr-HR" w:eastAsia="es-MX"/>
        </w:rPr>
        <w:t xml:space="preserve"> </w:t>
      </w:r>
      <m:oMath>
        <m:sSub>
          <m:e>
            <m:r>
              <m:t>x</m:t>
            </m:r>
          </m:e>
          <m:sub>
            <m:r>
              <m:t>i</m:t>
            </m:r>
            <m:r>
              <m:rPr>
                <m:sty m:val="p"/>
              </m:rPr>
              <m:t>,</m:t>
            </m:r>
            <m:r>
              <m:t>τ</m:t>
            </m:r>
          </m:sub>
        </m:sSub>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across the</w:t>
      </w:r>
      <w:r>
        <w:rPr>
          <w:rFonts w:asciiTheme="minorHAnsi" w:eastAsia="Georgia" w:hAnsiTheme="minorHAnsi" w:cstheme="minorHAnsi"/>
          <w:color w:val="000000"/>
          <w:sz w:val="20"/>
          <w:szCs w:val="20"/>
          <w:bdr w:val="nil"/>
          <w:lang w:val="hr-HR" w:eastAsia="es-MX"/>
        </w:rPr>
        <w:t xml:space="preserve"> </w:t>
      </w:r>
      <m:oMath>
        <m:sSub>
          <m:e>
            <m:r>
              <m:t>n</m:t>
            </m:r>
          </m:e>
          <m:sub>
            <m:r>
              <m:t>τ</m:t>
            </m:r>
          </m:sub>
        </m:sSub>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stocks with complete data (all 115 days of the longest lookback, trades on at least 50 of the last 60 days, and next-five-day returns) as</w:t>
      </w:r>
      <w:r>
        <w:rPr>
          <w:rFonts w:asciiTheme="minorHAnsi" w:eastAsia="Georgia" w:hAnsiTheme="minorHAnsi" w:cstheme="minorHAnsi"/>
          <w:color w:val="000000"/>
          <w:sz w:val="20"/>
          <w:szCs w:val="20"/>
          <w:bdr w:val="nil"/>
          <w:lang w:val="hr-HR" w:eastAsia="es-MX"/>
        </w:rPr>
        <w:t xml:space="preserve"> </w:t>
      </w:r>
      <m:oMath>
        <m:sSub>
          <m:e>
            <m:r>
              <m:t>z</m:t>
            </m:r>
          </m:e>
          <m:sub>
            <m:r>
              <m:t>i</m:t>
            </m:r>
            <m:r>
              <m:rPr>
                <m:sty m:val="p"/>
              </m:rPr>
              <m:t>,</m:t>
            </m:r>
            <m:r>
              <m:t>τ</m:t>
            </m:r>
          </m:sub>
        </m:sSub>
        <m:r>
          <m:rPr>
            <m:sty m:val="p"/>
          </m:rPr>
          <m:t>=</m:t>
        </m:r>
        <m:sSup>
          <m:e>
            <m:r>
              <m:t>Φ</m:t>
            </m:r>
          </m:e>
          <m:sup>
            <m:r>
              <m:rPr>
                <m:sty m:val="p"/>
              </m:rPr>
              <m:t>−</m:t>
            </m:r>
            <m:r>
              <m:t>1</m:t>
            </m:r>
          </m:sup>
        </m:sSup>
        <m:r>
          <m:t>​</m:t>
        </m:r>
        <m:d>
          <m:dPr>
            <m:begChr m:val="("/>
            <m:sepChr m:val=""/>
            <m:endChr m:val=")"/>
            <m:grow/>
          </m:dPr>
          <m:e>
            <m:d>
              <m:dPr>
                <m:begChr m:val="("/>
                <m:sepChr m:val=""/>
                <m:endChr m:val=")"/>
                <m:grow/>
              </m:dPr>
              <m:e>
                <m:r>
                  <m:rPr>
                    <m:sty m:val="p"/>
                  </m:rPr>
                  <m:t>rank</m:t>
                </m:r>
                <m:d>
                  <m:dPr>
                    <m:begChr m:val="("/>
                    <m:sepChr m:val=""/>
                    <m:endChr m:val=")"/>
                    <m:grow/>
                  </m:dPr>
                  <m:e>
                    <m:sSub>
                      <m:e>
                        <m:r>
                          <m:t>x</m:t>
                        </m:r>
                      </m:e>
                      <m:sub>
                        <m:r>
                          <m:t>i</m:t>
                        </m:r>
                        <m:r>
                          <m:rPr>
                            <m:sty m:val="p"/>
                          </m:rPr>
                          <m:t>,</m:t>
                        </m:r>
                        <m:r>
                          <m:t>τ</m:t>
                        </m:r>
                      </m:sub>
                    </m:sSub>
                  </m:e>
                </m:d>
                <m:r>
                  <m:rPr>
                    <m:sty m:val="p"/>
                  </m:rPr>
                  <m:t>−</m:t>
                </m:r>
                <m:r>
                  <m:t>0.5</m:t>
                </m:r>
              </m:e>
            </m:d>
            <m:r>
              <m:rPr>
                <m:sty m:val="p"/>
              </m:rPr>
              <m:t>/</m:t>
            </m:r>
            <m:sSub>
              <m:e>
                <m:r>
                  <m:t>n</m:t>
                </m:r>
              </m:e>
              <m:sub>
                <m:r>
                  <m:t>τ</m:t>
                </m:r>
              </m:sub>
            </m:sSub>
          </m:e>
        </m:d>
      </m:oMath>
      <w:r>
        <w:rPr>
          <w:rFonts w:asciiTheme="minorHAnsi" w:eastAsia="Georgia" w:hAnsiTheme="minorHAnsi" w:cstheme="minorHAnsi"/>
          <w:color w:val="000000"/>
          <w:sz w:val="20"/>
          <w:szCs w:val="20"/>
          <w:bdr w:val="nil"/>
          <w:lang w:val="hr-HR" w:eastAsia="es-MX"/>
        </w:rPr>
        <w:t xml:space="preserve">, with ties at average ranks and</w:t>
      </w:r>
      <w:r>
        <w:rPr>
          <w:rFonts w:asciiTheme="minorHAnsi" w:eastAsia="Georgia" w:hAnsiTheme="minorHAnsi" w:cstheme="minorHAnsi"/>
          <w:color w:val="000000"/>
          <w:sz w:val="20"/>
          <w:szCs w:val="20"/>
          <w:bdr w:val="nil"/>
          <w:lang w:val="hr-HR" w:eastAsia="es-MX"/>
        </w:rPr>
        <w:t xml:space="preserve"> </w:t>
      </w:r>
      <m:oMath>
        <m:sSup>
          <m:e>
            <m:r>
              <m:t>Φ</m:t>
            </m:r>
          </m:e>
          <m:sup>
            <m:r>
              <m:rPr>
                <m:sty m:val="p"/>
              </m:rPr>
              <m:t>−</m:t>
            </m:r>
            <m:r>
              <m:t>1</m:t>
            </m:r>
          </m:sup>
        </m:sSup>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 inverse standard normal distribution function. The outcome</w:t>
      </w:r>
      <w:r>
        <w:rPr>
          <w:rFonts w:asciiTheme="minorHAnsi" w:eastAsia="Georgia" w:hAnsiTheme="minorHAnsi" w:cstheme="minorHAnsi"/>
          <w:color w:val="000000"/>
          <w:sz w:val="20"/>
          <w:szCs w:val="20"/>
          <w:bdr w:val="nil"/>
          <w:lang w:val="hr-HR" w:eastAsia="es-MX"/>
        </w:rPr>
        <w:t xml:space="preserve"> </w:t>
      </w:r>
      <m:oMath>
        <m:sSub>
          <m:e>
            <m:r>
              <m:t>y</m:t>
            </m:r>
          </m:e>
          <m:sub>
            <m:r>
              <m:t>i</m:t>
            </m:r>
            <m:r>
              <m:rPr>
                <m:sty m:val="p"/>
              </m:rPr>
              <m:t>,</m:t>
            </m:r>
            <m:r>
              <m:t>τ</m:t>
            </m:r>
          </m:sub>
        </m:sSub>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the stock’s compounded return over the next five trading days minus the</w:t>
      </w:r>
      <w:r>
        <w:rPr>
          <w:rFonts w:asciiTheme="minorHAnsi" w:eastAsia="Georgia" w:hAnsiTheme="minorHAnsi" w:cstheme="minorHAnsi"/>
          <w:color w:val="000000"/>
          <w:sz w:val="20"/>
          <w:szCs w:val="20"/>
          <w:bdr w:val="nil"/>
          <w:lang w:val="hr-HR" w:eastAsia="es-MX"/>
        </w:rPr>
        <w:t xml:space="preserve"> </w:t>
      </w:r>
      <m:oMath>
        <m:bar>
          <m:barPr>
            <m:pos m:val="top"/>
          </m:barPr>
          <m:e>
            <m:r>
              <m:t>V</m:t>
            </m:r>
          </m:e>
        </m:bar>
      </m:oMath>
      <w:r>
        <w:rPr>
          <w:rFonts w:asciiTheme="minorHAnsi" w:eastAsia="Georgia" w:hAnsiTheme="minorHAnsi" w:cstheme="minorHAnsi"/>
          <w:color w:val="000000"/>
          <w:sz w:val="20"/>
          <w:szCs w:val="20"/>
          <w:bdr w:val="nil"/>
          <w:lang w:val="hr-HR" w:eastAsia="es-MX"/>
        </w:rPr>
        <w:t xml:space="preserve">-weighted average five-day return of these stocks. The Fama and MacBeth (1973) regressions are</w:t>
      </w:r>
    </w:p>
    <w:p>
      <w:pPr/>
      <m:oMathPara>
        <m:oMathParaPr>
          <m:jc m:val="center"/>
        </m:oMathParaPr>
        <m:oMath>
          <m:sSub>
            <m:e>
              <m:r>
                <m:t>y</m:t>
              </m:r>
            </m:e>
            <m:sub>
              <m:r>
                <m:t>i</m:t>
              </m:r>
              <m:r>
                <m:rPr>
                  <m:sty m:val="p"/>
                </m:rPr>
                <m:t>,</m:t>
              </m:r>
              <m:r>
                <m:t>τ</m:t>
              </m:r>
            </m:sub>
          </m:sSub>
          <m:r>
            <m:rPr>
              <m:sty m:val="p"/>
            </m:rPr>
            <m:t>=</m:t>
          </m:r>
          <m:sSub>
            <m:e>
              <m:r>
                <m:t>a</m:t>
              </m:r>
            </m:e>
            <m:sub>
              <m:r>
                <m:t>τ</m:t>
              </m:r>
            </m:sub>
          </m:sSub>
          <m:r>
            <m:rPr>
              <m:sty m:val="p"/>
            </m:rPr>
            <m:t>+</m:t>
          </m:r>
          <m:sSub>
            <m:e>
              <m:r>
                <m:t>γ</m:t>
              </m:r>
            </m:e>
            <m:sub>
              <m:r>
                <m:t>τ</m:t>
              </m:r>
            </m:sub>
          </m:sSub>
          <m:r>
            <m:t> </m:t>
          </m:r>
          <m:sSub>
            <m:e>
              <m:r>
                <m:t>z</m:t>
              </m:r>
            </m:e>
            <m:sub>
              <m:r>
                <m:t>i</m:t>
              </m:r>
              <m:r>
                <m:rPr>
                  <m:sty m:val="p"/>
                </m:rPr>
                <m:t>,</m:t>
              </m:r>
              <m:r>
                <m:t>τ</m:t>
              </m:r>
            </m:sub>
          </m:sSub>
          <m:r>
            <m:rPr>
              <m:sty m:val="p"/>
            </m:rPr>
            <m:t>+</m:t>
          </m:r>
          <m:sSub>
            <m:e>
              <m:r>
                <m:t>ε</m:t>
              </m:r>
            </m:e>
            <m:sub>
              <m:r>
                <m:t>i</m:t>
              </m:r>
              <m:r>
                <m:rPr>
                  <m:sty m:val="p"/>
                </m:rPr>
                <m:t>,</m:t>
              </m:r>
              <m:r>
                <m:t>τ</m:t>
              </m:r>
            </m:sub>
          </m:sSub>
          <m:r>
            <m:rPr>
              <m:sty m:val="p"/>
            </m:rPr>
            <m:t>,</m:t>
          </m:r>
          <m:r>
            <m:t>  </m:t>
          </m:r>
          <m:acc>
            <m:accPr>
              <m:chr m:val="̂"/>
            </m:accPr>
            <m:e>
              <m:r>
                <m:t>γ</m:t>
              </m:r>
            </m:e>
          </m:acc>
          <m:r>
            <m:rPr>
              <m:sty m:val="p"/>
            </m:rPr>
            <m:t>=</m:t>
          </m:r>
          <m:f>
            <m:fPr>
              <m:type m:val="bar"/>
            </m:fPr>
            <m:num>
              <m:r>
                <m:t>1</m:t>
              </m:r>
            </m:num>
            <m:den>
              <m:r>
                <m:t>T</m:t>
              </m:r>
            </m:den>
          </m:f>
          <m:nary>
            <m:naryPr>
              <m:chr m:val="∑"/>
              <m:limLoc m:val="undOvr"/>
              <m:subHide m:val="off"/>
              <m:supHide m:val="off"/>
            </m:naryPr>
            <m:sub>
              <m:r>
                <m:t>τ</m:t>
              </m:r>
              <m:r>
                <m:rPr>
                  <m:sty m:val="p"/>
                </m:rPr>
                <m:t>=</m:t>
              </m:r>
              <m:r>
                <m:t>1</m:t>
              </m:r>
            </m:sub>
            <m:sup>
              <m:r>
                <m:t>T</m:t>
              </m:r>
            </m:sup>
            <m:e>
              <m:sSub>
                <m:e>
                  <m:acc>
                    <m:accPr>
                      <m:chr m:val="̂"/>
                    </m:accPr>
                    <m:e>
                      <m:r>
                        <m:t>γ</m:t>
                      </m:r>
                    </m:e>
                  </m:acc>
                </m:e>
                <m:sub>
                  <m:r>
                    <m:t>τ</m:t>
                  </m:r>
                </m:sub>
              </m:sSub>
            </m:e>
          </m:nary>
          <m:r>
            <m:rPr>
              <m:sty m:val="p"/>
            </m:rPr>
            <m:t>,</m:t>
          </m:r>
          <m:r>
            <m:t>  </m:t>
          </m:r>
          <m:r>
            <m:rPr>
              <m:nor/>
            </m:rPr>
            <m:t>(7)</m:t>
          </m:r>
        </m:oMath>
      </m:oMathPara>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with weekly intercept</w:t>
      </w:r>
      <w:r>
        <w:rPr>
          <w:rFonts w:asciiTheme="minorHAnsi" w:eastAsia="Georgia" w:hAnsiTheme="minorHAnsi" w:cstheme="minorHAnsi"/>
          <w:color w:val="000000"/>
          <w:sz w:val="20"/>
          <w:szCs w:val="20"/>
          <w:bdr w:val="nil"/>
          <w:lang w:val="hr-HR" w:eastAsia="es-MX"/>
        </w:rPr>
        <w:t xml:space="preserve"> </w:t>
      </w:r>
      <m:oMath>
        <m:sSub>
          <m:e>
            <m:r>
              <m:t>a</m:t>
            </m:r>
          </m:e>
          <m:sub>
            <m:r>
              <m:t>τ</m:t>
            </m:r>
          </m:sub>
        </m:sSub>
      </m:oMath>
      <w:r>
        <w:rPr>
          <w:rFonts w:asciiTheme="minorHAnsi" w:eastAsia="Georgia" w:hAnsiTheme="minorHAnsi" w:cstheme="minorHAnsi"/>
          <w:color w:val="000000"/>
          <w:sz w:val="20"/>
          <w:szCs w:val="20"/>
          <w:bdr w:val="nil"/>
          <w:lang w:val="hr-HR" w:eastAsia="es-MX"/>
        </w:rPr>
        <w:t xml:space="preserve">, slope</w:t>
      </w:r>
      <w:r>
        <w:rPr>
          <w:rFonts w:asciiTheme="minorHAnsi" w:eastAsia="Georgia" w:hAnsiTheme="minorHAnsi" w:cstheme="minorHAnsi"/>
          <w:color w:val="000000"/>
          <w:sz w:val="20"/>
          <w:szCs w:val="20"/>
          <w:bdr w:val="nil"/>
          <w:lang w:val="hr-HR" w:eastAsia="es-MX"/>
        </w:rPr>
        <w:t xml:space="preserve"> </w:t>
      </w:r>
      <m:oMath>
        <m:sSub>
          <m:e>
            <m:r>
              <m:t>γ</m:t>
            </m:r>
          </m:e>
          <m:sub>
            <m:r>
              <m:t>τ</m:t>
            </m:r>
          </m:sub>
        </m:sSub>
      </m:oMath>
      <w:r>
        <w:rPr>
          <w:rFonts w:asciiTheme="minorHAnsi" w:eastAsia="Georgia" w:hAnsiTheme="minorHAnsi" w:cstheme="minorHAnsi"/>
          <w:color w:val="000000"/>
          <w:sz w:val="20"/>
          <w:szCs w:val="20"/>
          <w:bdr w:val="nil"/>
          <w:lang w:val="hr-HR" w:eastAsia="es-MX"/>
        </w:rPr>
        <w:t xml:space="preserve">, and residual</w:t>
      </w:r>
      <w:r>
        <w:rPr>
          <w:rFonts w:asciiTheme="minorHAnsi" w:eastAsia="Georgia" w:hAnsiTheme="minorHAnsi" w:cstheme="minorHAnsi"/>
          <w:color w:val="000000"/>
          <w:sz w:val="20"/>
          <w:szCs w:val="20"/>
          <w:bdr w:val="nil"/>
          <w:lang w:val="hr-HR" w:eastAsia="es-MX"/>
        </w:rPr>
        <w:t xml:space="preserve"> </w:t>
      </w:r>
      <m:oMath>
        <m:sSub>
          <m:e>
            <m:r>
              <m:t>ε</m:t>
            </m:r>
          </m:e>
          <m:sub>
            <m:r>
              <m:t>i</m:t>
            </m:r>
            <m:r>
              <m:rPr>
                <m:sty m:val="p"/>
              </m:rPr>
              <m:t>,</m:t>
            </m:r>
            <m:r>
              <m:t>τ</m:t>
            </m:r>
          </m:sub>
        </m:sSub>
      </m:oMath>
      <w:r>
        <w:rPr>
          <w:rFonts w:asciiTheme="minorHAnsi" w:eastAsia="Georgia" w:hAnsiTheme="minorHAnsi" w:cstheme="minorHAnsi"/>
          <w:color w:val="000000"/>
          <w:sz w:val="20"/>
          <w:szCs w:val="20"/>
          <w:bdr w:val="nil"/>
          <w:lang w:val="hr-HR" w:eastAsia="es-MX"/>
        </w:rPr>
        <w:t xml:space="preserve">. The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-statistic of</w:t>
      </w:r>
      <w:r>
        <w:rPr>
          <w:rFonts w:asciiTheme="minorHAnsi" w:eastAsia="Georgia" w:hAnsiTheme="minorHAnsi" w:cstheme="minorHAnsi"/>
          <w:color w:val="000000"/>
          <w:sz w:val="20"/>
          <w:szCs w:val="20"/>
          <w:bdr w:val="nil"/>
          <w:lang w:val="hr-HR" w:eastAsia="es-MX"/>
        </w:rPr>
        <w:t xml:space="preserve"> </w:t>
      </w:r>
      <m:oMath>
        <m:acc>
          <m:accPr>
            <m:chr m:val="̂"/>
          </m:accPr>
          <m:e>
            <m:r>
              <m:t>γ</m:t>
            </m:r>
          </m:e>
        </m:acc>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uses Newey and West (1987) standard errors (four lags, Bartlett weights, no prewhitening) and 78 degrees of freedom. Supplementary Material S1 defines the 22 momentum, reversal, risk, liquidity, volume, and intraday characteristics. We also report long–short spreads between the extreme quintiles, before and after a cost of 25 basis points per unit of traded value. The minimum detectable effect at 80% power and a 5% two-sided level is</w:t>
      </w:r>
      <w:r>
        <w:rPr>
          <w:rFonts w:asciiTheme="minorHAnsi" w:eastAsia="Georgia" w:hAnsiTheme="minorHAnsi" w:cstheme="minorHAnsi"/>
          <w:color w:val="000000"/>
          <w:sz w:val="20"/>
          <w:szCs w:val="20"/>
          <w:bdr w:val="nil"/>
          <w:lang w:val="hr-HR" w:eastAsia="es-MX"/>
        </w:rPr>
        <w:t xml:space="preserve"> </w:t>
      </w:r>
      <m:oMath>
        <m:r>
          <m:rPr>
            <m:nor/>
          </m:rPr>
          <m:t>MDE</m:t>
        </m:r>
        <m:r>
          <m:rPr>
            <m:sty m:val="p"/>
          </m:rPr>
          <m:t>=</m:t>
        </m:r>
        <m:d>
          <m:dPr>
            <m:begChr m:val="("/>
            <m:sepChr m:val=""/>
            <m:endChr m:val=")"/>
            <m:grow/>
          </m:dPr>
          <m:e>
            <m:r>
              <m:t>1.96</m:t>
            </m:r>
            <m:r>
              <m:rPr>
                <m:sty m:val="p"/>
              </m:rPr>
              <m:t>+</m:t>
            </m:r>
            <m:r>
              <m:t>0.84</m:t>
            </m:r>
          </m:e>
        </m:d>
        <m:r>
          <m:t> </m:t>
        </m:r>
        <m:acc>
          <m:accPr>
            <m:chr m:val="̂"/>
          </m:accPr>
          <m:e>
            <m:r>
              <m:rPr>
                <m:nor/>
              </m:rPr>
              <m:t>SE</m:t>
            </m:r>
          </m:e>
        </m:acc>
        <m:d>
          <m:dPr>
            <m:begChr m:val="("/>
            <m:sepChr m:val=""/>
            <m:endChr m:val=")"/>
            <m:grow/>
          </m:dPr>
          <m:e>
            <m:acc>
              <m:accPr>
                <m:chr m:val="̂"/>
              </m:accPr>
              <m:e>
                <m:r>
                  <m:t>γ</m:t>
                </m:r>
              </m:e>
            </m:acc>
          </m:e>
        </m:d>
        <m:r>
          <m:rPr>
            <m:sty m:val="p"/>
          </m:rPr>
          <m:t>≈</m:t>
        </m:r>
        <m:r>
          <m:t>2.8</m:t>
        </m:r>
        <m:r>
          <m:t> </m:t>
        </m:r>
        <m:acc>
          <m:accPr>
            <m:chr m:val="̂"/>
          </m:accPr>
          <m:e>
            <m:r>
              <m:rPr>
                <m:nor/>
              </m:rPr>
              <m:t>SE</m:t>
            </m:r>
          </m:e>
        </m:acc>
        <m:d>
          <m:dPr>
            <m:begChr m:val="("/>
            <m:sepChr m:val=""/>
            <m:endChr m:val=")"/>
            <m:grow/>
          </m:dPr>
          <m:e>
            <m:acc>
              <m:accPr>
                <m:chr m:val="̂"/>
              </m:accPr>
              <m:e>
                <m:r>
                  <m:t>γ</m:t>
                </m:r>
              </m:e>
            </m:acc>
          </m:e>
        </m:d>
      </m:oMath>
      <w:r>
        <w:rPr>
          <w:rFonts w:asciiTheme="minorHAnsi" w:eastAsia="Georgia" w:hAnsiTheme="minorHAnsi" w:cstheme="minorHAnsi"/>
          <w:color w:val="000000"/>
          <w:sz w:val="20"/>
          <w:szCs w:val="20"/>
          <w:bdr w:val="nil"/>
          <w:lang w:val="hr-HR" w:eastAsia="es-MX"/>
        </w:rPr>
        <w:t xml:space="preserve">, with</w:t>
      </w:r>
      <w:r>
        <w:rPr>
          <w:rFonts w:asciiTheme="minorHAnsi" w:eastAsia="Georgia" w:hAnsiTheme="minorHAnsi" w:cstheme="minorHAnsi"/>
          <w:color w:val="000000"/>
          <w:sz w:val="20"/>
          <w:szCs w:val="20"/>
          <w:bdr w:val="nil"/>
          <w:lang w:val="hr-HR" w:eastAsia="es-MX"/>
        </w:rPr>
        <w:t xml:space="preserve"> </w:t>
      </w:r>
      <m:oMath>
        <m:acc>
          <m:accPr>
            <m:chr m:val="̂"/>
          </m:accPr>
          <m:e>
            <m:r>
              <m:rPr>
                <m:nor/>
              </m:rPr>
              <m:t>SE</m:t>
            </m:r>
          </m:e>
        </m:acc>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 Newey–West standard error.</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Multiplicity and survival.</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The family has</w:t>
      </w:r>
      <w:r>
        <w:rPr>
          <w:rFonts w:asciiTheme="minorHAnsi" w:eastAsia="Georgia" w:hAnsiTheme="minorHAnsi" w:cstheme="minorHAnsi"/>
          <w:color w:val="000000"/>
          <w:sz w:val="20"/>
          <w:szCs w:val="20"/>
          <w:bdr w:val="nil"/>
          <w:lang w:val="hr-HR" w:eastAsia="es-MX"/>
        </w:rPr>
        <w:t xml:space="preserve"> </w:t>
      </w:r>
      <m:oMath>
        <m:r>
          <m:t>m</m:t>
        </m:r>
        <m:r>
          <m:rPr>
            <m:sty m:val="p"/>
          </m:rPr>
          <m:t>=</m:t>
        </m:r>
        <m:r>
          <m:t>26</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tests: 22 characteristics and the ceiling and floor tests at the two horizons of Equation (4). With</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-values ordered as</w:t>
      </w:r>
      <w:r>
        <w:rPr>
          <w:rFonts w:asciiTheme="minorHAnsi" w:eastAsia="Georgia" w:hAnsiTheme="minorHAnsi" w:cstheme="minorHAnsi"/>
          <w:color w:val="000000"/>
          <w:sz w:val="20"/>
          <w:szCs w:val="20"/>
          <w:bdr w:val="nil"/>
          <w:lang w:val="hr-HR" w:eastAsia="es-MX"/>
        </w:rPr>
        <w:t xml:space="preserve"> </w:t>
      </w:r>
      <m:oMath>
        <m:sSub>
          <m:e>
            <m:r>
              <m:t>p</m:t>
            </m:r>
          </m:e>
          <m:sub>
            <m:d>
              <m:dPr>
                <m:begChr m:val="("/>
                <m:sepChr m:val=""/>
                <m:endChr m:val=")"/>
                <m:grow/>
              </m:dPr>
              <m:e>
                <m:r>
                  <m:t>1</m:t>
                </m:r>
              </m:e>
            </m:d>
          </m:sub>
        </m:sSub>
        <m:r>
          <m:rPr>
            <m:sty m:val="p"/>
          </m:rPr>
          <m:t>≤</m:t>
        </m:r>
        <m:r>
          <m:rPr>
            <m:sty m:val="p"/>
          </m:rPr>
          <m:t>…</m:t>
        </m:r>
        <m:r>
          <m:rPr>
            <m:sty m:val="p"/>
          </m:rPr>
          <m:t>≤</m:t>
        </m:r>
        <m:sSub>
          <m:e>
            <m:r>
              <m:t>p</m:t>
            </m:r>
          </m:e>
          <m:sub>
            <m:d>
              <m:dPr>
                <m:begChr m:val="("/>
                <m:sepChr m:val=""/>
                <m:endChr m:val=")"/>
                <m:grow/>
              </m:dPr>
              <m:e>
                <m:r>
                  <m:t>m</m:t>
                </m:r>
              </m:e>
            </m:d>
          </m:sub>
        </m:sSub>
      </m:oMath>
      <w:r>
        <w:rPr>
          <w:rFonts w:asciiTheme="minorHAnsi" w:eastAsia="Georgia" w:hAnsiTheme="minorHAnsi" w:cstheme="minorHAnsi"/>
          <w:color w:val="000000"/>
          <w:sz w:val="20"/>
          <w:szCs w:val="20"/>
          <w:bdr w:val="nil"/>
          <w:lang w:val="hr-HR" w:eastAsia="es-MX"/>
        </w:rPr>
        <w:t xml:space="preserve">, the Benjamini–Hochberg (BH) adjusted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 at rank</w:t>
      </w:r>
      <w:r>
        <w:rPr>
          <w:rFonts w:asciiTheme="minorHAnsi" w:eastAsia="Georgia" w:hAnsiTheme="minorHAnsi" w:cstheme="minorHAnsi"/>
          <w:color w:val="000000"/>
          <w:sz w:val="20"/>
          <w:szCs w:val="20"/>
          <w:bdr w:val="nil"/>
          <w:lang w:val="hr-HR" w:eastAsia="es-MX"/>
        </w:rPr>
        <w:t xml:space="preserve"> </w:t>
      </w:r>
      <m:oMath>
        <m:r>
          <m:t>r</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w:t>
      </w:r>
    </w:p>
    <w:p>
      <w:pPr/>
      <m:oMathPara>
        <m:oMathParaPr>
          <m:jc m:val="center"/>
        </m:oMathParaPr>
        <m:oMath>
          <m:sSub>
            <m:e>
              <m:acc>
                <m:accPr>
                  <m:chr m:val="̃"/>
                </m:accPr>
                <m:e>
                  <m:r>
                    <m:t>p</m:t>
                  </m:r>
                </m:e>
              </m:acc>
            </m:e>
            <m:sub>
              <m:d>
                <m:dPr>
                  <m:begChr m:val="("/>
                  <m:sepChr m:val=""/>
                  <m:endChr m:val=")"/>
                  <m:grow/>
                </m:dPr>
                <m:e>
                  <m:r>
                    <m:t>r</m:t>
                  </m:r>
                </m:e>
              </m:d>
            </m:sub>
          </m:sSub>
          <m:r>
            <m:rPr>
              <m:sty m:val="p"/>
            </m:rPr>
            <m:t>=</m:t>
          </m:r>
          <m:limLow>
            <m:e>
              <m:r>
                <m:rPr>
                  <m:sty m:val="p"/>
                </m:rPr>
                <m:t>min</m:t>
              </m:r>
            </m:e>
            <m:lim>
              <m:r>
                <m:t>s</m:t>
              </m:r>
              <m:r>
                <m:rPr>
                  <m:sty m:val="p"/>
                </m:rPr>
                <m:t>≥</m:t>
              </m:r>
              <m:r>
                <m:t>r</m:t>
              </m:r>
            </m:lim>
          </m:limLow>
          <m:d>
            <m:dPr>
              <m:begChr m:val="{"/>
              <m:sepChr m:val=""/>
              <m:endChr m:val="}"/>
              <m:grow/>
            </m:dPr>
            <m:e>
              <m:r>
                <m:rPr>
                  <m:sty m:val="p"/>
                </m:rPr>
                <m:t>min</m:t>
              </m:r>
              <m:r>
                <m:t>​</m:t>
              </m:r>
              <m:d>
                <m:dPr>
                  <m:begChr m:val="("/>
                  <m:sepChr m:val=""/>
                  <m:endChr m:val=")"/>
                  <m:grow/>
                </m:dPr>
                <m:e>
                  <m:r>
                    <m:t>1</m:t>
                  </m:r>
                  <m:r>
                    <m:rPr>
                      <m:sty m:val="p"/>
                    </m:rPr>
                    <m:t>,</m:t>
                  </m:r>
                  <m:f>
                    <m:fPr>
                      <m:type m:val="bar"/>
                    </m:fPr>
                    <m:num>
                      <m:r>
                        <m:t>m</m:t>
                      </m:r>
                    </m:num>
                    <m:den>
                      <m:r>
                        <m:t>s</m:t>
                      </m:r>
                    </m:den>
                  </m:f>
                  <m:r>
                    <m:t> </m:t>
                  </m:r>
                  <m:sSub>
                    <m:e>
                      <m:r>
                        <m:t>p</m:t>
                      </m:r>
                    </m:e>
                    <m:sub>
                      <m:d>
                        <m:dPr>
                          <m:begChr m:val="("/>
                          <m:sepChr m:val=""/>
                          <m:endChr m:val=")"/>
                          <m:grow/>
                        </m:dPr>
                        <m:e>
                          <m:r>
                            <m:t>s</m:t>
                          </m:r>
                        </m:e>
                      </m:d>
                    </m:sub>
                  </m:sSub>
                </m:e>
              </m:d>
            </m:e>
          </m:d>
          <m:r>
            <m:rPr>
              <m:sty m:val="p"/>
            </m:rPr>
            <m:t>,</m:t>
          </m:r>
          <m:r>
            <m:t>  </m:t>
          </m:r>
          <m:r>
            <m:rPr>
              <m:nor/>
            </m:rPr>
            <m:t>(8)</m:t>
          </m:r>
        </m:oMath>
      </m:oMathPara>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and we also report Holm (1979) adjustments and the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 3 hurdle of Harvey et al. (2016). A test survives if</w:t>
      </w:r>
      <w:r>
        <w:rPr>
          <w:rFonts w:asciiTheme="minorHAnsi" w:eastAsia="Georgia" w:hAnsiTheme="minorHAnsi" w:cstheme="minorHAnsi"/>
          <w:color w:val="000000"/>
          <w:sz w:val="20"/>
          <w:szCs w:val="20"/>
          <w:bdr w:val="nil"/>
          <w:lang w:val="hr-HR" w:eastAsia="es-MX"/>
        </w:rPr>
        <w:t xml:space="preserve"> </w:t>
      </w:r>
      <m:oMath>
        <m:acc>
          <m:accPr>
            <m:chr m:val="̃"/>
          </m:accPr>
          <m:e>
            <m:r>
              <m:t>p</m:t>
            </m:r>
          </m:e>
        </m:acc>
        <m:r>
          <m:rPr>
            <m:sty m:val="p"/>
          </m:rPr>
          <m:t>&lt;</m:t>
        </m:r>
        <m:r>
          <m:t>0.05</m:t>
        </m:r>
      </m:oMath>
      <w:r>
        <w:rPr>
          <w:rFonts w:asciiTheme="minorHAnsi" w:eastAsia="Georgia" w:hAnsiTheme="minorHAnsi" w:cstheme="minorHAnsi"/>
          <w:color w:val="000000"/>
          <w:sz w:val="20"/>
          <w:szCs w:val="20"/>
          <w:bdr w:val="nil"/>
          <w:lang w:val="hr-HR" w:eastAsia="es-MX"/>
        </w:rPr>
        <w:t xml:space="preserve">, which controls the FDR at 5%; if its signs agree in the discovery half (the first 39 weeks, or events up to the median event date) and the confirmation half; and if its confirmation-half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exceeds 1.96. Lookbacks overlap the discovery half, so the confirmation half is not a strict hold-out, and the weekly regressions (from day 120) and event window (from day 61) cover different spans. We place the four event tests and the 22 characteristics in one family because the analysis plan treated all 26 as candidate predictors of short-horizon returns examined on the same data, so the limit result pays for every candidate signal in the plan; Section 3 reports the event tests under alternative family definitions.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Analysis plan.</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We fixed the family, estimators, multiplicity control, and survival rule in a written analysis plan before computing results. A version-control time stamp dates the plan before the first analysis code, but no external registry holds it and we had examined related data in earlier work, so it gives no independent confirmation. We departed from it by reading its ambiguous second horizon as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+1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(not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+2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splitting event halves at the median event date (not weeks 39 and 40), reporting quintile rather than decile spreads, and omitting its same-stock control and multivariate model. Analyses added after the first results are exploratory, and the tests of H</w:t>
      </w:r>
      <w:r>
        <w:rPr>
          <w:rFonts w:asciiTheme="minorHAnsi" w:eastAsia="Georgia" w:hAnsiTheme="minorHAnsi" w:cstheme="minorHAnsi"/>
          <w:color w:val="000000"/>
          <w:sz w:val="20"/>
          <w:szCs w:val="20"/>
          <w:bdr w:val="nil"/>
          <w:vertAlign w:val="subscript"/>
          <w:lang w:val="hr-HR" w:eastAsia="es-MX"/>
        </w:rPr>
        <w:t xml:space="preserve">2</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to H</w:t>
      </w:r>
      <w:r>
        <w:rPr>
          <w:rFonts w:asciiTheme="minorHAnsi" w:eastAsia="Georgia" w:hAnsiTheme="minorHAnsi" w:cstheme="minorHAnsi"/>
          <w:color w:val="000000"/>
          <w:sz w:val="20"/>
          <w:szCs w:val="20"/>
          <w:bdr w:val="nil"/>
          <w:vertAlign w:val="subscript"/>
          <w:lang w:val="hr-HR" w:eastAsia="es-MX"/>
        </w:rPr>
        <w:t xml:space="preserve">4</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rest on them: the decomposition, next-open returns, control group, sub-limit comparison, exact hits, two-way clustering, subsamples, terciles, platform split, and outlier exclusion. We also screened several candidate ideas on the same data before choosing this one, so effect sizes may be overstated.</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i/>
          <w:color w:val="000000"/>
          <w:sz w:val="20"/>
          <w:szCs w:val="20"/>
          <w:bdr w:val="nil"/>
          <w:lang w:val="hr-HR" w:eastAsia="es-MX"/>
        </w:rPr>
        <w:t xml:space="preserve">Software and code.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We use R 4.3.3 (packages sandwich 3.1.0, lmtest 0.9.40, and ggplot2 3.4.4). One script reproduces every number, table, and figure; code, data, and output tables are public (Section 6.5).</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3. Results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event sample holds 3,187 ceiling events on 446 dates and 2,105 floor events on 319 dates. Limit closes cluster in market episodes, so our standard errors allow dependence across dates, weeks, 10-day blocks, and stocks.</w:t>
      </w:r>
    </w:p>
    <w:p w14:paraId="6A806C1A"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Figure 1</w:t>
      </w:r>
      <w:r>
        <w:rPr>
          <w:rFonts w:asciiTheme="minorHAnsi" w:eastAsia="Georgia" w:hAnsiTheme="minorHAnsi" w:cstheme="minorHAnsi"/>
          <w:color w:val="000000"/>
          <w:sz w:val="18"/>
          <w:szCs w:val="18"/>
          <w:bdr w:val="nil"/>
          <w:lang w:val="hr-HR" w:eastAsia="es-MX"/>
        </w:rPr>
        <w:t xml:space="preserve"> plots the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-statistics of the 22 slopes</w:t>
      </w:r>
      <w:r>
        <w:rPr>
          <w:rFonts w:asciiTheme="minorHAnsi" w:eastAsia="Georgia" w:hAnsiTheme="minorHAnsi" w:cstheme="minorHAnsi"/>
          <w:color w:val="000000"/>
          <w:sz w:val="18"/>
          <w:szCs w:val="18"/>
          <w:bdr w:val="nil"/>
          <w:lang w:val="hr-HR" w:eastAsia="es-MX"/>
        </w:rPr>
        <w:t xml:space="preserve"> </w:t>
      </w:r>
      <m:oMath>
        <m:acc>
          <m:accPr>
            <m:chr m:val="̂"/>
          </m:accPr>
          <m:e>
            <m:r>
              <m:t>γ</m:t>
            </m:r>
          </m:e>
        </m:acc>
      </m:oMath>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in Equation (7): none reaches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 3 in any sample or 1.96 in the full sample, and none survives the BH control. The largest full-sample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is 1.45, for 3-month and idiosyncratic momentum (confirmation-half</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of 1.17 and 1.14). After the 25-basis-point cost, 18 of the 22 long–short quintile spreads are negative. With 79 weekly cross-sections, the MDE at 80% power is 0.12 to 0.31 percentage points per week per standard deviation, so the null excludes only large effects. With eight Newey–West lags the largest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is 1.79, and dropping the least liquid 20% of stocks leaves it at 1.62.</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Without market capitalization or accounting data, we cannot test the size and earnings-to-price effects that Huang et al. (2023) find in Vietnam, so our null does not contradict theirs. A short sample, which leaves a premium of a tenth of a percentage point per week below the MDE, and limits that censor the highs and lows of range-based characteristics can each produce the null, and we draw no conclusion about market efficiency from it.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1</w:t>
      </w:r>
      <w:r>
        <w:rPr>
          <w:rFonts w:asciiTheme="minorHAnsi" w:eastAsia="Georgia" w:hAnsiTheme="minorHAnsi" w:cstheme="minorHAnsi"/>
          <w:color w:val="000000"/>
          <w:sz w:val="18"/>
          <w:szCs w:val="18"/>
          <w:bdr w:val="nil"/>
          <w:lang w:val="hr-HR" w:eastAsia="es-MX"/>
        </w:rPr>
        <w:t xml:space="preserve"> reports the event tests. Ceiling closes earn a market-adjusted return of 1.66% on day</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+1 and 1.45% over days</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+1 to</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+5, and floor closes earn −0.71% and −1.76%. All four tests survive the BH control (Equation (8); adjusted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p</w:t>
      </w:r>
      <w:r>
        <w:rPr>
          <w:rFonts w:asciiTheme="minorHAnsi" w:eastAsia="Georgia" w:hAnsiTheme="minorHAnsi" w:cstheme="minorHAnsi"/>
          <w:color w:val="000000"/>
          <w:sz w:val="18"/>
          <w:szCs w:val="18"/>
          <w:bdr w:val="nil"/>
          <w:lang w:val="hr-HR" w:eastAsia="es-MX"/>
        </w:rPr>
        <w:t xml:space="preserve">-values of at most 0.0004), keep their signs in both halves, and exceed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 1.96 in the confirmation half. Clustering by calendar week or 10-day block, with a</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reference, leaves all four significant. The floor five-day test clears the confirmation criterion by the smallest margin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 −2.22 with week clusters), and all four tests survive the rule re-applied with week-clustered statistics.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For ceilings, the five-day result comes from the first day: over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+2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the ceiling return is −0.24%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−1.53). After floor closes,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+2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add −1.10%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−2.91), but the confirmation-half week-clustered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−1.14. With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+2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as the second horizon, the ceiling test would fail and the floor test would fail the confirmation criterion. Ceiling closes carry a one-day effect, and floor closes a one-day effect plus some later drift. These tests support H</w:t>
      </w:r>
      <w:r>
        <w:rPr>
          <w:rFonts w:asciiTheme="minorHAnsi" w:eastAsia="Georgia" w:hAnsiTheme="minorHAnsi" w:cstheme="minorHAnsi"/>
          <w:color w:val="000000"/>
          <w:sz w:val="20"/>
          <w:szCs w:val="20"/>
          <w:bdr w:val="nil"/>
          <w:vertAlign w:val="subscript"/>
          <w:lang w:val="hr-HR" w:eastAsia="es-MX"/>
        </w:rPr>
        <w:t xml:space="preserve">1</w:t>
      </w:r>
      <w:r>
        <w:rPr>
          <w:rFonts w:asciiTheme="minorHAnsi" w:eastAsia="Georgia" w:hAnsiTheme="minorHAnsi" w:cstheme="minorHAnsi"/>
          <w:color w:val="000000"/>
          <w:sz w:val="20"/>
          <w:szCs w:val="20"/>
          <w:bdr w:val="nil"/>
          <w:lang w:val="hr-HR" w:eastAsia="es-MX"/>
        </w:rPr>
        <w:t xml:space="preserve">: limit closes predict the next day’s abnormal return, whereas none of the 22 characteristics passes the same screen at its weekly horizon.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2</w:t>
      </w:r>
      <w:r>
        <w:rPr>
          <w:rFonts w:asciiTheme="minorHAnsi" w:eastAsia="Georgia" w:hAnsiTheme="minorHAnsi" w:cstheme="minorHAnsi"/>
          <w:color w:val="000000"/>
          <w:sz w:val="18"/>
          <w:szCs w:val="18"/>
          <w:bdr w:val="nil"/>
          <w:lang w:val="hr-HR" w:eastAsia="es-MX"/>
        </w:rPr>
        <w:t xml:space="preserve"> decomposes the next-day return as in Equation (5). After a ceiling close the overnight gap is 2.24% (two-way-clustered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 9.7) and the intraday return is −0.54%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 −3.5): the session reverses about 24% of the gap, and the close-to-close effect is positive because the gap exceeds the giveback. The effect sits in the opening auction, as H</w:t>
      </w:r>
      <w:r>
        <w:rPr>
          <w:rFonts w:asciiTheme="minorHAnsi" w:eastAsia="Georgia" w:hAnsiTheme="minorHAnsi" w:cstheme="minorHAnsi"/>
          <w:color w:val="000000"/>
          <w:sz w:val="18"/>
          <w:szCs w:val="18"/>
          <w:bdr w:val="nil"/>
          <w:vertAlign w:val="subscript"/>
          <w:lang w:val="hr-HR" w:eastAsia="es-MX"/>
        </w:rPr>
        <w:t xml:space="preserve">2</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predicts. A stock that closes at its ceiling may carry unfilled buy orders into the night; those orders and any overnight news would set the opening price, and the intraday reversal suggests that part of that price reflects transient demand.</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After a floor close the gap is −0.97%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−4.6) and the intraday return is a weak reversal of 0.30%. The ceiling gap holds for exact limit hits (2.79%) and for the first day of a streak of exact hits (2.39%). Near hits show a smaller gap (1.67%) and no significant intraday return, but their median 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return is 6.89% against 6.90% for exact hits, and 83% of their closes are not multiples of the tick size. This points to later price adjustment by the vendor rather than to closes below the limit. The split is therefore weighted toward higher-priced stocks, where the tick is coarser, and we do not read the difference as a gradient toward the limit. The gap appears in both halves of the sample, on days locked at one price from open to close, and, for ceilings, in each tercile of 60-day average dollar volume (1.52% in the most liquid). Against same-date controls the ceiling gap is 2.70% and the floor close-to-close return −1.65%, so the floor effect depends on the benchmark. Floor events cluster on market-wide down days (740 of 2,111 remain without days on which the market fell more than 2%), and the floor gap is not significant in the least liquid tercile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−1.0).</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An outside buyer cannot capture the close-to-close continuation: a buyer who wants a stock at its ceiling joins a queue at the close, so the first obtainable price is the next open, which already contains the gap. From that open the ceiling return through the fifth close is −0.75% against the market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−2.7) and −0.53% against same-date controls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−1.8), which supports H</w:t>
      </w:r>
      <w:r>
        <w:rPr>
          <w:rFonts w:asciiTheme="minorHAnsi" w:eastAsia="Georgia" w:hAnsiTheme="minorHAnsi" w:cstheme="minorHAnsi"/>
          <w:color w:val="000000"/>
          <w:sz w:val="20"/>
          <w:szCs w:val="20"/>
          <w:bdr w:val="nil"/>
          <w:vertAlign w:val="subscript"/>
          <w:lang w:val="hr-HR" w:eastAsia="es-MX"/>
        </w:rPr>
        <w:t xml:space="preserve">4</w:t>
      </w:r>
      <w:r>
        <w:rPr>
          <w:rFonts w:asciiTheme="minorHAnsi" w:eastAsia="Georgia" w:hAnsiTheme="minorHAnsi" w:cstheme="minorHAnsi"/>
          <w:color w:val="000000"/>
          <w:sz w:val="20"/>
          <w:szCs w:val="20"/>
          <w:bdr w:val="nil"/>
          <w:lang w:val="hr-HR" w:eastAsia="es-MX"/>
        </w:rPr>
        <w:t xml:space="preserve">; a holder who sells at the next open avoids the intraday giveback. These figures use quoted prices and ignore achievable fills: 522 ceiling events were locked at one price all day, and some of these stocks opened at the limit the next day, where a buyer may be rationed. After floor closes, prices fall a further 0.82% from the next open to the fifth close against the market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−1.7), which is not significant at the 5% level.</w:t>
      </w:r>
    </w:p>
    <w:p w14:paraId="6A806C1A"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Figure 2</w:t>
      </w:r>
      <w:r>
        <w:rPr>
          <w:rFonts w:asciiTheme="minorHAnsi" w:eastAsia="Georgia" w:hAnsiTheme="minorHAnsi" w:cstheme="minorHAnsi"/>
          <w:color w:val="000000"/>
          <w:sz w:val="18"/>
          <w:szCs w:val="18"/>
          <w:bdr w:val="nil"/>
          <w:lang w:val="hr-HR" w:eastAsia="es-MX"/>
        </w:rPr>
        <w:t xml:space="preserve"> plots the three next-day measures against the size of the day-</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move. Inside the band the close-to-close relation is negative, a short-term reversal. At the limit the relation breaks, and the overnight gap jumps up at the ceiling and down at the floor.</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3</w:t>
      </w:r>
      <w:r>
        <w:rPr>
          <w:rFonts w:asciiTheme="minorHAnsi" w:eastAsia="Georgia" w:hAnsiTheme="minorHAnsi" w:cstheme="minorHAnsi"/>
          <w:color w:val="000000"/>
          <w:sz w:val="18"/>
          <w:szCs w:val="18"/>
          <w:bdr w:val="nil"/>
          <w:lang w:val="hr-HR" w:eastAsia="es-MX"/>
        </w:rPr>
        <w:t xml:space="preserve"> quantifies the break. Ceiling closers have a gap 2.66 percentage points larger than stocks that rose 5% to 6.5%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 14.0) and an intraday return 0.31 points lower. Floor closers have a gap 1.59 points lower than stocks that fell 5% to 6.5%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 −9.7). Because the event rule requires a close at the day’s high (low), we repeat the comparison with stocks that also closed there. The ceiling gap is then 3.14 points larger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 14.5) and the floor gap 1.81 points lower, so a strong close does not explain the contrast, which supports H</w:t>
      </w:r>
      <w:r>
        <w:rPr>
          <w:rFonts w:asciiTheme="minorHAnsi" w:eastAsia="Georgia" w:hAnsiTheme="minorHAnsi" w:cstheme="minorHAnsi"/>
          <w:color w:val="000000"/>
          <w:sz w:val="18"/>
          <w:szCs w:val="18"/>
          <w:bdr w:val="nil"/>
          <w:vertAlign w:val="subscript"/>
          <w:lang w:val="hr-HR" w:eastAsia="es-MX"/>
        </w:rPr>
        <w:t xml:space="preserve">3</w:t>
      </w:r>
      <w:r>
        <w:rPr>
          <w:rFonts w:asciiTheme="minorHAnsi" w:eastAsia="Georgia" w:hAnsiTheme="minorHAnsi" w:cstheme="minorHAnsi"/>
          <w:color w:val="000000"/>
          <w:sz w:val="18"/>
          <w:szCs w:val="18"/>
          <w:bdr w:val="nil"/>
          <w:lang w:val="hr-HR" w:eastAsia="es-MX"/>
        </w:rPr>
        <w:t xml:space="preserve">. Against 3% to 5% moves, the ceiling gap is 2.40 percentage points larger and the floor gap 1.14 points lower. The comparison is an association around a rule-based threshold, and we make no regression-discontinuity claim: the design has no bandwidth choice, manipulation test, or covariate-balance check, and stocks that reach the limit may differ in news content.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Three readings fit the pattern, and our data do not separate them: (1) demand or supply that the limit blocked on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clears at the next opening, the delayed price discovery of Kim and Rhee (1997); (2) news and retail attention persist overnight and produce the overnight gain and intraday reversal of attention-grabbing stocks (Berkman et al., 2012), with or without a limit; and (3) the opening auction overshoots and corrects within the day. Lacking announcements, order books, and limit-free stock-days, we run two partial checks. First, the ceiling gap rises across terciles of day-</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volume relative to its prior 60-day mean (1.97%, 2.16%, and 2.63%) and of the prior 20-day return (1.41%, 2.18%, and 3.16%), which fits readings (1) and (2) alike, and stays positive and significant in the lowest tercile of each proxy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4.8 and 4.2). For floors the gap moves from −1.20% to −0.68% across volume terciles and is not monotone in the prior return, so the attention reading does not carry over. Second, the comparison with stocks that closed at their high removes selection on the shape of the close but not on news. The intraday giveback fits readings (2) and (3) at least as well as permanent price discovery, so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break at the limit</w:t>
      </w:r>
      <w:r>
        <w:rPr>
          <w:rFonts w:asciiTheme="minorHAnsi" w:eastAsia="Georgia" w:hAnsiTheme="minorHAnsi" w:cstheme="minorHAnsi"/>
          <w:color w:val="000000"/>
          <w:sz w:val="20"/>
          <w:szCs w:val="20"/>
          <w:bdr w:val="nil"/>
          <w:lang w:val="hr-HR" w:eastAsia="es-MX"/>
        </w:rPr>
        <w:t xml:space="preserv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is a description and delayed price discovery one hypothesis. Testing the magnet effect (Chen et al., 2024; Cho et al., 2003) needs intraday prices, which we lack.</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4</w:t>
      </w:r>
      <w:r>
        <w:rPr>
          <w:rFonts w:asciiTheme="minorHAnsi" w:eastAsia="Georgia" w:hAnsiTheme="minorHAnsi" w:cstheme="minorHAnsi"/>
          <w:color w:val="000000"/>
          <w:sz w:val="18"/>
          <w:szCs w:val="18"/>
          <w:bdr w:val="nil"/>
          <w:lang w:val="hr-HR" w:eastAsia="es-MX"/>
        </w:rPr>
        <w:t xml:space="preserve"> splits the events at 5 May 2025, when HOSE moved to the KRX platform.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ceiling gap, followed by an intraday reversal, appears in both periods (1.65% before and 2.49% after; difference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1.6). The floor gap is more negative after the move (−0.42% before, −1.37% after; difference</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−3.2), the intraday return after floor closes turns positive (0.64%), and the floor drift from the next open to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exists only before the move (−1.73% before, −0.15% after). The change coincides with a different market period, and the post-change sample holds 71% of the ceiling events and 58% of the floor events. Before the change neither the ceiling close-to-close return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1.0) nor the floor gap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−1.9) is significant at the 5% level, so the full-sample significance rests mainly on post-change events. We cannot attribute the differences between the periods to the auction rules.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Because the events are unbalanced in time, Table 5 reports them by calendar quarter. The ceiling gap is positive and significant in each of the 8 quarters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from 2.5 to 16.8); its weakest quarter, 2025-Q2, contains the platform change. The floor gap is negative in every quarter and significant at the 5% level in 7 of them. Placebo break dates on the first trading day of each month from January 2025 to April 2026 give ceiling-gap differences between −0.45 and 0.72 percentage points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at most 1.4); the split at 5 May 2025 gives the largest difference, 0.85 points, but it is not significant either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1.6). The floor-gap difference is positive at the 4 placebo dates before the platform change and negative at 11 of the 11 later ones, and the split at 5 May 2025 gives −0.95 points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−3.2), close to the differences at the placebo dates that follow it. Table 5 shows no trend in the floor gap; the pattern coincides with the weak floor gap in 2025-Q2 (−0.34%), the quarter with the most floor events (802), so the placebo dates cannot separate a break at the platform change from a shift specific to that quarter. A difference-in-differences regression that compares limit closes with 5–6.5% movers that also closed at the extreme points the same way for the ceiling (repository table C31): the excess ceiling gap was 2.91 percentage points before the change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6.2) and changed by 0.38 points after it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0.8), and the excess floor gap was −1.62 points before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−6.6) and changed by −0.49 points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 −1.5). The break at the limit is therefore present before the change and does not depend on the post-change period, although the significance of the raw ceiling close-to-close return and of the raw floor gap does (Table 4). Like the split in Table 4, these comparisons describe timing and do not identify an effect of the auction rules.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Returns beyond ±8%, which a 7% band does not allow, occur on 96 stock-days and may reflect unadjusted corporate actions or listing-day bands. Dropping every event within five trading days of such a return moves the ceiling gap from 2.24% to 2.26% and the floor gap from −0.97% to −0.98%; the outlier days stay in the market benchmark.</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To bound the effect of a wider search, let</w:t>
      </w:r>
      <w:r>
        <w:rPr>
          <w:rFonts w:asciiTheme="minorHAnsi" w:eastAsia="Georgia" w:hAnsiTheme="minorHAnsi" w:cstheme="minorHAnsi"/>
          <w:color w:val="000000"/>
          <w:sz w:val="20"/>
          <w:szCs w:val="20"/>
          <w:bdr w:val="nil"/>
          <w:lang w:val="hr-HR" w:eastAsia="es-MX"/>
        </w:rPr>
        <w:t xml:space="preserve"> </w:t>
      </w:r>
      <m:oMath>
        <m:sSub>
          <m:e>
            <m:r>
              <m:t>p</m:t>
            </m:r>
          </m:e>
          <m:sub>
            <m:r>
              <m:rPr>
                <m:nor/>
              </m:rPr>
              <m:t>max</m:t>
            </m:r>
          </m:sub>
        </m:sSub>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be the largest event-test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 computed with the factor</w:t>
      </w:r>
      <w:r>
        <w:rPr>
          <w:rFonts w:asciiTheme="minorHAnsi" w:eastAsia="Georgia" w:hAnsiTheme="minorHAnsi" w:cstheme="minorHAnsi"/>
          <w:color w:val="000000"/>
          <w:sz w:val="20"/>
          <w:szCs w:val="20"/>
          <w:bdr w:val="nil"/>
          <w:lang w:val="hr-HR" w:eastAsia="es-MX"/>
        </w:rPr>
        <w:t xml:space="preserve"> </w:t>
      </w:r>
      <m:oMath>
        <m:r>
          <m:t>G</m:t>
        </m:r>
        <m:r>
          <m:rPr>
            <m:sty m:val="p"/>
          </m:rPr>
          <m:t>/</m:t>
        </m:r>
        <m:d>
          <m:dPr>
            <m:begChr m:val="("/>
            <m:sepChr m:val=""/>
            <m:endChr m:val=")"/>
            <m:grow/>
          </m:dPr>
          <m:e>
            <m:r>
              <m:t>G</m:t>
            </m:r>
            <m:r>
              <m:rPr>
                <m:sty m:val="p"/>
              </m:rPr>
              <m:t>−</m:t>
            </m:r>
            <m:r>
              <m:t>1</m:t>
            </m:r>
          </m:e>
        </m:d>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and a</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reference. All four event tests survive a Bonferroni correction at 5% in families of up to</w:t>
      </w:r>
      <w:r>
        <w:rPr>
          <w:rFonts w:asciiTheme="minorHAnsi" w:eastAsia="Georgia" w:hAnsiTheme="minorHAnsi" w:cstheme="minorHAnsi"/>
          <w:color w:val="000000"/>
          <w:sz w:val="20"/>
          <w:szCs w:val="20"/>
          <w:bdr w:val="nil"/>
          <w:lang w:val="hr-HR" w:eastAsia="es-MX"/>
        </w:rPr>
        <w:t xml:space="preserve"> </w:t>
      </w:r>
      <m:oMath>
        <m:sSub>
          <m:e>
            <m:r>
              <m:t>m</m:t>
            </m:r>
          </m:e>
          <m:sub>
            <m:r>
              <m:rPr>
                <m:nor/>
              </m:rPr>
              <m:t>max</m:t>
            </m:r>
          </m:sub>
        </m:sSub>
        <m:r>
          <m:rPr>
            <m:sty m:val="p"/>
          </m:rPr>
          <m:t>=</m:t>
        </m:r>
        <m:r>
          <m:rPr>
            <m:sty m:val="p"/>
          </m:rPr>
          <m:t>⌊</m:t>
        </m:r>
        <m:r>
          <m:t>0.05</m:t>
        </m:r>
        <m:r>
          <m:rPr>
            <m:sty m:val="p"/>
          </m:rPr>
          <m:t>/</m:t>
        </m:r>
        <m:sSub>
          <m:e>
            <m:r>
              <m:t>p</m:t>
            </m:r>
          </m:e>
          <m:sub>
            <m:r>
              <m:rPr>
                <m:nor/>
              </m:rPr>
              <m:t>max</m:t>
            </m:r>
          </m:sub>
        </m:sSub>
        <m:r>
          <m:rPr>
            <m:sty m:val="p"/>
          </m:rPr>
          <m:t>⌋</m:t>
        </m:r>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tests: 683 with date clusters and 125 with calendar-week clusters (</w:t>
      </w:r>
      <m:oMath>
        <m:sSub>
          <m:e>
            <m:r>
              <m:t>p</m:t>
            </m:r>
          </m:e>
          <m:sub>
            <m:r>
              <m:rPr>
                <m:nor/>
              </m:rPr>
              <m:t>max</m:t>
            </m:r>
          </m:sub>
        </m:sSub>
      </m:oMath>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of 0.00007 and 0.00040). The bound limits false discoveries but leaves the upward bias in effect sizes untouched. The four event tests also survive every alternative family definition we consider: the four event tests as their own family, separate ceiling and floor families, the 26 tests under Holm or Bonferroni adjustment, a 28-test family that adds the days</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+2 to</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+5 outcomes, and week-clustered event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-values; the largest adjusted</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p</w:t>
      </w:r>
      <w:r>
        <w:rPr>
          <w:rFonts w:asciiTheme="minorHAnsi" w:eastAsia="Georgia" w:hAnsiTheme="minorHAnsi" w:cstheme="minorHAnsi"/>
          <w:color w:val="000000"/>
          <w:sz w:val="20"/>
          <w:szCs w:val="20"/>
          <w:bdr w:val="nil"/>
          <w:lang w:val="hr-HR" w:eastAsia="es-MX"/>
        </w:rPr>
        <w:t xml:space="preserve">-value across these definitions is 0.0026 (repository table C32).</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Event definitions that do not depend on the tick grid give the same picture (repository table C28). The ceiling gap is 2.07% for returns of at least 6.0% that close at the high, 2.33% at 6.8%, 2.35% for returns between 6.7% and 7.3%, 2.10% without the close-at-high condition, and 2.91% on days locked at one price (all</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above 2.9); the floor gap ranges from −0.79% to −2.50%.</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results support H</w:t>
      </w:r>
      <w:r>
        <w:rPr>
          <w:rFonts w:asciiTheme="minorHAnsi" w:eastAsia="Georgia" w:hAnsiTheme="minorHAnsi" w:cstheme="minorHAnsi"/>
          <w:color w:val="000000"/>
          <w:sz w:val="20"/>
          <w:szCs w:val="20"/>
          <w:bdr w:val="nil"/>
          <w:vertAlign w:val="subscript"/>
          <w:lang w:val="hr-HR" w:eastAsia="es-MX"/>
        </w:rPr>
        <w:t xml:space="preserve">1</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to H</w:t>
      </w:r>
      <w:r>
        <w:rPr>
          <w:rFonts w:asciiTheme="minorHAnsi" w:eastAsia="Georgia" w:hAnsiTheme="minorHAnsi" w:cstheme="minorHAnsi"/>
          <w:color w:val="000000"/>
          <w:sz w:val="20"/>
          <w:szCs w:val="20"/>
          <w:bdr w:val="nil"/>
          <w:vertAlign w:val="subscript"/>
          <w:lang w:val="hr-HR" w:eastAsia="es-MX"/>
        </w:rPr>
        <w:t xml:space="preserve">4</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for ceilings; the floor effect depends on the benchmark and its drift appears only before the 2025 platform change.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4. Discussion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Our decomposition adds timing to the evidence of Kim and Rhee (1997): on HOSE the continuation after ceiling closes arrives at the next opening and ends after the first day, and the intraday giveback is a one-day analogue of the cross-period reversal in Lou et al. (2019). A pure attention reading must explain the contrast with stocks that moved almost as far, including those that also closed at their high, and a gap-only reading cannot explain the pre-change post-open drift after floor closes.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None of the studies identified by our search (Supplementary Material S1) reports the next-day abnormal return, overnight gap, or intraday return after a limit close in a form that matches ours, so Table 6 compares signs, timing, and mechanism.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A 7% band leaves room for a large overnight gap, so the opening auction may do much of the adjustment that a wider band would allow on day</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i/>
          <w:color w:val="000000"/>
          <w:sz w:val="20"/>
          <w:szCs w:val="20"/>
          <w:bdr w:val="nil"/>
          <w:lang w:val="hr-HR" w:eastAsia="es-MX"/>
        </w:rPr>
        <w:t xml:space="preserve">d</w:t>
      </w:r>
      <w:r>
        <w:rPr>
          <w:rFonts w:asciiTheme="minorHAnsi" w:eastAsia="Georgia" w:hAnsiTheme="minorHAnsi" w:cstheme="minorHAnsi"/>
          <w:color w:val="000000"/>
          <w:sz w:val="20"/>
          <w:szCs w:val="20"/>
          <w:bdr w:val="nil"/>
          <w:lang w:val="hr-HR" w:eastAsia="es-MX"/>
        </w:rPr>
        <w:t xml:space="preserve">. The floor results after at-the-open orders lost priority (Table 4) fit auction design shaping how the opening absorbs overnight pressure, but the market period changed at the same time; a band change on HOSE, like the ChiNext widening that Qi (2023) studies, would give a natural experiment.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volume and prior-return results also fit an attention channel in which the limit amplifies demand: a stock at its ceiling may appear on screens and rankings the next morning, and a queue at the limit may signal excess demand. With noise traders overnight, arbitrageurs by day, and market makers absorbing retail imbalances near the open (Akbas et al., 2022; Lu et al., 2023), a limit would add a visible, rule-based trigger to an attention mechanism that operates without limits.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estimates describe what follows limit closes on HOSE in 2024 to 2026. They cannot show what the limit does to price discovery: the band does not vary, no period lacks a limit, and we measure none of the benefits a limit is meant to deliver. For investors, buying ceiling stocks at the quoted next open lost money against the market by the fifth close, excluding costs and rationing at the open.</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4.1. Limitations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sample covers 519 trading days on one exchange, with one platform change and a period of market stress. (ii) Without order-book, investor-type, announcement, or news data, we infer the unfilled-demand mechanism and cannot separate it from selection on news. (iii) The 7% band, reference price, and platform change come from brokerage and press descriptions, checked against returns but not against exchange circulars; tick sizes, reference prices on corporate-action days, and wider bands for first-day listings and resumed trading are assumptions. (iv) The vendor appears to adjust earlier prices for later corporate actions. For stocks priced at 10 thousand dong or more, 25%, 31%, and 58% of 2024, 2025, and 2026 closes are tick multiples, against 100% below 10 thousand dong (an uninformative check, since the 0.01 tick equals the two-decimal resolution of the files), and near hits make up 62% of ceiling events for the higher-priced stocks against 23% for the others. Proportional adjustment leaves returns (except on ex-dates), the close-at-high rule, and locked days unchanged but makes the exact-hit classification of Equation (3) unreliable, so we treat that split as a data check, not a measure of distance to the limit. The listing snapshot excludes stocks delisted before the download. (v) Events in one market episode may depend on each other beyond our clustering, and we computed no calendar-time portfolio estimates or standard errors robust to both cross-sectional and serial dependence. (vi) Several characteristics (5-day return, MAX, MIN, move frequency, overnight return) share inputs with the event definition, and the Corwin–Schultz spread and range volatility use limit-censored highs and lows. (vii) The floor effect depends on the benchmark, and we built no beta- and size-matched control for the five-day outcome. (viii) The characteristic tests have limited power, and effect sizes may carry winner’s-curse bias from choosing this question among several screened on the same data.</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5. Conclusions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Of 26 tests on 347 HOSE stocks, the four price-limit tests survive FDR control and the confirmation-half check, and the 22 lower-powered characteristic tests do not. After a ceiling close, the next-day abnormal return of 1.7% is an overnight gap of 2.2% less an intraday reversal of 0.5%. The gap is 2.7 percentage points larger than for stocks that rose 5% to 6.5% and 3.1 points larger than for those among them that also closed at their high. After a floor close, the overnight gap is −1.0%. An outside buyer at the next open loses 0.7% against the market by the fifth close. The pattern is consistent with delayed price discovery at the limit, but news, attention, and opening-auction overshooting remain possible explanations; longer samples, announcement time stamps, and order-book queues would let future work separate them.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6. Declarations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6.1. Ethical considerations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Not applicable. The study uses public market prices and involves no human or animal participants.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6.2. Use of artificial intelligence (AI)</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authors used the generative AI assistant Claude (Anthropic) to run the literature searches (Supplementary Material S1), write R code, draft and edit text, and check reported numbers against the output files. Every number comes from the authors’ R code. The authors reviewed all AI-assisted output and take full responsibility for the content. References and the institutional facts in Section 2.1 were checked by web search, not against exchange circulars.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6.3. Conflict of interest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authors declare no conflicts of interest.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6.4. Funding</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This research did not receive any financial support.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6.5. Data availability</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The price files (vnstock 4.0.4, source VCI, retrieved on 24 September 2026), the R code, and the output tables are available at</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https://github.com/trungcandygit/black_litterman_2</w:t>
      </w:r>
      <w:r>
        <w:rPr>
          <w:rFonts w:asciiTheme="minorHAnsi" w:eastAsia="Georgia" w:hAnsiTheme="minorHAnsi" w:cstheme="minorHAnsi"/>
          <w:color w:val="000000"/>
          <w:sz w:val="20"/>
          <w:szCs w:val="20"/>
          <w:bdr w:val="nil"/>
          <w:lang w:val="hr-HR" w:eastAsia="es-MX"/>
        </w:rPr>
        <w:t xml:space="preserve"> </w:t>
      </w:r>
      <w:r>
        <w:rPr>
          <w:rFonts w:asciiTheme="minorHAnsi" w:eastAsia="Georgia" w:hAnsiTheme="minorHAnsi" w:cstheme="minorHAnsi"/>
          <w:color w:val="000000"/>
          <w:sz w:val="20"/>
          <w:szCs w:val="20"/>
          <w:bdr w:val="nil"/>
          <w:lang w:val="hr-HR" w:eastAsia="es-MX"/>
        </w:rPr>
        <w:t xml:space="preserve">(folders data/raw and paper2).</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Pr>
          <w:rFonts w:asciiTheme="minorHAnsi" w:hAnsiTheme="minorHAnsi" w:cstheme="minorHAnsi"/>
          <w:bCs/>
          <w:i/>
          <w:iCs/>
          <w:sz w:val="20"/>
          <w:szCs w:val="20"/>
          <w:lang w:val="en-US"/>
        </w:rPr>
        <w:t xml:space="preserve">6.6. Author contributions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color w:val="000000"/>
          <w:sz w:val="20"/>
          <w:szCs w:val="20"/>
          <w:bdr w:val="nil"/>
          <w:lang w:val="hr-HR" w:eastAsia="es-MX"/>
        </w:rPr>
        <w:t xml:space="preserve">Nguyen Thanh Binh: conceptualization, supervision, validation, and writing (review and editing). Nguyen Van Trung: conceptualization, data curation, formal analysis, methodology, software, visualization, project administration, and writing (original draft). Ha Hong Hanh: methodology, validation, and writing (review and editing). Nguyen Bach Diep: investigation, resources, and writing (review and editing).</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5B549203" w14:textId="56725701" w:rsidR="000F1A86" w:rsidRDefault="000F1A86" w:rsidP="00824612">
      <w:pPr>
        <w:spacing w:after="0" w:line="240" w:lineRule="auto"/>
        <w:jc w:val="both"/>
        <w:rPr>
          <w:rFonts w:asciiTheme="minorHAnsi" w:eastAsia="Arial" w:hAnsiTheme="minorHAnsi" w:cstheme="minorHAnsi"/>
          <w:b/>
          <w:color w:val="000000" w:themeColor="text1"/>
          <w:sz w:val="20"/>
          <w:szCs w:val="20"/>
          <w:lang w:val="en-US"/>
        </w:rPr>
      </w:pPr>
      <w:r>
        <w:rPr>
          <w:rFonts w:asciiTheme="minorHAnsi" w:eastAsia="Arial" w:hAnsiTheme="minorHAnsi" w:cstheme="minorHAnsi"/>
          <w:b/>
          <w:color w:val="000000" w:themeColor="text1"/>
          <w:sz w:val="20"/>
          <w:szCs w:val="20"/>
          <w:lang w:val="en-US"/>
        </w:rPr>
        <w:t xml:space="preserve">References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Aboody, D., Even-Tov, O., Lehavy, R., &amp; Trueman, B. (2018). Overnight returns and firm-specific investor sentiment.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and Quantitative Analysis, 53</w:t>
      </w:r>
      <w:r>
        <w:rPr>
          <w:rFonts w:asciiTheme="minorHAnsi" w:hAnsiTheme="minorHAnsi" w:cstheme="minorHAnsi"/>
          <w:noProof/>
          <w:sz w:val="20"/>
          <w:szCs w:val="20"/>
          <w:lang w:val="hr-HR"/>
        </w:rPr>
        <w:t xml:space="preserve">(2), 485–505.</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Akbas, F., Boehmer, E., Jiang, C., &amp; Koch, P. D. (2022). Overnight returns, daytime reversals, and future stock returns.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Economics, 145</w:t>
      </w:r>
      <w:r>
        <w:rPr>
          <w:rFonts w:asciiTheme="minorHAnsi" w:hAnsiTheme="minorHAnsi" w:cstheme="minorHAnsi"/>
          <w:noProof/>
          <w:sz w:val="20"/>
          <w:szCs w:val="20"/>
          <w:lang w:val="hr-HR"/>
        </w:rPr>
        <w:t xml:space="preserve">(3), 850–875.</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https://doi.org/10.1016/j.jfineco.2021.09.019</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Benjamini, Y., &amp; Hochberg, Y. (1995). Controlling the false discovery rate: A practical and powerful approach to multiple testing.</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the Royal Statistical Society: Series B, 57</w:t>
      </w:r>
      <w:r>
        <w:rPr>
          <w:rFonts w:asciiTheme="minorHAnsi" w:hAnsiTheme="minorHAnsi" w:cstheme="minorHAnsi"/>
          <w:noProof/>
          <w:sz w:val="20"/>
          <w:szCs w:val="20"/>
          <w:lang w:val="hr-HR"/>
        </w:rPr>
        <w:t xml:space="preserve">(1), 289–300.</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https://doi.org/10.1111/j.2517-6161.1995.tb02031.x</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Berkman, H., Koch, P. D., Tuttle, L., &amp; Zhang, Y. J. (2012). Paying attention: Overnight returns and the hidden cost of buying at the open.</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and Quantitative Analysis, 47</w:t>
      </w:r>
      <w:r>
        <w:rPr>
          <w:rFonts w:asciiTheme="minorHAnsi" w:hAnsiTheme="minorHAnsi" w:cstheme="minorHAnsi"/>
          <w:noProof/>
          <w:sz w:val="20"/>
          <w:szCs w:val="20"/>
          <w:lang w:val="hr-HR"/>
        </w:rPr>
        <w:t xml:space="preserve">(4), 715–741.</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https://doi.org/10.1017/S0022109012000270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Berkman, H., &amp; Lee, J. B. T. (2002). The effectiveness of price limits in an emerging market: Evidence from the Korean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Pacific-Basin Finance Journal, 10</w:t>
      </w:r>
      <w:r>
        <w:rPr>
          <w:rFonts w:asciiTheme="minorHAnsi" w:hAnsiTheme="minorHAnsi" w:cstheme="minorHAnsi"/>
          <w:noProof/>
          <w:sz w:val="20"/>
          <w:szCs w:val="20"/>
          <w:lang w:val="hr-HR"/>
        </w:rPr>
        <w:t xml:space="preserve">(5), 517–530.</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https://doi.org/10.1016/S0927-538X(02)00040-9</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Bildik, R., &amp; Gülay, G. (2006). Are price limits effective? Evidence from the Istanbul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Research, 29</w:t>
      </w:r>
      <w:r>
        <w:rPr>
          <w:rFonts w:asciiTheme="minorHAnsi" w:hAnsiTheme="minorHAnsi" w:cstheme="minorHAnsi"/>
          <w:noProof/>
          <w:sz w:val="20"/>
          <w:szCs w:val="20"/>
          <w:lang w:val="hr-HR"/>
        </w:rPr>
        <w:t xml:space="preserve">(3), 383–403.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https://doi.org/10.1111/j.1475-6803.2006.00185.x</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Bogousslavsky, V. (2021). The cross-section of intraday and overnight returns.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Economics, 141</w:t>
      </w:r>
      <w:r>
        <w:rPr>
          <w:rFonts w:asciiTheme="minorHAnsi" w:hAnsiTheme="minorHAnsi" w:cstheme="minorHAnsi"/>
          <w:noProof/>
          <w:sz w:val="20"/>
          <w:szCs w:val="20"/>
          <w:lang w:val="hr-HR"/>
        </w:rPr>
        <w:t xml:space="preserve">(1), 172–194.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Brennan, M. J. (1986). A theory of price limits in futures markets.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Economics, 16</w:t>
      </w:r>
      <w:r>
        <w:rPr>
          <w:rFonts w:asciiTheme="minorHAnsi" w:hAnsiTheme="minorHAnsi" w:cstheme="minorHAnsi"/>
          <w:noProof/>
          <w:sz w:val="20"/>
          <w:szCs w:val="20"/>
          <w:lang w:val="hr-HR"/>
        </w:rPr>
        <w:t xml:space="preserve">(2), 213–233.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https://doi.org/10.1016/0304-405X(86)90061-9</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Cameron, A. C., Gelbach, J. B., &amp; Miller, D. L. (2011). Robust inference with multiway clustering.</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Business &amp; Economic Statistics, 29</w:t>
      </w:r>
      <w:r>
        <w:rPr>
          <w:rFonts w:asciiTheme="minorHAnsi" w:hAnsiTheme="minorHAnsi" w:cstheme="minorHAnsi"/>
          <w:noProof/>
          <w:sz w:val="20"/>
          <w:szCs w:val="20"/>
          <w:lang w:val="hr-HR"/>
        </w:rPr>
        <w:t xml:space="preserve">(2), 238–249.</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https://doi.org/10.1198/jbes.2010.07136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Chen, H., Petukhov, A., Wang, J., &amp; Xing, H. (2024). The dark side of circuit breakers.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Journal of Finance, 79</w:t>
      </w:r>
      <w:r>
        <w:rPr>
          <w:rFonts w:asciiTheme="minorHAnsi" w:hAnsiTheme="minorHAnsi" w:cstheme="minorHAnsi"/>
          <w:noProof/>
          <w:sz w:val="20"/>
          <w:szCs w:val="20"/>
          <w:lang w:val="hr-HR"/>
        </w:rPr>
        <w:t xml:space="preserve">(2), 1405–1455.</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https://doi.org/10.1111/jofi.13310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Chen, T., Gao, Z., He, J., Jiang, W., &amp; Xiong, W. (2019). Daily price limits and destructive market behavior.</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Econometrics, 208</w:t>
      </w:r>
      <w:r>
        <w:rPr>
          <w:rFonts w:asciiTheme="minorHAnsi" w:hAnsiTheme="minorHAnsi" w:cstheme="minorHAnsi"/>
          <w:noProof/>
          <w:sz w:val="20"/>
          <w:szCs w:val="20"/>
          <w:lang w:val="hr-HR"/>
        </w:rPr>
        <w:t xml:space="preserve">(1), 249–264.</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https://doi.org/10.1016/j.jeconom.2018.09.014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Chen, Y.-M. (1993). Price limits and stock market volatility in Taiwan.</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Pacific-Basin Finance Journal, 1</w:t>
      </w:r>
      <w:r>
        <w:rPr>
          <w:rFonts w:asciiTheme="minorHAnsi" w:hAnsiTheme="minorHAnsi" w:cstheme="minorHAnsi"/>
          <w:noProof/>
          <w:sz w:val="20"/>
          <w:szCs w:val="20"/>
          <w:lang w:val="hr-HR"/>
        </w:rPr>
        <w:t xml:space="preserve">(2), 139–153.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https://doi.org/10.1016/0927-538X(93)90005-3</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Cho, D. D., Russell, J., Tiao, G. C., &amp; Tsay, R. S. (2003). The magnet effect of price limits: Evidence from high-frequency data on Taiwan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Empirical Finance, 10</w:t>
      </w:r>
      <w:r>
        <w:rPr>
          <w:rFonts w:asciiTheme="minorHAnsi" w:hAnsiTheme="minorHAnsi" w:cstheme="minorHAnsi"/>
          <w:noProof/>
          <w:sz w:val="20"/>
          <w:szCs w:val="20"/>
          <w:lang w:val="hr-HR"/>
        </w:rPr>
        <w:t xml:space="preserve">(1–2), 133–168.</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https://doi.org/10.1016/S0927-5398(02)00024-5</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Chordia, T., Goyal, A., &amp; Saretto, A. (2020). Anomalies and false rejections.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Review of Financial Studies, 33</w:t>
      </w:r>
      <w:r>
        <w:rPr>
          <w:rFonts w:asciiTheme="minorHAnsi" w:hAnsiTheme="minorHAnsi" w:cstheme="minorHAnsi"/>
          <w:noProof/>
          <w:sz w:val="20"/>
          <w:szCs w:val="20"/>
          <w:lang w:val="hr-HR"/>
        </w:rPr>
        <w:t xml:space="preserve">(5), 2134–2179.</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Deb, S. S., Kalev, P. S., &amp; Marisetty, V. B. (2013). Flexible price limits: The case of Tokyo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International Financial Markets, Institutions and Money, 24</w:t>
      </w:r>
      <w:r>
        <w:rPr>
          <w:rFonts w:asciiTheme="minorHAnsi" w:hAnsiTheme="minorHAnsi" w:cstheme="minorHAnsi"/>
          <w:noProof/>
          <w:sz w:val="20"/>
          <w:szCs w:val="20"/>
          <w:lang w:val="hr-HR"/>
        </w:rPr>
        <w:t xml:space="preserve">, 66–84.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Fama, E. F., &amp; MacBeth, J. D. (1973). Risk, return, and equilibrium: Empirical tests.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Political Economy, 81</w:t>
      </w:r>
      <w:r>
        <w:rPr>
          <w:rFonts w:asciiTheme="minorHAnsi" w:hAnsiTheme="minorHAnsi" w:cstheme="minorHAnsi"/>
          <w:noProof/>
          <w:sz w:val="20"/>
          <w:szCs w:val="20"/>
          <w:lang w:val="hr-HR"/>
        </w:rPr>
        <w:t xml:space="preserve">(3), 607–636.</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https://doi.org/10.1086/260061</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Greenwald, B. C., &amp; Stein, J. C. (1991). Transactional risk, market crashes, and the role of circuit breakers.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Business, 64</w:t>
      </w:r>
      <w:r>
        <w:rPr>
          <w:rFonts w:asciiTheme="minorHAnsi" w:hAnsiTheme="minorHAnsi" w:cstheme="minorHAnsi"/>
          <w:noProof/>
          <w:sz w:val="20"/>
          <w:szCs w:val="20"/>
          <w:lang w:val="hr-HR"/>
        </w:rPr>
        <w:t xml:space="preserve">(4), 443–462.</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Gu, M., Hu, Y., &amp; Xiong, Z. (2025). Dissecting the lottery-like anomaly: Evidence from China.</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Accounting &amp; Finance, 65</w:t>
      </w:r>
      <w:r>
        <w:rPr>
          <w:rFonts w:asciiTheme="minorHAnsi" w:hAnsiTheme="minorHAnsi" w:cstheme="minorHAnsi"/>
          <w:noProof/>
          <w:sz w:val="20"/>
          <w:szCs w:val="20"/>
          <w:lang w:val="hr-HR"/>
        </w:rPr>
        <w:t xml:space="preserve">(1), 883–911.</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https://doi.org/10.1111/acfi.13354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Gutierrez, R. C., Jr., &amp; Kelley, E. K. (2008). The long-lasting momentum in weekly returns.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Journal of Finance, 63</w:t>
      </w:r>
      <w:r>
        <w:rPr>
          <w:rFonts w:asciiTheme="minorHAnsi" w:hAnsiTheme="minorHAnsi" w:cstheme="minorHAnsi"/>
          <w:noProof/>
          <w:sz w:val="20"/>
          <w:szCs w:val="20"/>
          <w:lang w:val="hr-HR"/>
        </w:rPr>
        <w:t xml:space="preserve">(1), 415–447.</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https://doi.org/10.1111/j.1540-6261.2008.01320.x</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Harvey, C. R., &amp; Liu, Y. (2020). False (and missed) discoveries in financial economics.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Journal of Finance, 75</w:t>
      </w:r>
      <w:r>
        <w:rPr>
          <w:rFonts w:asciiTheme="minorHAnsi" w:hAnsiTheme="minorHAnsi" w:cstheme="minorHAnsi"/>
          <w:noProof/>
          <w:sz w:val="20"/>
          <w:szCs w:val="20"/>
          <w:lang w:val="hr-HR"/>
        </w:rPr>
        <w:t xml:space="preserve">(5), 2503–2553.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https://doi.org/10.1111/jofi.12951</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Harvey, C. R., Liu, Y., &amp; Zhu, H. (2016). …and the cross-section of expected returns.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Review of Financial Studies, 29</w:t>
      </w:r>
      <w:r>
        <w:rPr>
          <w:rFonts w:asciiTheme="minorHAnsi" w:hAnsiTheme="minorHAnsi" w:cstheme="minorHAnsi"/>
          <w:noProof/>
          <w:sz w:val="20"/>
          <w:szCs w:val="20"/>
          <w:lang w:val="hr-HR"/>
        </w:rPr>
        <w:t xml:space="preserve">(1), 5–68.</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https://doi.org/10.1093/rfs/hhv059</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Holm, S. (1979). A simple sequentially rejective multiple test procedure.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Scandinavian Journal of Statistics, 6</w:t>
      </w:r>
      <w:r>
        <w:rPr>
          <w:rFonts w:asciiTheme="minorHAnsi" w:hAnsiTheme="minorHAnsi" w:cstheme="minorHAnsi"/>
          <w:noProof/>
          <w:sz w:val="20"/>
          <w:szCs w:val="20"/>
          <w:lang w:val="hr-HR"/>
        </w:rPr>
        <w:t xml:space="preserve">(2), 65–70.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Hou, K., Xue, C., &amp; Zhang, L. (2020). Replicating anomalies.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Review of Financial Studies, 33</w:t>
      </w:r>
      <w:r>
        <w:rPr>
          <w:rFonts w:asciiTheme="minorHAnsi" w:hAnsiTheme="minorHAnsi" w:cstheme="minorHAnsi"/>
          <w:noProof/>
          <w:sz w:val="20"/>
          <w:szCs w:val="20"/>
          <w:lang w:val="hr-HR"/>
        </w:rPr>
        <w:t xml:space="preserve">(5), 2019–2133.</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HSC. (2025).</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Important changes of new trading system</w:t>
      </w:r>
      <w:r>
        <w:rPr>
          <w:rFonts w:asciiTheme="minorHAnsi" w:hAnsiTheme="minorHAnsi" w:cstheme="minorHAnsi"/>
          <w:noProof/>
          <w:sz w:val="20"/>
          <w:szCs w:val="20"/>
          <w:lang w:val="hr-HR"/>
        </w:rPr>
        <w:t xml:space="preserve">. Ho Chi Minh City Securities Corporation.</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https://www.hsc.com.vn/en/important-changes-of-new-trading-system</w:t>
      </w:r>
      <w:r>
        <w:rPr>
          <w:rFonts w:asciiTheme="minorHAnsi" w:hAnsiTheme="minorHAnsi" w:cstheme="minorHAnsi"/>
          <w:noProof/>
          <w:sz w:val="20"/>
          <w:szCs w:val="20"/>
          <w:lang w:val="hr-HR"/>
        </w:rPr>
        <w:t xml:space="preserve">. Accessed on October 5, 2026.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Huang, X., Liu, C., &amp; Shu, T. (2023). Factors and anomalies in the Vietnamese stock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Pacific-Basin Finance Journal, 82</w:t>
      </w:r>
      <w:r>
        <w:rPr>
          <w:rFonts w:asciiTheme="minorHAnsi" w:hAnsiTheme="minorHAnsi" w:cstheme="minorHAnsi"/>
          <w:noProof/>
          <w:sz w:val="20"/>
          <w:szCs w:val="20"/>
          <w:lang w:val="hr-HR"/>
        </w:rPr>
        <w:t xml:space="preserve">, 102176.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Huang, Y.-S., Fu, T.-W., &amp; Ke, M.-C. (2001). Daily price limits and stock price behavior: Evidence from the Taiwan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International Review of Economics &amp; Finance, 10</w:t>
      </w:r>
      <w:r>
        <w:rPr>
          <w:rFonts w:asciiTheme="minorHAnsi" w:hAnsiTheme="minorHAnsi" w:cstheme="minorHAnsi"/>
          <w:noProof/>
          <w:sz w:val="20"/>
          <w:szCs w:val="20"/>
          <w:lang w:val="hr-HR"/>
        </w:rPr>
        <w:t xml:space="preserve">(3), 263–288.</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Jia, S., An, Y., Yang, L., &amp; Zhou, F. (2024). Price limit relaxation and stock price crash risk: Evidence from China.</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Finance Research Letters, 59</w:t>
      </w:r>
      <w:r>
        <w:rPr>
          <w:rFonts w:asciiTheme="minorHAnsi" w:hAnsiTheme="minorHAnsi" w:cstheme="minorHAnsi"/>
          <w:noProof/>
          <w:sz w:val="20"/>
          <w:szCs w:val="20"/>
          <w:lang w:val="hr-HR"/>
        </w:rPr>
        <w:t xml:space="preserve">, 104715.</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https://doi.org/10.1016/j.frl.2023.104715</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Jones, C. M., Shi, D., Zhang, X., &amp; Zhang, X. (2025). Retail trading and return predictability in China.</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and Quantitative Analysis, 60</w:t>
      </w:r>
      <w:r>
        <w:rPr>
          <w:rFonts w:asciiTheme="minorHAnsi" w:hAnsiTheme="minorHAnsi" w:cstheme="minorHAnsi"/>
          <w:noProof/>
          <w:sz w:val="20"/>
          <w:szCs w:val="20"/>
          <w:lang w:val="hr-HR"/>
        </w:rPr>
        <w:t xml:space="preserve">(1), 68–104.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Kelly, M. A., &amp; Clark, S. P. (2011). Returns in trading versus non-trading hours: The difference is day and night.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Asset Management, 12</w:t>
      </w:r>
      <w:r>
        <w:rPr>
          <w:rFonts w:asciiTheme="minorHAnsi" w:hAnsiTheme="minorHAnsi" w:cstheme="minorHAnsi"/>
          <w:noProof/>
          <w:sz w:val="20"/>
          <w:szCs w:val="20"/>
          <w:lang w:val="hr-HR"/>
        </w:rPr>
        <w:t xml:space="preserve">, 132–145.</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https://doi.org/10.1057/jam.2011.2</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Kim, K. A., &amp; Limpaphayom, P. (2000). Characteristics of stocks that frequently hit price limits: Empirical evidence from Taiwan and Thailand.</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Markets, 3</w:t>
      </w:r>
      <w:r>
        <w:rPr>
          <w:rFonts w:asciiTheme="minorHAnsi" w:hAnsiTheme="minorHAnsi" w:cstheme="minorHAnsi"/>
          <w:noProof/>
          <w:sz w:val="20"/>
          <w:szCs w:val="20"/>
          <w:lang w:val="hr-HR"/>
        </w:rPr>
        <w:t xml:space="preserve">(3), 315–332.</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Kim, K. A., &amp; Rhee, S. G. (1997). Price limit performance: Evidence from the Tokyo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Journal of Finance, 52</w:t>
      </w:r>
      <w:r>
        <w:rPr>
          <w:rFonts w:asciiTheme="minorHAnsi" w:hAnsiTheme="minorHAnsi" w:cstheme="minorHAnsi"/>
          <w:noProof/>
          <w:sz w:val="20"/>
          <w:szCs w:val="20"/>
          <w:lang w:val="hr-HR"/>
        </w:rPr>
        <w:t xml:space="preserve">(2), 885–901.</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https://doi.org/10.1111/j.1540-6261.1997.tb04827.x</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Kim, W., &amp; Jun, S. (2019). Effects of a price limit change on market stability at the intraday horizon in the Korean stock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Applied Economics Letters, 26</w:t>
      </w:r>
      <w:r>
        <w:rPr>
          <w:rFonts w:asciiTheme="minorHAnsi" w:hAnsiTheme="minorHAnsi" w:cstheme="minorHAnsi"/>
          <w:noProof/>
          <w:sz w:val="20"/>
          <w:szCs w:val="20"/>
          <w:lang w:val="hr-HR"/>
        </w:rPr>
        <w:t xml:space="preserve">(7), 582–586.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Kodres, L. E., &amp; O’Brien, D. P. (1994). The existence of Pareto-superior price limits.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American Economic Review, 84</w:t>
      </w:r>
      <w:r>
        <w:rPr>
          <w:rFonts w:asciiTheme="minorHAnsi" w:hAnsiTheme="minorHAnsi" w:cstheme="minorHAnsi"/>
          <w:noProof/>
          <w:sz w:val="20"/>
          <w:szCs w:val="20"/>
          <w:lang w:val="hr-HR"/>
        </w:rPr>
        <w:t xml:space="preserve">(4), 919–932.</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Liang, H., &amp; Hu, Y. (2025). Stock price limit and its predictability in the Chinese stock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Forecasting, 44</w:t>
      </w:r>
      <w:r>
        <w:rPr>
          <w:rFonts w:asciiTheme="minorHAnsi" w:hAnsiTheme="minorHAnsi" w:cstheme="minorHAnsi"/>
          <w:noProof/>
          <w:sz w:val="20"/>
          <w:szCs w:val="20"/>
          <w:lang w:val="hr-HR"/>
        </w:rPr>
        <w:t xml:space="preserve">, 297–319.</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https://doi.org/10.1002/for.3197</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Lien, D., Hung, P.-H., Zhu, J.-D., &amp; Chen, Y.-H. (2019). Price limit changes and market quality in the Taiwan Stock Exchange.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Pacific-Basin Finance Journal, 55</w:t>
      </w:r>
      <w:r>
        <w:rPr>
          <w:rFonts w:asciiTheme="minorHAnsi" w:hAnsiTheme="minorHAnsi" w:cstheme="minorHAnsi"/>
          <w:noProof/>
          <w:sz w:val="20"/>
          <w:szCs w:val="20"/>
          <w:lang w:val="hr-HR"/>
        </w:rPr>
        <w:t xml:space="preserve">, 239–258.</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Lin, F., Qiu, Z., &amp; Zheng, W. (2023). Cranes among chickens: The general-attention-grabbing effect of daily price limits in China’s stock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Banking &amp; Finance, 150</w:t>
      </w:r>
      <w:r>
        <w:rPr>
          <w:rFonts w:asciiTheme="minorHAnsi" w:hAnsiTheme="minorHAnsi" w:cstheme="minorHAnsi"/>
          <w:noProof/>
          <w:sz w:val="20"/>
          <w:szCs w:val="20"/>
          <w:lang w:val="hr-HR"/>
        </w:rPr>
        <w:t xml:space="preserve">, 106818.</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https://doi.org/10.1016/j.jbankfin.2023.106818</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Lou, D., Polk, C., &amp; Skouras, S. (2019). A tug of war: Overnight versus intraday expected returns.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Economics, 134</w:t>
      </w:r>
      <w:r>
        <w:rPr>
          <w:rFonts w:asciiTheme="minorHAnsi" w:hAnsiTheme="minorHAnsi" w:cstheme="minorHAnsi"/>
          <w:noProof/>
          <w:sz w:val="20"/>
          <w:szCs w:val="20"/>
          <w:lang w:val="hr-HR"/>
        </w:rPr>
        <w:t xml:space="preserve">(1), 192–213.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https://doi.org/10.1016/j.jfineco.2019.03.011</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Lu, Z., Malliaris, S. G., &amp; Qin, Z. (2023). Heterogeneous liquidity providers and night-minus-day return predictability.</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Economics, 148</w:t>
      </w:r>
      <w:r>
        <w:rPr>
          <w:rFonts w:asciiTheme="minorHAnsi" w:hAnsiTheme="minorHAnsi" w:cstheme="minorHAnsi"/>
          <w:noProof/>
          <w:sz w:val="20"/>
          <w:szCs w:val="20"/>
          <w:lang w:val="hr-HR"/>
        </w:rPr>
        <w:t xml:space="preserve">(3), 175–200.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Newey, W. K., &amp; West, K. D. (1987). A simple, positive semi-definite, heteroskedasticity and autocorrelation consistent covariance matrix.</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Econometrica, 55</w:t>
      </w:r>
      <w:r>
        <w:rPr>
          <w:rFonts w:asciiTheme="minorHAnsi" w:hAnsiTheme="minorHAnsi" w:cstheme="minorHAnsi"/>
          <w:noProof/>
          <w:sz w:val="20"/>
          <w:szCs w:val="20"/>
          <w:lang w:val="hr-HR"/>
        </w:rPr>
        <w:t xml:space="preserve">(3), 703–708.</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https://doi.org/10.2307/1913610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Petersen, M. A. (2009). Estimating standard errors in finance panel data sets: Comparing approaches.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Review of Financial Studies, 22</w:t>
      </w:r>
      <w:r>
        <w:rPr>
          <w:rFonts w:asciiTheme="minorHAnsi" w:hAnsiTheme="minorHAnsi" w:cstheme="minorHAnsi"/>
          <w:noProof/>
          <w:sz w:val="20"/>
          <w:szCs w:val="20"/>
          <w:lang w:val="hr-HR"/>
        </w:rPr>
        <w:t xml:space="preserve">(1), 435–480.</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Qi, B. (2023). Effectiveness of price limits: Evidence from China’s ChiNext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PLOS ONE, 18</w:t>
      </w:r>
      <w:r>
        <w:rPr>
          <w:rFonts w:asciiTheme="minorHAnsi" w:hAnsiTheme="minorHAnsi" w:cstheme="minorHAnsi"/>
          <w:noProof/>
          <w:sz w:val="20"/>
          <w:szCs w:val="20"/>
          <w:lang w:val="hr-HR"/>
        </w:rPr>
        <w:t xml:space="preserve">(6), e0287548.</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https://doi.org/10.1371/journal.pone.0287548</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Qiao, K., &amp; Dam, L. (2020). The overnight return puzzle and the</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w:t>
      </w:r>
      <w:r>
        <w:rPr>
          <w:rFonts w:asciiTheme="minorHAnsi" w:hAnsiTheme="minorHAnsi" w:cstheme="minorHAnsi"/>
          <w:noProof/>
          <w:sz w:val="20"/>
          <w:szCs w:val="20"/>
          <w:lang w:val="hr-HR"/>
        </w:rPr>
        <w:t xml:space="preserve">T+1</w:t>
      </w:r>
      <w:r>
        <w:rPr>
          <w:rFonts w:asciiTheme="minorHAnsi" w:hAnsiTheme="minorHAnsi" w:cstheme="minorHAnsi"/>
          <w:noProof/>
          <w:sz w:val="20"/>
          <w:szCs w:val="20"/>
          <w:lang w:val="hr-HR"/>
        </w:rPr>
        <w:t xml:space="preserve">”</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trading rule in Chinese stock markets.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Journal of Financial Markets, 50</w:t>
      </w:r>
      <w:r>
        <w:rPr>
          <w:rFonts w:asciiTheme="minorHAnsi" w:hAnsiTheme="minorHAnsi" w:cstheme="minorHAnsi"/>
          <w:noProof/>
          <w:sz w:val="20"/>
          <w:szCs w:val="20"/>
          <w:lang w:val="hr-HR"/>
        </w:rPr>
        <w:t xml:space="preserve">, 100534.</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Qiu, J., Huang, W., &amp; Jiang, Y. (2025). Day-night anomaly returns in China: The role of institutions.</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Research in International Business and Finance, 75</w:t>
      </w:r>
      <w:r>
        <w:rPr>
          <w:rFonts w:asciiTheme="minorHAnsi" w:hAnsiTheme="minorHAnsi" w:cstheme="minorHAnsi"/>
          <w:noProof/>
          <w:sz w:val="20"/>
          <w:szCs w:val="20"/>
          <w:lang w:val="hr-HR"/>
        </w:rPr>
        <w:t xml:space="preserve">, 102776.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Subrahmanyam, A. (1994). Circuit breakers and market volatility: A theoretical perspective.</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The Journal of Finance, 49</w:t>
      </w:r>
      <w:r>
        <w:rPr>
          <w:rFonts w:asciiTheme="minorHAnsi" w:hAnsiTheme="minorHAnsi" w:cstheme="minorHAnsi"/>
          <w:noProof/>
          <w:sz w:val="20"/>
          <w:szCs w:val="20"/>
          <w:lang w:val="hr-HR"/>
        </w:rPr>
        <w:t xml:space="preserve">(1), 237–254.</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https://doi.org/10.1111/j.1540-6261.1994.tb04427.x</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Viet Nam News. (2025).</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KRX system officially goes live</w:t>
      </w:r>
      <w:r>
        <w:rPr>
          <w:rFonts w:asciiTheme="minorHAnsi" w:hAnsiTheme="minorHAnsi" w:cstheme="minorHAnsi"/>
          <w:noProof/>
          <w:sz w:val="20"/>
          <w:szCs w:val="20"/>
          <w:lang w:val="hr-HR"/>
        </w:rPr>
        <w:t xml:space="preserve">. Viet Nam News.</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https://vietnamnews.vn/economy/1717047/krx-system-officially-goes-live.html</w:t>
      </w:r>
      <w:r>
        <w:rPr>
          <w:rFonts w:asciiTheme="minorHAnsi" w:hAnsiTheme="minorHAnsi" w:cstheme="minorHAnsi"/>
          <w:noProof/>
          <w:sz w:val="20"/>
          <w:szCs w:val="20"/>
          <w:lang w:val="hr-HR"/>
        </w:rPr>
        <w:t xml:space="preserve">. Accessed on October 5, 2026.</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Zeng, Z., Wang, G., &amp; Tang, G. (2024). Price limits hitting effect and cross-sectional stock returns: Evidence from China.</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Finance Research Letters, 60</w:t>
      </w:r>
      <w:r>
        <w:rPr>
          <w:rFonts w:asciiTheme="minorHAnsi" w:hAnsiTheme="minorHAnsi" w:cstheme="minorHAnsi"/>
          <w:noProof/>
          <w:sz w:val="20"/>
          <w:szCs w:val="20"/>
          <w:lang w:val="hr-HR"/>
        </w:rPr>
        <w:t xml:space="preserve">, 104803.</w:t>
      </w:r>
      <w:r>
        <w:rPr>
          <w:rFonts w:asciiTheme="minorHAnsi" w:hAnsiTheme="minorHAnsi" w:cstheme="minorHAnsi"/>
          <w:noProof/>
          <w:sz w:val="20"/>
          <w:szCs w:val="20"/>
          <w:lang w:val="hr-HR"/>
        </w:rPr>
        <w:t xml:space="preserve"> </w:t>
      </w:r>
      <w:r>
        <w:rPr>
          <w:rFonts w:asciiTheme="minorHAnsi" w:hAnsiTheme="minorHAnsi" w:cstheme="minorHAnsi"/>
          <w:noProof/>
          <w:sz w:val="20"/>
          <w:szCs w:val="20"/>
          <w:lang w:val="hr-HR"/>
        </w:rPr>
        <w:t xml:space="preserve">https://doi.org/10.1016/j.frl.2023.104803</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Pr>
          <w:rFonts w:asciiTheme="minorHAnsi" w:hAnsiTheme="minorHAnsi" w:cstheme="minorHAnsi"/>
          <w:noProof/>
          <w:sz w:val="20"/>
          <w:szCs w:val="20"/>
          <w:lang w:val="hr-HR"/>
        </w:rPr>
        <w:t xml:space="preserve">Zhang, X., Wang, Z., Hao, J., &amp; He, F. (2022). Price limit and stock market quality: Evidence from a quasi-natural experiment in the Chinese stock market.</w:t>
      </w:r>
      <w:r>
        <w:rPr>
          <w:rFonts w:asciiTheme="minorHAnsi" w:hAnsiTheme="minorHAnsi" w:cstheme="minorHAnsi"/>
          <w:noProof/>
          <w:sz w:val="20"/>
          <w:szCs w:val="20"/>
          <w:lang w:val="hr-HR"/>
        </w:rPr>
        <w:t xml:space="preserve"> </w:t>
      </w:r>
      <w:r>
        <w:rPr>
          <w:rFonts w:asciiTheme="minorHAnsi" w:hAnsiTheme="minorHAnsi" w:cstheme="minorHAnsi"/>
          <w:bCs/>
          <w:i/>
          <w:iCs/>
          <w:noProof/>
          <w:sz w:val="20"/>
          <w:szCs w:val="20"/>
          <w:lang w:val="hr-HR"/>
        </w:rPr>
        <w:t xml:space="preserve">Pacific-Basin Finance Journal, 74</w:t>
      </w:r>
      <w:r>
        <w:rPr>
          <w:rFonts w:asciiTheme="minorHAnsi" w:hAnsiTheme="minorHAnsi" w:cstheme="minorHAnsi"/>
          <w:noProof/>
          <w:sz w:val="20"/>
          <w:szCs w:val="20"/>
          <w:lang w:val="hr-HR"/>
        </w:rPr>
        <w:t xml:space="preserve">, 101778.</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p>
    <w:p w14:paraId="6A806C1A" w14:textId="77777777" w:rsidR="00820C36" w:rsidRDefault="00820C36" w:rsidP="00820C36">
      <w:pPr>
        <w:pageBreakBefore/>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drawing>
          <wp:inline xmlns:a="http://schemas.openxmlformats.org/drawingml/2006/main" xmlns:pic="http://schemas.openxmlformats.org/drawingml/2006/picture">
            <wp:extent cx="5940000" cy="4203692"/>
            <wp:docPr id="2009629076" name="Picture 2009629076"/>
            <wp:cNvGraphicFramePr>
              <a:graphicFrameLocks noChangeAspect="1"/>
            </wp:cNvGraphicFramePr>
            <a:graphic>
              <a:graphicData uri="http://schemas.openxmlformats.org/drawingml/2006/picture">
                <pic:pic>
                  <pic:nvPicPr>
                    <pic:cNvPr id="0" name="F1_characteristics.png"/>
                    <pic:cNvPicPr/>
                  </pic:nvPicPr>
                  <pic:blipFill>
                    <a:blip r:embed="rId30"/>
                    <a:stretch>
                      <a:fillRect/>
                    </a:stretch>
                  </pic:blipFill>
                  <pic:spPr>
                    <a:xfrm>
                      <a:off x="0" y="0"/>
                      <a:ext cx="5940000" cy="4203692"/>
                    </a:xfrm>
                    <a:prstGeom prst="rect"/>
                  </pic:spPr>
                </pic:pic>
              </a:graphicData>
            </a:graphic>
          </wp:inline>
        </w:drawing>
      </w:r>
    </w:p>
    <w:p w14:paraId="6A806C1A"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Figure 1</w:t>
      </w:r>
      <w:r>
        <w:rPr>
          <w:rFonts w:asciiTheme="minorHAnsi" w:eastAsia="Georgia" w:hAnsiTheme="minorHAnsi" w:cstheme="minorHAnsi"/>
          <w:color w:val="000000"/>
          <w:sz w:val="18"/>
          <w:szCs w:val="18"/>
          <w:bdr w:val="nil"/>
          <w:lang w:val="hr-HR" w:eastAsia="es-MX"/>
        </w:rPr>
        <w:t xml:space="preserve"> Fama–MacBeth</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-statistics of the 22 characteristics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Full sample, discovery half (first 39 weeks), and confirmation half, ordered by absolute full-sample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Dashed lines mark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 1.96 and dotted lines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 3. Supplementary Material S1 defines the labels.</w:t>
      </w:r>
    </w:p>
    <w:p w14:paraId="6A806C1A"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drawing>
          <wp:inline xmlns:a="http://schemas.openxmlformats.org/drawingml/2006/main" xmlns:pic="http://schemas.openxmlformats.org/drawingml/2006/picture">
            <wp:extent cx="5940000" cy="2558769"/>
            <wp:docPr id="2009629077" name="Picture 2009629077"/>
            <wp:cNvGraphicFramePr>
              <a:graphicFrameLocks noChangeAspect="1"/>
            </wp:cNvGraphicFramePr>
            <a:graphic>
              <a:graphicData uri="http://schemas.openxmlformats.org/drawingml/2006/picture">
                <pic:pic>
                  <pic:nvPicPr>
                    <pic:cNvPr id="0" name="F2_break_at_limit.png"/>
                    <pic:cNvPicPr/>
                  </pic:nvPicPr>
                  <pic:blipFill>
                    <a:blip r:embed="rId31"/>
                    <a:stretch>
                      <a:fillRect/>
                    </a:stretch>
                  </pic:blipFill>
                  <pic:spPr>
                    <a:xfrm>
                      <a:off x="0" y="0"/>
                      <a:ext cx="5940000" cy="2558769"/>
                    </a:xfrm>
                    <a:prstGeom prst="rect"/>
                  </pic:spPr>
                </pic:pic>
              </a:graphicData>
            </a:graphic>
          </wp:inline>
        </w:drawing>
      </w:r>
    </w:p>
    <w:p w14:paraId="6A806C1A"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Figure 2</w:t>
      </w:r>
      <w:r>
        <w:rPr>
          <w:rFonts w:asciiTheme="minorHAnsi" w:eastAsia="Georgia" w:hAnsiTheme="minorHAnsi" w:cstheme="minorHAnsi"/>
          <w:color w:val="000000"/>
          <w:sz w:val="18"/>
          <w:szCs w:val="18"/>
          <w:bdr w:val="nil"/>
          <w:lang w:val="hr-HR" w:eastAsia="es-MX"/>
        </w:rPr>
        <w:t xml:space="preserve"> Next-day abnormal return by the size of the day-</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move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Circles are 1-point bins inside the band, triangles are ceiling and floor events, and squares are other moves of 6.5% to 10%. Bars are 95% confidence intervals clustered by date. Market weights are lagged to day</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1</w:t>
      </w:r>
      <w:r>
        <w:rPr>
          <w:rFonts w:asciiTheme="minorHAnsi" w:eastAsia="Georgia" w:hAnsiTheme="minorHAnsi" w:cstheme="minorHAnsi"/>
          <w:color w:val="000000"/>
          <w:sz w:val="18"/>
          <w:szCs w:val="18"/>
          <w:bdr w:val="nil"/>
          <w:lang w:val="hr-HR" w:eastAsia="es-MX"/>
        </w:rPr>
        <w:t xml:space="preserve"> Market-adjusted returns after ceiling and floor closes</w:t>
      </w:r>
    </w:p>
    <w:tbl>
      <w:tblPr>
        <w:tblW w:type="pct" w:w="5000"/>
        <w:jc w:val="center"/>
        <w:tblLayout w:type="fixed"/>
      </w:tblPr>
      <w:tblGrid>
        <w:gridCol w:w="1324"/>
        <w:gridCol w:w="1324"/>
        <w:gridCol w:w="1059"/>
        <w:gridCol w:w="1192"/>
        <w:gridCol w:w="1192"/>
        <w:gridCol w:w="1457"/>
        <w:gridCol w:w="1457"/>
        <w:gridCol w:w="1192"/>
      </w:tblGrid>
      <w:tr>
        <w:trPr>
          <w:cantSplit/>
          <w:tblHeader w:val="true"/>
        </w:trPr>
        <w:tc>
          <w:tcPr>
            <w:tcW w:type="dxa" w:w="1324"/>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Event</w:t>
            </w:r>
          </w:p>
        </w:tc>
        <w:tc>
          <w:tcPr>
            <w:tcW w:type="dxa" w:w="1324"/>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Horizon</w:t>
            </w:r>
          </w:p>
        </w:tc>
        <w:tc>
          <w:tcPr>
            <w:tcW w:type="dxa" w:w="1059"/>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Mean (%)</w:t>
            </w:r>
          </w:p>
        </w:tc>
        <w:tc>
          <w:tcPr>
            <w:tcW w:type="dxa" w:w="119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i/>
                <w:iCs/>
                <w:sz w:val="16"/>
                <w:szCs w:val="16"/>
              </w:rPr>
              <w:t xml:space="preserve">t</w:t>
            </w:r>
            <w:r>
              <w:rPr>
                <w:rFonts w:asciiTheme="minorHAnsi" w:hAnsiTheme="minorHAnsi" w:cstheme="minorHAnsi"/>
                <w:sz w:val="16"/>
                <w:szCs w:val="16"/>
              </w:rPr>
              <w:t xml:space="preserve"> </w:t>
            </w:r>
            <w:r>
              <w:rPr>
                <w:rFonts w:asciiTheme="minorHAnsi" w:hAnsiTheme="minorHAnsi" w:cstheme="minorHAnsi"/>
                <w:sz w:val="16"/>
                <w:szCs w:val="16"/>
              </w:rPr>
              <w:t xml:space="preserve">(date)</w:t>
            </w:r>
          </w:p>
        </w:tc>
        <w:tc>
          <w:tcPr>
            <w:tcW w:type="dxa" w:w="119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i/>
                <w:iCs/>
                <w:sz w:val="16"/>
                <w:szCs w:val="16"/>
              </w:rPr>
              <w:t xml:space="preserve">t</w:t>
            </w:r>
            <w:r>
              <w:rPr>
                <w:rFonts w:asciiTheme="minorHAnsi" w:hAnsiTheme="minorHAnsi" w:cstheme="minorHAnsi"/>
                <w:sz w:val="16"/>
                <w:szCs w:val="16"/>
              </w:rPr>
              <w:t xml:space="preserve"> </w:t>
            </w:r>
            <w:r>
              <w:rPr>
                <w:rFonts w:asciiTheme="minorHAnsi" w:hAnsiTheme="minorHAnsi" w:cstheme="minorHAnsi"/>
                <w:sz w:val="16"/>
                <w:szCs w:val="16"/>
              </w:rPr>
              <w:t xml:space="preserve">(week)</w:t>
            </w:r>
          </w:p>
        </w:tc>
        <w:tc>
          <w:tcPr>
            <w:tcW w:type="dxa" w:w="1457"/>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i/>
                <w:iCs/>
                <w:sz w:val="16"/>
                <w:szCs w:val="16"/>
              </w:rPr>
              <w:t xml:space="preserve">t</w:t>
            </w:r>
            <w:r>
              <w:rPr>
                <w:rFonts w:asciiTheme="minorHAnsi" w:hAnsiTheme="minorHAnsi" w:cstheme="minorHAnsi"/>
                <w:sz w:val="16"/>
                <w:szCs w:val="16"/>
              </w:rPr>
              <w:t xml:space="preserve"> </w:t>
            </w:r>
            <w:r>
              <w:rPr>
                <w:rFonts w:asciiTheme="minorHAnsi" w:hAnsiTheme="minorHAnsi" w:cstheme="minorHAnsi"/>
                <w:sz w:val="16"/>
                <w:szCs w:val="16"/>
              </w:rPr>
              <w:t xml:space="preserve">(10-day)</w:t>
            </w:r>
          </w:p>
        </w:tc>
        <w:tc>
          <w:tcPr>
            <w:tcW w:type="dxa" w:w="1457"/>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i/>
                <w:iCs/>
                <w:sz w:val="16"/>
                <w:szCs w:val="16"/>
              </w:rPr>
              <w:t xml:space="preserve">t</w:t>
            </w:r>
            <w:r>
              <w:rPr>
                <w:rFonts w:asciiTheme="minorHAnsi" w:hAnsiTheme="minorHAnsi" w:cstheme="minorHAnsi"/>
                <w:sz w:val="16"/>
                <w:szCs w:val="16"/>
              </w:rPr>
              <w:t xml:space="preserve"> </w:t>
            </w:r>
            <w:r>
              <w:rPr>
                <w:rFonts w:asciiTheme="minorHAnsi" w:hAnsiTheme="minorHAnsi" w:cstheme="minorHAnsi"/>
                <w:sz w:val="16"/>
                <w:szCs w:val="16"/>
              </w:rPr>
              <w:t xml:space="preserve">(halves)</w:t>
            </w:r>
          </w:p>
        </w:tc>
        <w:tc>
          <w:tcPr>
            <w:tcW w:type="dxa" w:w="119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Events</w:t>
            </w:r>
          </w:p>
        </w:tc>
      </w:tr>
      <w:tr>
        <w:trPr>
          <w:cantSplit/>
        </w:trPr>
        <w:tc>
          <w:tcPr>
            <w:tcW w:type="dxa" w:w="1324"/>
            <w:tcBorders/>
          </w:tcPr>
          <w:p>
            <w:pPr>
              <w:keepNext/>
              <w:spacing w:before="10" w:after="10" w:line="240" w:lineRule="auto"/>
              <w:jc w:val="left"/>
            </w:pPr>
            <w:r>
              <w:rPr>
                <w:rFonts w:asciiTheme="minorHAnsi" w:hAnsiTheme="minorHAnsi" w:cstheme="minorHAnsi"/>
                <w:sz w:val="16"/>
                <w:szCs w:val="16"/>
              </w:rPr>
              <w:t xml:space="preserve">Ceiling</w:t>
            </w:r>
          </w:p>
        </w:tc>
        <w:tc>
          <w:tcPr>
            <w:tcW w:type="dxa" w:w="1324"/>
            <w:tcBorders/>
          </w:tcPr>
          <w:p>
            <w:pPr>
              <w:keepNext/>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+1</w:t>
            </w:r>
          </w:p>
        </w:tc>
        <w:tc>
          <w:tcPr>
            <w:tcW w:type="dxa" w:w="1059"/>
            <w:tcBorders/>
          </w:tcPr>
          <w:p>
            <w:pPr>
              <w:keepNext/>
              <w:spacing w:before="10" w:after="10" w:line="240" w:lineRule="auto"/>
              <w:jc w:val="left"/>
            </w:pPr>
            <w:r>
              <w:rPr>
                <w:rFonts w:asciiTheme="minorHAnsi" w:hAnsiTheme="minorHAnsi" w:cstheme="minorHAnsi"/>
                <w:sz w:val="16"/>
                <w:szCs w:val="16"/>
              </w:rPr>
              <w:t xml:space="preserve">1.66</w:t>
            </w:r>
          </w:p>
        </w:tc>
        <w:tc>
          <w:tcPr>
            <w:tcW w:type="dxa" w:w="1192"/>
            <w:tcBorders/>
          </w:tcPr>
          <w:p>
            <w:pPr>
              <w:keepNext/>
              <w:spacing w:before="10" w:after="10" w:line="240" w:lineRule="auto"/>
              <w:jc w:val="left"/>
            </w:pPr>
            <w:r>
              <w:rPr>
                <w:rFonts w:asciiTheme="minorHAnsi" w:hAnsiTheme="minorHAnsi" w:cstheme="minorHAnsi"/>
                <w:sz w:val="16"/>
                <w:szCs w:val="16"/>
              </w:rPr>
              <w:t xml:space="preserve">4.90</w:t>
            </w:r>
          </w:p>
        </w:tc>
        <w:tc>
          <w:tcPr>
            <w:tcW w:type="dxa" w:w="1192"/>
            <w:tcBorders/>
          </w:tcPr>
          <w:p>
            <w:pPr>
              <w:keepNext/>
              <w:spacing w:before="10" w:after="10" w:line="240" w:lineRule="auto"/>
              <w:jc w:val="left"/>
            </w:pPr>
            <w:r>
              <w:rPr>
                <w:rFonts w:asciiTheme="minorHAnsi" w:hAnsiTheme="minorHAnsi" w:cstheme="minorHAnsi"/>
                <w:sz w:val="16"/>
                <w:szCs w:val="16"/>
              </w:rPr>
              <w:t xml:space="preserve">4.67</w:t>
            </w:r>
          </w:p>
        </w:tc>
        <w:tc>
          <w:tcPr>
            <w:tcW w:type="dxa" w:w="1457"/>
            <w:tcBorders/>
          </w:tcPr>
          <w:p>
            <w:pPr>
              <w:keepNext/>
              <w:spacing w:before="10" w:after="10" w:line="240" w:lineRule="auto"/>
              <w:jc w:val="left"/>
            </w:pPr>
            <w:r>
              <w:rPr>
                <w:rFonts w:asciiTheme="minorHAnsi" w:hAnsiTheme="minorHAnsi" w:cstheme="minorHAnsi"/>
                <w:sz w:val="16"/>
                <w:szCs w:val="16"/>
              </w:rPr>
              <w:t xml:space="preserve">4.61</w:t>
            </w:r>
          </w:p>
        </w:tc>
        <w:tc>
          <w:tcPr>
            <w:tcW w:type="dxa" w:w="1457"/>
            <w:tcBorders/>
          </w:tcPr>
          <w:p>
            <w:pPr>
              <w:keepNext/>
              <w:spacing w:before="10" w:after="10" w:line="240" w:lineRule="auto"/>
              <w:jc w:val="left"/>
            </w:pPr>
            <w:r>
              <w:rPr>
                <w:rFonts w:asciiTheme="minorHAnsi" w:hAnsiTheme="minorHAnsi" w:cstheme="minorHAnsi"/>
                <w:sz w:val="16"/>
                <w:szCs w:val="16"/>
              </w:rPr>
              <w:t xml:space="preserve">2.2 / 13.7</w:t>
            </w:r>
          </w:p>
        </w:tc>
        <w:tc>
          <w:tcPr>
            <w:tcW w:type="dxa" w:w="1192"/>
            <w:tcBorders/>
          </w:tcPr>
          <w:p>
            <w:pPr>
              <w:keepNext/>
              <w:spacing w:before="10" w:after="10" w:line="240" w:lineRule="auto"/>
              <w:jc w:val="left"/>
            </w:pPr>
            <w:r>
              <w:rPr>
                <w:rFonts w:asciiTheme="minorHAnsi" w:hAnsiTheme="minorHAnsi" w:cstheme="minorHAnsi"/>
                <w:sz w:val="16"/>
                <w:szCs w:val="16"/>
              </w:rPr>
              <w:t xml:space="preserve">3,187</w:t>
            </w:r>
          </w:p>
        </w:tc>
      </w:tr>
      <w:tr>
        <w:trPr>
          <w:cantSplit/>
        </w:trPr>
        <w:tc>
          <w:tcPr>
            <w:tcW w:type="dxa" w:w="1324"/>
            <w:tcBorders/>
          </w:tcPr>
          <w:p>
            <w:pPr>
              <w:keepNext/>
              <w:spacing w:before="10" w:after="10" w:line="240" w:lineRule="auto"/>
              <w:jc w:val="left"/>
            </w:pPr>
            <w:r>
              <w:rPr>
                <w:rFonts w:asciiTheme="minorHAnsi" w:hAnsiTheme="minorHAnsi" w:cstheme="minorHAnsi"/>
                <w:sz w:val="16"/>
                <w:szCs w:val="16"/>
              </w:rPr>
              <w:t xml:space="preserve">Ceiling</w:t>
            </w:r>
          </w:p>
        </w:tc>
        <w:tc>
          <w:tcPr>
            <w:tcW w:type="dxa" w:w="1324"/>
            <w:tcBorders/>
          </w:tcPr>
          <w:p>
            <w:pPr>
              <w:keepNext/>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+1 to</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059"/>
            <w:tcBorders/>
          </w:tcPr>
          <w:p>
            <w:pPr>
              <w:keepNext/>
              <w:spacing w:before="10" w:after="10" w:line="240" w:lineRule="auto"/>
              <w:jc w:val="left"/>
            </w:pPr>
            <w:r>
              <w:rPr>
                <w:rFonts w:asciiTheme="minorHAnsi" w:hAnsiTheme="minorHAnsi" w:cstheme="minorHAnsi"/>
                <w:sz w:val="16"/>
                <w:szCs w:val="16"/>
              </w:rPr>
              <w:t xml:space="preserve">1.45</w:t>
            </w:r>
          </w:p>
        </w:tc>
        <w:tc>
          <w:tcPr>
            <w:tcW w:type="dxa" w:w="1192"/>
            <w:tcBorders/>
          </w:tcPr>
          <w:p>
            <w:pPr>
              <w:keepNext/>
              <w:spacing w:before="10" w:after="10" w:line="240" w:lineRule="auto"/>
              <w:jc w:val="left"/>
            </w:pPr>
            <w:r>
              <w:rPr>
                <w:rFonts w:asciiTheme="minorHAnsi" w:hAnsiTheme="minorHAnsi" w:cstheme="minorHAnsi"/>
                <w:sz w:val="16"/>
                <w:szCs w:val="16"/>
              </w:rPr>
              <w:t xml:space="preserve">4.00</w:t>
            </w:r>
          </w:p>
        </w:tc>
        <w:tc>
          <w:tcPr>
            <w:tcW w:type="dxa" w:w="1192"/>
            <w:tcBorders/>
          </w:tcPr>
          <w:p>
            <w:pPr>
              <w:keepNext/>
              <w:spacing w:before="10" w:after="10" w:line="240" w:lineRule="auto"/>
              <w:jc w:val="left"/>
            </w:pPr>
            <w:r>
              <w:rPr>
                <w:rFonts w:asciiTheme="minorHAnsi" w:hAnsiTheme="minorHAnsi" w:cstheme="minorHAnsi"/>
                <w:sz w:val="16"/>
                <w:szCs w:val="16"/>
              </w:rPr>
              <w:t xml:space="preserve">3.67</w:t>
            </w:r>
          </w:p>
        </w:tc>
        <w:tc>
          <w:tcPr>
            <w:tcW w:type="dxa" w:w="1457"/>
            <w:tcBorders/>
          </w:tcPr>
          <w:p>
            <w:pPr>
              <w:keepNext/>
              <w:spacing w:before="10" w:after="10" w:line="240" w:lineRule="auto"/>
              <w:jc w:val="left"/>
            </w:pPr>
            <w:r>
              <w:rPr>
                <w:rFonts w:asciiTheme="minorHAnsi" w:hAnsiTheme="minorHAnsi" w:cstheme="minorHAnsi"/>
                <w:sz w:val="16"/>
                <w:szCs w:val="16"/>
              </w:rPr>
              <w:t xml:space="preserve">3.81</w:t>
            </w:r>
          </w:p>
        </w:tc>
        <w:tc>
          <w:tcPr>
            <w:tcW w:type="dxa" w:w="1457"/>
            <w:tcBorders/>
          </w:tcPr>
          <w:p>
            <w:pPr>
              <w:keepNext/>
              <w:spacing w:before="10" w:after="10" w:line="240" w:lineRule="auto"/>
              <w:jc w:val="left"/>
            </w:pPr>
            <w:r>
              <w:rPr>
                <w:rFonts w:asciiTheme="minorHAnsi" w:hAnsiTheme="minorHAnsi" w:cstheme="minorHAnsi"/>
                <w:sz w:val="16"/>
                <w:szCs w:val="16"/>
              </w:rPr>
              <w:t xml:space="preserve">1.7 / 5.0</w:t>
            </w:r>
          </w:p>
        </w:tc>
        <w:tc>
          <w:tcPr>
            <w:tcW w:type="dxa" w:w="1192"/>
            <w:tcBorders/>
          </w:tcPr>
          <w:p>
            <w:pPr>
              <w:keepNext/>
              <w:spacing w:before="10" w:after="10" w:line="240" w:lineRule="auto"/>
              <w:jc w:val="left"/>
            </w:pPr>
            <w:r>
              <w:rPr>
                <w:rFonts w:asciiTheme="minorHAnsi" w:hAnsiTheme="minorHAnsi" w:cstheme="minorHAnsi"/>
                <w:sz w:val="16"/>
                <w:szCs w:val="16"/>
              </w:rPr>
              <w:t xml:space="preserve">3,187</w:t>
            </w:r>
          </w:p>
        </w:tc>
      </w:tr>
      <w:tr>
        <w:trPr>
          <w:cantSplit/>
        </w:trPr>
        <w:tc>
          <w:tcPr>
            <w:tcW w:type="dxa" w:w="1324"/>
            <w:tcBorders/>
          </w:tcPr>
          <w:p>
            <w:pPr>
              <w:keepNext/>
              <w:spacing w:before="10" w:after="10" w:line="240" w:lineRule="auto"/>
              <w:jc w:val="left"/>
            </w:pPr>
            <w:r>
              <w:rPr>
                <w:rFonts w:asciiTheme="minorHAnsi" w:hAnsiTheme="minorHAnsi" w:cstheme="minorHAnsi"/>
                <w:sz w:val="16"/>
                <w:szCs w:val="16"/>
              </w:rPr>
              <w:t xml:space="preserve">Ceiling</w:t>
            </w:r>
          </w:p>
        </w:tc>
        <w:tc>
          <w:tcPr>
            <w:tcW w:type="dxa" w:w="1324"/>
            <w:tcBorders/>
          </w:tcPr>
          <w:p>
            <w:pPr>
              <w:keepNext/>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+2 to</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059"/>
            <w:tcBorders/>
          </w:tcPr>
          <w:p>
            <w:pPr>
              <w:keepNext/>
              <w:spacing w:before="10" w:after="10" w:line="240" w:lineRule="auto"/>
              <w:jc w:val="left"/>
            </w:pPr>
            <w:r>
              <w:rPr>
                <w:rFonts w:asciiTheme="minorHAnsi" w:hAnsiTheme="minorHAnsi" w:cstheme="minorHAnsi"/>
                <w:sz w:val="16"/>
                <w:szCs w:val="16"/>
              </w:rPr>
              <w:t xml:space="preserve">−0.24</w:t>
            </w:r>
          </w:p>
        </w:tc>
        <w:tc>
          <w:tcPr>
            <w:tcW w:type="dxa" w:w="1192"/>
            <w:tcBorders/>
          </w:tcPr>
          <w:p>
            <w:pPr>
              <w:keepNext/>
              <w:spacing w:before="10" w:after="10" w:line="240" w:lineRule="auto"/>
              <w:jc w:val="left"/>
            </w:pPr>
            <w:r>
              <w:rPr>
                <w:rFonts w:asciiTheme="minorHAnsi" w:hAnsiTheme="minorHAnsi" w:cstheme="minorHAnsi"/>
                <w:sz w:val="16"/>
                <w:szCs w:val="16"/>
              </w:rPr>
              <w:t xml:space="preserve">−1.53</w:t>
            </w:r>
          </w:p>
        </w:tc>
        <w:tc>
          <w:tcPr>
            <w:tcW w:type="dxa" w:w="1192"/>
            <w:tcBorders/>
          </w:tcPr>
          <w:p>
            <w:pPr>
              <w:keepNext/>
              <w:spacing w:before="10" w:after="10" w:line="240" w:lineRule="auto"/>
              <w:jc w:val="left"/>
            </w:pPr>
            <w:r>
              <w:rPr>
                <w:rFonts w:asciiTheme="minorHAnsi" w:hAnsiTheme="minorHAnsi" w:cstheme="minorHAnsi"/>
                <w:sz w:val="16"/>
                <w:szCs w:val="16"/>
              </w:rPr>
              <w:t xml:space="preserve">−1.11</w:t>
            </w:r>
          </w:p>
        </w:tc>
        <w:tc>
          <w:tcPr>
            <w:tcW w:type="dxa" w:w="1457"/>
            <w:tcBorders/>
          </w:tcPr>
          <w:p>
            <w:pPr>
              <w:keepNext/>
              <w:spacing w:before="10" w:after="10" w:line="240" w:lineRule="auto"/>
              <w:jc w:val="left"/>
            </w:pPr>
            <w:r>
              <w:rPr>
                <w:rFonts w:asciiTheme="minorHAnsi" w:hAnsiTheme="minorHAnsi" w:cstheme="minorHAnsi"/>
                <w:sz w:val="16"/>
                <w:szCs w:val="16"/>
              </w:rPr>
              <w:t xml:space="preserve">−1.25</w:t>
            </w:r>
          </w:p>
        </w:tc>
        <w:tc>
          <w:tcPr>
            <w:tcW w:type="dxa" w:w="1457"/>
            <w:tcBorders/>
          </w:tcPr>
          <w:p>
            <w:pPr>
              <w:keepNext/>
              <w:spacing w:before="10" w:after="10" w:line="240" w:lineRule="auto"/>
              <w:jc w:val="left"/>
            </w:pPr>
            <w:r>
              <w:rPr>
                <w:rFonts w:asciiTheme="minorHAnsi" w:hAnsiTheme="minorHAnsi" w:cstheme="minorHAnsi"/>
                <w:sz w:val="16"/>
                <w:szCs w:val="16"/>
              </w:rPr>
              <w:t xml:space="preserve">−1.1 / −0.4</w:t>
            </w:r>
          </w:p>
        </w:tc>
        <w:tc>
          <w:tcPr>
            <w:tcW w:type="dxa" w:w="1192"/>
            <w:tcBorders/>
          </w:tcPr>
          <w:p>
            <w:pPr>
              <w:keepNext/>
              <w:spacing w:before="10" w:after="10" w:line="240" w:lineRule="auto"/>
              <w:jc w:val="left"/>
            </w:pPr>
            <w:r>
              <w:rPr>
                <w:rFonts w:asciiTheme="minorHAnsi" w:hAnsiTheme="minorHAnsi" w:cstheme="minorHAnsi"/>
                <w:sz w:val="16"/>
                <w:szCs w:val="16"/>
              </w:rPr>
              <w:t xml:space="preserve">3,187</w:t>
            </w:r>
          </w:p>
        </w:tc>
      </w:tr>
      <w:tr>
        <w:trPr>
          <w:cantSplit/>
        </w:trPr>
        <w:tc>
          <w:tcPr>
            <w:tcW w:type="dxa" w:w="1324"/>
            <w:tcBorders/>
          </w:tcPr>
          <w:p>
            <w:pPr>
              <w:keepNext/>
              <w:spacing w:before="10" w:after="10" w:line="240" w:lineRule="auto"/>
              <w:jc w:val="left"/>
            </w:pPr>
            <w:r>
              <w:rPr>
                <w:rFonts w:asciiTheme="minorHAnsi" w:hAnsiTheme="minorHAnsi" w:cstheme="minorHAnsi"/>
                <w:sz w:val="16"/>
                <w:szCs w:val="16"/>
              </w:rPr>
              <w:t xml:space="preserve">Floor</w:t>
            </w:r>
          </w:p>
        </w:tc>
        <w:tc>
          <w:tcPr>
            <w:tcW w:type="dxa" w:w="1324"/>
            <w:tcBorders/>
          </w:tcPr>
          <w:p>
            <w:pPr>
              <w:keepNext/>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+1</w:t>
            </w:r>
          </w:p>
        </w:tc>
        <w:tc>
          <w:tcPr>
            <w:tcW w:type="dxa" w:w="1059"/>
            <w:tcBorders/>
          </w:tcPr>
          <w:p>
            <w:pPr>
              <w:keepNext/>
              <w:spacing w:before="10" w:after="10" w:line="240" w:lineRule="auto"/>
              <w:jc w:val="left"/>
            </w:pPr>
            <w:r>
              <w:rPr>
                <w:rFonts w:asciiTheme="minorHAnsi" w:hAnsiTheme="minorHAnsi" w:cstheme="minorHAnsi"/>
                <w:sz w:val="16"/>
                <w:szCs w:val="16"/>
              </w:rPr>
              <w:t xml:space="preserve">−0.71</w:t>
            </w:r>
          </w:p>
        </w:tc>
        <w:tc>
          <w:tcPr>
            <w:tcW w:type="dxa" w:w="1192"/>
            <w:tcBorders/>
          </w:tcPr>
          <w:p>
            <w:pPr>
              <w:keepNext/>
              <w:spacing w:before="10" w:after="10" w:line="240" w:lineRule="auto"/>
              <w:jc w:val="left"/>
            </w:pPr>
            <w:r>
              <w:rPr>
                <w:rFonts w:asciiTheme="minorHAnsi" w:hAnsiTheme="minorHAnsi" w:cstheme="minorHAnsi"/>
                <w:sz w:val="16"/>
                <w:szCs w:val="16"/>
              </w:rPr>
              <w:t xml:space="preserve">−5.32</w:t>
            </w:r>
          </w:p>
        </w:tc>
        <w:tc>
          <w:tcPr>
            <w:tcW w:type="dxa" w:w="1192"/>
            <w:tcBorders/>
          </w:tcPr>
          <w:p>
            <w:pPr>
              <w:keepNext/>
              <w:spacing w:before="10" w:after="10" w:line="240" w:lineRule="auto"/>
              <w:jc w:val="left"/>
            </w:pPr>
            <w:r>
              <w:rPr>
                <w:rFonts w:asciiTheme="minorHAnsi" w:hAnsiTheme="minorHAnsi" w:cstheme="minorHAnsi"/>
                <w:sz w:val="16"/>
                <w:szCs w:val="16"/>
              </w:rPr>
              <w:t xml:space="preserve">−4.66</w:t>
            </w:r>
          </w:p>
        </w:tc>
        <w:tc>
          <w:tcPr>
            <w:tcW w:type="dxa" w:w="1457"/>
            <w:tcBorders/>
          </w:tcPr>
          <w:p>
            <w:pPr>
              <w:keepNext/>
              <w:spacing w:before="10" w:after="10" w:line="240" w:lineRule="auto"/>
              <w:jc w:val="left"/>
            </w:pPr>
            <w:r>
              <w:rPr>
                <w:rFonts w:asciiTheme="minorHAnsi" w:hAnsiTheme="minorHAnsi" w:cstheme="minorHAnsi"/>
                <w:sz w:val="16"/>
                <w:szCs w:val="16"/>
              </w:rPr>
              <w:t xml:space="preserve">−6.25</w:t>
            </w:r>
          </w:p>
        </w:tc>
        <w:tc>
          <w:tcPr>
            <w:tcW w:type="dxa" w:w="1457"/>
            <w:tcBorders/>
          </w:tcPr>
          <w:p>
            <w:pPr>
              <w:keepNext/>
              <w:spacing w:before="10" w:after="10" w:line="240" w:lineRule="auto"/>
              <w:jc w:val="left"/>
            </w:pPr>
            <w:r>
              <w:rPr>
                <w:rFonts w:asciiTheme="minorHAnsi" w:hAnsiTheme="minorHAnsi" w:cstheme="minorHAnsi"/>
                <w:sz w:val="16"/>
                <w:szCs w:val="16"/>
              </w:rPr>
              <w:t xml:space="preserve">−2.7 / −4.6</w:t>
            </w:r>
          </w:p>
        </w:tc>
        <w:tc>
          <w:tcPr>
            <w:tcW w:type="dxa" w:w="1192"/>
            <w:tcBorders/>
          </w:tcPr>
          <w:p>
            <w:pPr>
              <w:keepNext/>
              <w:spacing w:before="10" w:after="10" w:line="240" w:lineRule="auto"/>
              <w:jc w:val="left"/>
            </w:pPr>
            <w:r>
              <w:rPr>
                <w:rFonts w:asciiTheme="minorHAnsi" w:hAnsiTheme="minorHAnsi" w:cstheme="minorHAnsi"/>
                <w:sz w:val="16"/>
                <w:szCs w:val="16"/>
              </w:rPr>
              <w:t xml:space="preserve">2,105</w:t>
            </w:r>
          </w:p>
        </w:tc>
      </w:tr>
      <w:tr>
        <w:trPr>
          <w:cantSplit/>
        </w:trPr>
        <w:tc>
          <w:tcPr>
            <w:tcW w:type="dxa" w:w="1324"/>
            <w:tcBorders/>
          </w:tcPr>
          <w:p>
            <w:pPr>
              <w:keepNext/>
              <w:spacing w:before="10" w:after="10" w:line="240" w:lineRule="auto"/>
              <w:jc w:val="left"/>
            </w:pPr>
            <w:r>
              <w:rPr>
                <w:rFonts w:asciiTheme="minorHAnsi" w:hAnsiTheme="minorHAnsi" w:cstheme="minorHAnsi"/>
                <w:sz w:val="16"/>
                <w:szCs w:val="16"/>
              </w:rPr>
              <w:t xml:space="preserve">Floor</w:t>
            </w:r>
          </w:p>
        </w:tc>
        <w:tc>
          <w:tcPr>
            <w:tcW w:type="dxa" w:w="1324"/>
            <w:tcBorders/>
          </w:tcPr>
          <w:p>
            <w:pPr>
              <w:keepNext/>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+1 to</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059"/>
            <w:tcBorders/>
          </w:tcPr>
          <w:p>
            <w:pPr>
              <w:keepNext/>
              <w:spacing w:before="10" w:after="10" w:line="240" w:lineRule="auto"/>
              <w:jc w:val="left"/>
            </w:pPr>
            <w:r>
              <w:rPr>
                <w:rFonts w:asciiTheme="minorHAnsi" w:hAnsiTheme="minorHAnsi" w:cstheme="minorHAnsi"/>
                <w:sz w:val="16"/>
                <w:szCs w:val="16"/>
              </w:rPr>
              <w:t xml:space="preserve">−1.76</w:t>
            </w:r>
          </w:p>
        </w:tc>
        <w:tc>
          <w:tcPr>
            <w:tcW w:type="dxa" w:w="1192"/>
            <w:tcBorders/>
          </w:tcPr>
          <w:p>
            <w:pPr>
              <w:keepNext/>
              <w:spacing w:before="10" w:after="10" w:line="240" w:lineRule="auto"/>
              <w:jc w:val="left"/>
            </w:pPr>
            <w:r>
              <w:rPr>
                <w:rFonts w:asciiTheme="minorHAnsi" w:hAnsiTheme="minorHAnsi" w:cstheme="minorHAnsi"/>
                <w:sz w:val="16"/>
                <w:szCs w:val="16"/>
              </w:rPr>
              <w:t xml:space="preserve">−4.74</w:t>
            </w:r>
          </w:p>
        </w:tc>
        <w:tc>
          <w:tcPr>
            <w:tcW w:type="dxa" w:w="1192"/>
            <w:tcBorders/>
          </w:tcPr>
          <w:p>
            <w:pPr>
              <w:keepNext/>
              <w:spacing w:before="10" w:after="10" w:line="240" w:lineRule="auto"/>
              <w:jc w:val="left"/>
            </w:pPr>
            <w:r>
              <w:rPr>
                <w:rFonts w:asciiTheme="minorHAnsi" w:hAnsiTheme="minorHAnsi" w:cstheme="minorHAnsi"/>
                <w:sz w:val="16"/>
                <w:szCs w:val="16"/>
              </w:rPr>
              <w:t xml:space="preserve">−4.80</w:t>
            </w:r>
          </w:p>
        </w:tc>
        <w:tc>
          <w:tcPr>
            <w:tcW w:type="dxa" w:w="1457"/>
            <w:tcBorders/>
          </w:tcPr>
          <w:p>
            <w:pPr>
              <w:keepNext/>
              <w:spacing w:before="10" w:after="10" w:line="240" w:lineRule="auto"/>
              <w:jc w:val="left"/>
            </w:pPr>
            <w:r>
              <w:rPr>
                <w:rFonts w:asciiTheme="minorHAnsi" w:hAnsiTheme="minorHAnsi" w:cstheme="minorHAnsi"/>
                <w:sz w:val="16"/>
                <w:szCs w:val="16"/>
              </w:rPr>
              <w:t xml:space="preserve">−4.92</w:t>
            </w:r>
          </w:p>
        </w:tc>
        <w:tc>
          <w:tcPr>
            <w:tcW w:type="dxa" w:w="1457"/>
            <w:tcBorders/>
          </w:tcPr>
          <w:p>
            <w:pPr>
              <w:keepNext/>
              <w:spacing w:before="10" w:after="10" w:line="240" w:lineRule="auto"/>
              <w:jc w:val="left"/>
            </w:pPr>
            <w:r>
              <w:rPr>
                <w:rFonts w:asciiTheme="minorHAnsi" w:hAnsiTheme="minorHAnsi" w:cstheme="minorHAnsi"/>
                <w:sz w:val="16"/>
                <w:szCs w:val="16"/>
              </w:rPr>
              <w:t xml:space="preserve">−12.3 / −2.2</w:t>
            </w:r>
          </w:p>
        </w:tc>
        <w:tc>
          <w:tcPr>
            <w:tcW w:type="dxa" w:w="1192"/>
            <w:tcBorders/>
          </w:tcPr>
          <w:p>
            <w:pPr>
              <w:keepNext/>
              <w:spacing w:before="10" w:after="10" w:line="240" w:lineRule="auto"/>
              <w:jc w:val="left"/>
            </w:pPr>
            <w:r>
              <w:rPr>
                <w:rFonts w:asciiTheme="minorHAnsi" w:hAnsiTheme="minorHAnsi" w:cstheme="minorHAnsi"/>
                <w:sz w:val="16"/>
                <w:szCs w:val="16"/>
              </w:rPr>
              <w:t xml:space="preserve">2,105</w:t>
            </w:r>
          </w:p>
        </w:tc>
      </w:tr>
      <w:tr>
        <w:trPr>
          <w:cantSplit/>
        </w:trPr>
        <w:tc>
          <w:tcPr>
            <w:tcW w:type="dxa" w:w="1324"/>
            <w:tcBorders>
              <w:bottom w:val="single" w:sz="8" w:space="0" w:color="000000"/>
            </w:tcBorders>
          </w:tcPr>
          <w:p>
            <w:pPr>
              <w:spacing w:before="10" w:after="10" w:line="240" w:lineRule="auto"/>
              <w:jc w:val="left"/>
            </w:pPr>
            <w:r>
              <w:rPr>
                <w:rFonts w:asciiTheme="minorHAnsi" w:hAnsiTheme="minorHAnsi" w:cstheme="minorHAnsi"/>
                <w:sz w:val="16"/>
                <w:szCs w:val="16"/>
              </w:rPr>
              <w:t xml:space="preserve">Floor</w:t>
            </w:r>
          </w:p>
        </w:tc>
        <w:tc>
          <w:tcPr>
            <w:tcW w:type="dxa" w:w="1324"/>
            <w:tcBorders>
              <w:bottom w:val="single" w:sz="8" w:space="0" w:color="000000"/>
            </w:tcBorders>
          </w:tcPr>
          <w:p>
            <w:pPr>
              <w:spacing w:before="10" w:after="10" w:line="240" w:lineRule="auto"/>
              <w:jc w:val="left"/>
            </w:pPr>
            <w:r>
              <w:rPr>
                <w:rFonts w:asciiTheme="minorHAnsi" w:hAnsiTheme="minorHAnsi" w:cstheme="minorHAnsi"/>
                <w:i/>
                <w:iCs/>
                <w:sz w:val="16"/>
                <w:szCs w:val="16"/>
              </w:rPr>
              <w:t xml:space="preserve">d</w:t>
            </w:r>
            <w:r>
              <w:rPr>
                <w:rFonts w:asciiTheme="minorHAnsi" w:hAnsiTheme="minorHAnsi" w:cstheme="minorHAnsi"/>
                <w:sz w:val="16"/>
                <w:szCs w:val="16"/>
              </w:rPr>
              <w:t xml:space="preserve">+2 to</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059"/>
            <w:tcBorders>
              <w:bottom w:val="single" w:sz="8" w:space="0" w:color="000000"/>
            </w:tcBorders>
          </w:tcPr>
          <w:p>
            <w:pPr>
              <w:spacing w:before="10" w:after="10" w:line="240" w:lineRule="auto"/>
              <w:jc w:val="left"/>
            </w:pPr>
            <w:r>
              <w:rPr>
                <w:rFonts w:asciiTheme="minorHAnsi" w:hAnsiTheme="minorHAnsi" w:cstheme="minorHAnsi"/>
                <w:sz w:val="16"/>
                <w:szCs w:val="16"/>
              </w:rPr>
              <w:t xml:space="preserve">−1.10</w:t>
            </w:r>
          </w:p>
        </w:tc>
        <w:tc>
          <w:tcPr>
            <w:tcW w:type="dxa" w:w="1192"/>
            <w:tcBorders>
              <w:bottom w:val="single" w:sz="8" w:space="0" w:color="000000"/>
            </w:tcBorders>
          </w:tcPr>
          <w:p>
            <w:pPr>
              <w:spacing w:before="10" w:after="10" w:line="240" w:lineRule="auto"/>
              <w:jc w:val="left"/>
            </w:pPr>
            <w:r>
              <w:rPr>
                <w:rFonts w:asciiTheme="minorHAnsi" w:hAnsiTheme="minorHAnsi" w:cstheme="minorHAnsi"/>
                <w:sz w:val="16"/>
                <w:szCs w:val="16"/>
              </w:rPr>
              <w:t xml:space="preserve">−2.91</w:t>
            </w:r>
          </w:p>
        </w:tc>
        <w:tc>
          <w:tcPr>
            <w:tcW w:type="dxa" w:w="1192"/>
            <w:tcBorders>
              <w:bottom w:val="single" w:sz="8" w:space="0" w:color="000000"/>
            </w:tcBorders>
          </w:tcPr>
          <w:p>
            <w:pPr>
              <w:spacing w:before="10" w:after="10" w:line="240" w:lineRule="auto"/>
              <w:jc w:val="left"/>
            </w:pPr>
            <w:r>
              <w:rPr>
                <w:rFonts w:asciiTheme="minorHAnsi" w:hAnsiTheme="minorHAnsi" w:cstheme="minorHAnsi"/>
                <w:sz w:val="16"/>
                <w:szCs w:val="16"/>
              </w:rPr>
              <w:t xml:space="preserve">−3.01</w:t>
            </w:r>
          </w:p>
        </w:tc>
        <w:tc>
          <w:tcPr>
            <w:tcW w:type="dxa" w:w="1457"/>
            <w:tcBorders>
              <w:bottom w:val="single" w:sz="8" w:space="0" w:color="000000"/>
            </w:tcBorders>
          </w:tcPr>
          <w:p>
            <w:pPr>
              <w:spacing w:before="10" w:after="10" w:line="240" w:lineRule="auto"/>
              <w:jc w:val="left"/>
            </w:pPr>
            <w:r>
              <w:rPr>
                <w:rFonts w:asciiTheme="minorHAnsi" w:hAnsiTheme="minorHAnsi" w:cstheme="minorHAnsi"/>
                <w:sz w:val="16"/>
                <w:szCs w:val="16"/>
              </w:rPr>
              <w:t xml:space="preserve">−2.81</w:t>
            </w:r>
          </w:p>
        </w:tc>
        <w:tc>
          <w:tcPr>
            <w:tcW w:type="dxa" w:w="1457"/>
            <w:tcBorders>
              <w:bottom w:val="single" w:sz="8" w:space="0" w:color="000000"/>
            </w:tcBorders>
          </w:tcPr>
          <w:p>
            <w:pPr>
              <w:spacing w:before="10" w:after="10" w:line="240" w:lineRule="auto"/>
              <w:jc w:val="left"/>
            </w:pPr>
            <w:r>
              <w:rPr>
                <w:rFonts w:asciiTheme="minorHAnsi" w:hAnsiTheme="minorHAnsi" w:cstheme="minorHAnsi"/>
                <w:sz w:val="16"/>
                <w:szCs w:val="16"/>
              </w:rPr>
              <w:t xml:space="preserve">−8.7 / −1.1</w:t>
            </w:r>
          </w:p>
        </w:tc>
        <w:tc>
          <w:tcPr>
            <w:tcW w:type="dxa" w:w="1192"/>
            <w:tcBorders>
              <w:bottom w:val="single" w:sz="8" w:space="0" w:color="000000"/>
            </w:tcBorders>
          </w:tcPr>
          <w:p>
            <w:pPr>
              <w:spacing w:before="10" w:after="10" w:line="240" w:lineRule="auto"/>
              <w:jc w:val="left"/>
            </w:pPr>
            <w:r>
              <w:rPr>
                <w:rFonts w:asciiTheme="minorHAnsi" w:hAnsiTheme="minorHAnsi" w:cstheme="minorHAnsi"/>
                <w:sz w:val="16"/>
                <w:szCs w:val="16"/>
              </w:rPr>
              <w:t xml:space="preserve">2,105</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Mean returns in percent.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(date),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(week), and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(10-day) cluster by event date, calendar week, and 10-day block, with the factor</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G</w:t>
      </w:r>
      <w:r>
        <w:rPr>
          <w:rFonts w:asciiTheme="minorHAnsi" w:eastAsia="Georgia" w:hAnsiTheme="minorHAnsi" w:cstheme="minorHAnsi"/>
          <w:color w:val="000000"/>
          <w:sz w:val="18"/>
          <w:szCs w:val="18"/>
          <w:bdr w:val="nil"/>
          <w:lang w:val="hr-HR" w:eastAsia="es-MX"/>
        </w:rPr>
        <w:t xml:space="preserve">/(</w:t>
      </w:r>
      <w:r>
        <w:rPr>
          <w:rFonts w:asciiTheme="minorHAnsi" w:eastAsia="Georgia" w:hAnsiTheme="minorHAnsi" w:cstheme="minorHAnsi"/>
          <w:i/>
          <w:color w:val="000000"/>
          <w:sz w:val="18"/>
          <w:szCs w:val="18"/>
          <w:bdr w:val="nil"/>
          <w:lang w:val="hr-HR" w:eastAsia="es-MX"/>
        </w:rPr>
        <w:t xml:space="preserve">G</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&lt;U+2212&gt; 1) and a</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reference with</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G</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&lt;U+2212&gt; 1 degrees of freedom;</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(halves) is week-clustered for the first and second half of event dates.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2</w:t>
      </w:r>
      <w:r>
        <w:rPr>
          <w:rFonts w:asciiTheme="minorHAnsi" w:eastAsia="Georgia" w:hAnsiTheme="minorHAnsi" w:cstheme="minorHAnsi"/>
          <w:color w:val="000000"/>
          <w:sz w:val="18"/>
          <w:szCs w:val="18"/>
          <w:bdr w:val="nil"/>
          <w:lang w:val="hr-HR" w:eastAsia="es-MX"/>
        </w:rPr>
        <w:t xml:space="preserve"> Decomposition of the next-day abnormal return</w:t>
      </w:r>
    </w:p>
    <w:tbl>
      <w:tblPr>
        <w:tblW w:type="pct" w:w="5000"/>
        <w:jc w:val="center"/>
        <w:tblLayout w:type="fixed"/>
      </w:tblPr>
      <w:tblGrid>
        <w:gridCol w:w="2576"/>
        <w:gridCol w:w="966"/>
        <w:gridCol w:w="1610"/>
        <w:gridCol w:w="1610"/>
        <w:gridCol w:w="1825"/>
        <w:gridCol w:w="1610"/>
      </w:tblGrid>
      <w:tr>
        <w:trPr>
          <w:cantSplit/>
          <w:tblHeader w:val="true"/>
        </w:trPr>
        <w:tc>
          <w:tcPr>
            <w:tcW w:type="dxa" w:w="2576"/>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Sample</w:t>
            </w:r>
          </w:p>
        </w:tc>
        <w:tc>
          <w:tcPr>
            <w:tcW w:type="dxa" w:w="966"/>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Events</w:t>
            </w:r>
          </w:p>
        </w:tc>
        <w:tc>
          <w:tcPr>
            <w:tcW w:type="dxa" w:w="1610"/>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Overnight gap</w:t>
            </w:r>
          </w:p>
        </w:tc>
        <w:tc>
          <w:tcPr>
            <w:tcW w:type="dxa" w:w="1610"/>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Intraday</w:t>
            </w:r>
          </w:p>
        </w:tc>
        <w:tc>
          <w:tcPr>
            <w:tcW w:type="dxa" w:w="1825"/>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Close-to-close</w:t>
            </w:r>
          </w:p>
        </w:tc>
        <w:tc>
          <w:tcPr>
            <w:tcW w:type="dxa" w:w="1610"/>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Open to day</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Ceiling closes</w:t>
            </w:r>
          </w:p>
        </w:tc>
        <w:tc>
          <w:tcPr>
            <w:tcW w:type="dxa" w:w="966"/>
            <w:tcBorders/>
          </w:tcPr>
          <w:p>
            <w:pPr>
              <w:keepNext/>
              <w:spacing w:before="10" w:after="10" w:line="240" w:lineRule="auto"/>
            </w:pPr>
          </w:p>
        </w:tc>
        <w:tc>
          <w:tcPr>
            <w:tcW w:type="dxa" w:w="1610"/>
            <w:tcBorders/>
          </w:tcPr>
          <w:p>
            <w:pPr>
              <w:keepNext/>
              <w:spacing w:before="10" w:after="10" w:line="240" w:lineRule="auto"/>
            </w:pPr>
          </w:p>
        </w:tc>
        <w:tc>
          <w:tcPr>
            <w:tcW w:type="dxa" w:w="1610"/>
            <w:tcBorders/>
          </w:tcPr>
          <w:p>
            <w:pPr>
              <w:keepNext/>
              <w:spacing w:before="10" w:after="10" w:line="240" w:lineRule="auto"/>
            </w:pPr>
          </w:p>
        </w:tc>
        <w:tc>
          <w:tcPr>
            <w:tcW w:type="dxa" w:w="1825"/>
            <w:tcBorders/>
          </w:tcPr>
          <w:p>
            <w:pPr>
              <w:keepNext/>
              <w:spacing w:before="10" w:after="10" w:line="240" w:lineRule="auto"/>
            </w:pPr>
          </w:p>
        </w:tc>
        <w:tc>
          <w:tcPr>
            <w:tcW w:type="dxa" w:w="1610"/>
            <w:tcBorders/>
          </w:tcPr>
          <w:p>
            <w:pPr>
              <w:keepNext/>
              <w:spacing w:before="10" w:after="10" w:line="240" w:lineRule="auto"/>
            </w:pP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All, vs market</w:t>
            </w:r>
          </w:p>
        </w:tc>
        <w:tc>
          <w:tcPr>
            <w:tcW w:type="dxa" w:w="966"/>
            <w:tcBorders/>
          </w:tcPr>
          <w:p>
            <w:pPr>
              <w:keepNext/>
              <w:spacing w:before="10" w:after="10" w:line="240" w:lineRule="auto"/>
              <w:jc w:val="left"/>
            </w:pPr>
            <w:r>
              <w:rPr>
                <w:rFonts w:asciiTheme="minorHAnsi" w:hAnsiTheme="minorHAnsi" w:cstheme="minorHAnsi"/>
                <w:sz w:val="16"/>
                <w:szCs w:val="16"/>
              </w:rPr>
              <w:t xml:space="preserve">3,199</w:t>
            </w:r>
          </w:p>
        </w:tc>
        <w:tc>
          <w:tcPr>
            <w:tcW w:type="dxa" w:w="1610"/>
            <w:tcBorders/>
          </w:tcPr>
          <w:p>
            <w:pPr>
              <w:keepNext/>
              <w:spacing w:before="10" w:after="10" w:line="240" w:lineRule="auto"/>
              <w:jc w:val="left"/>
            </w:pPr>
            <w:r>
              <w:rPr>
                <w:rFonts w:asciiTheme="minorHAnsi" w:hAnsiTheme="minorHAnsi" w:cstheme="minorHAnsi"/>
                <w:sz w:val="16"/>
                <w:szCs w:val="16"/>
              </w:rPr>
              <w:t xml:space="preserve">2.24 (9.7)</w:t>
            </w:r>
          </w:p>
        </w:tc>
        <w:tc>
          <w:tcPr>
            <w:tcW w:type="dxa" w:w="1610"/>
            <w:tcBorders/>
          </w:tcPr>
          <w:p>
            <w:pPr>
              <w:keepNext/>
              <w:spacing w:before="10" w:after="10" w:line="240" w:lineRule="auto"/>
              <w:jc w:val="left"/>
            </w:pPr>
            <w:r>
              <w:rPr>
                <w:rFonts w:asciiTheme="minorHAnsi" w:hAnsiTheme="minorHAnsi" w:cstheme="minorHAnsi"/>
                <w:sz w:val="16"/>
                <w:szCs w:val="16"/>
              </w:rPr>
              <w:t xml:space="preserve">−0.54 (−3.5)</w:t>
            </w:r>
          </w:p>
        </w:tc>
        <w:tc>
          <w:tcPr>
            <w:tcW w:type="dxa" w:w="1825"/>
            <w:tcBorders/>
          </w:tcPr>
          <w:p>
            <w:pPr>
              <w:keepNext/>
              <w:spacing w:before="10" w:after="10" w:line="240" w:lineRule="auto"/>
              <w:jc w:val="left"/>
            </w:pPr>
            <w:r>
              <w:rPr>
                <w:rFonts w:asciiTheme="minorHAnsi" w:hAnsiTheme="minorHAnsi" w:cstheme="minorHAnsi"/>
                <w:sz w:val="16"/>
                <w:szCs w:val="16"/>
              </w:rPr>
              <w:t xml:space="preserve">1.66 (4.8)</w:t>
            </w:r>
          </w:p>
        </w:tc>
        <w:tc>
          <w:tcPr>
            <w:tcW w:type="dxa" w:w="1610"/>
            <w:tcBorders/>
          </w:tcPr>
          <w:p>
            <w:pPr>
              <w:keepNext/>
              <w:spacing w:before="10" w:after="10" w:line="240" w:lineRule="auto"/>
              <w:jc w:val="left"/>
            </w:pPr>
            <w:r>
              <w:rPr>
                <w:rFonts w:asciiTheme="minorHAnsi" w:hAnsiTheme="minorHAnsi" w:cstheme="minorHAnsi"/>
                <w:sz w:val="16"/>
                <w:szCs w:val="16"/>
              </w:rPr>
              <w:t xml:space="preserve">−0.75 (−2.7)</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All, vs same-date controls</w:t>
            </w:r>
          </w:p>
        </w:tc>
        <w:tc>
          <w:tcPr>
            <w:tcW w:type="dxa" w:w="966"/>
            <w:tcBorders/>
          </w:tcPr>
          <w:p>
            <w:pPr>
              <w:keepNext/>
              <w:spacing w:before="10" w:after="10" w:line="240" w:lineRule="auto"/>
              <w:jc w:val="left"/>
            </w:pPr>
            <w:r>
              <w:rPr>
                <w:rFonts w:asciiTheme="minorHAnsi" w:hAnsiTheme="minorHAnsi" w:cstheme="minorHAnsi"/>
                <w:sz w:val="16"/>
                <w:szCs w:val="16"/>
              </w:rPr>
              <w:t xml:space="preserve">3,100</w:t>
            </w:r>
          </w:p>
        </w:tc>
        <w:tc>
          <w:tcPr>
            <w:tcW w:type="dxa" w:w="1610"/>
            <w:tcBorders/>
          </w:tcPr>
          <w:p>
            <w:pPr>
              <w:keepNext/>
              <w:spacing w:before="10" w:after="10" w:line="240" w:lineRule="auto"/>
              <w:jc w:val="left"/>
            </w:pPr>
            <w:r>
              <w:rPr>
                <w:rFonts w:asciiTheme="minorHAnsi" w:hAnsiTheme="minorHAnsi" w:cstheme="minorHAnsi"/>
                <w:sz w:val="16"/>
                <w:szCs w:val="16"/>
              </w:rPr>
              <w:t xml:space="preserve">2.70 (20.2)</w:t>
            </w:r>
          </w:p>
        </w:tc>
        <w:tc>
          <w:tcPr>
            <w:tcW w:type="dxa" w:w="1610"/>
            <w:tcBorders/>
          </w:tcPr>
          <w:p>
            <w:pPr>
              <w:keepNext/>
              <w:spacing w:before="10" w:after="10" w:line="240" w:lineRule="auto"/>
              <w:jc w:val="left"/>
            </w:pPr>
            <w:r>
              <w:rPr>
                <w:rFonts w:asciiTheme="minorHAnsi" w:hAnsiTheme="minorHAnsi" w:cstheme="minorHAnsi"/>
                <w:sz w:val="16"/>
                <w:szCs w:val="16"/>
              </w:rPr>
              <w:t xml:space="preserve">−0.50 (−6.0)</w:t>
            </w:r>
          </w:p>
        </w:tc>
        <w:tc>
          <w:tcPr>
            <w:tcW w:type="dxa" w:w="1825"/>
            <w:tcBorders/>
          </w:tcPr>
          <w:p>
            <w:pPr>
              <w:keepNext/>
              <w:spacing w:before="10" w:after="10" w:line="240" w:lineRule="auto"/>
              <w:jc w:val="left"/>
            </w:pPr>
            <w:r>
              <w:rPr>
                <w:rFonts w:asciiTheme="minorHAnsi" w:hAnsiTheme="minorHAnsi" w:cstheme="minorHAnsi"/>
                <w:sz w:val="16"/>
                <w:szCs w:val="16"/>
              </w:rPr>
              <w:t xml:space="preserve">2.16 (18.0)</w:t>
            </w:r>
          </w:p>
        </w:tc>
        <w:tc>
          <w:tcPr>
            <w:tcW w:type="dxa" w:w="1610"/>
            <w:tcBorders/>
          </w:tcPr>
          <w:p>
            <w:pPr>
              <w:keepNext/>
              <w:spacing w:before="10" w:after="10" w:line="240" w:lineRule="auto"/>
              <w:jc w:val="left"/>
            </w:pPr>
            <w:r>
              <w:rPr>
                <w:rFonts w:asciiTheme="minorHAnsi" w:hAnsiTheme="minorHAnsi" w:cstheme="minorHAnsi"/>
                <w:sz w:val="16"/>
                <w:szCs w:val="16"/>
              </w:rPr>
              <w:t xml:space="preserve">−0.53 (−1.8)</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Exact limit hit</w:t>
            </w:r>
          </w:p>
        </w:tc>
        <w:tc>
          <w:tcPr>
            <w:tcW w:type="dxa" w:w="966"/>
            <w:tcBorders/>
          </w:tcPr>
          <w:p>
            <w:pPr>
              <w:keepNext/>
              <w:spacing w:before="10" w:after="10" w:line="240" w:lineRule="auto"/>
              <w:jc w:val="left"/>
            </w:pPr>
            <w:r>
              <w:rPr>
                <w:rFonts w:asciiTheme="minorHAnsi" w:hAnsiTheme="minorHAnsi" w:cstheme="minorHAnsi"/>
                <w:sz w:val="16"/>
                <w:szCs w:val="16"/>
              </w:rPr>
              <w:t xml:space="preserve">1,642</w:t>
            </w:r>
          </w:p>
        </w:tc>
        <w:tc>
          <w:tcPr>
            <w:tcW w:type="dxa" w:w="1610"/>
            <w:tcBorders/>
          </w:tcPr>
          <w:p>
            <w:pPr>
              <w:keepNext/>
              <w:spacing w:before="10" w:after="10" w:line="240" w:lineRule="auto"/>
              <w:jc w:val="left"/>
            </w:pPr>
            <w:r>
              <w:rPr>
                <w:rFonts w:asciiTheme="minorHAnsi" w:hAnsiTheme="minorHAnsi" w:cstheme="minorHAnsi"/>
                <w:sz w:val="16"/>
                <w:szCs w:val="16"/>
              </w:rPr>
              <w:t xml:space="preserve">2.79 (13.8)</w:t>
            </w:r>
          </w:p>
        </w:tc>
        <w:tc>
          <w:tcPr>
            <w:tcW w:type="dxa" w:w="1610"/>
            <w:tcBorders/>
          </w:tcPr>
          <w:p>
            <w:pPr>
              <w:keepNext/>
              <w:spacing w:before="10" w:after="10" w:line="240" w:lineRule="auto"/>
              <w:jc w:val="left"/>
            </w:pPr>
            <w:r>
              <w:rPr>
                <w:rFonts w:asciiTheme="minorHAnsi" w:hAnsiTheme="minorHAnsi" w:cstheme="minorHAnsi"/>
                <w:sz w:val="16"/>
                <w:szCs w:val="16"/>
              </w:rPr>
              <w:t xml:space="preserve">−0.74 (−5.3)</w:t>
            </w:r>
          </w:p>
        </w:tc>
        <w:tc>
          <w:tcPr>
            <w:tcW w:type="dxa" w:w="1825"/>
            <w:tcBorders/>
          </w:tcPr>
          <w:p>
            <w:pPr>
              <w:keepNext/>
              <w:spacing w:before="10" w:after="10" w:line="240" w:lineRule="auto"/>
              <w:jc w:val="left"/>
            </w:pPr>
            <w:r>
              <w:rPr>
                <w:rFonts w:asciiTheme="minorHAnsi" w:hAnsiTheme="minorHAnsi" w:cstheme="minorHAnsi"/>
                <w:sz w:val="16"/>
                <w:szCs w:val="16"/>
              </w:rPr>
              <w:t xml:space="preserve">2.00 (7.1)</w:t>
            </w:r>
          </w:p>
        </w:tc>
        <w:tc>
          <w:tcPr>
            <w:tcW w:type="dxa" w:w="1610"/>
            <w:tcBorders/>
          </w:tcPr>
          <w:p>
            <w:pPr>
              <w:keepNext/>
              <w:spacing w:before="10" w:after="10" w:line="240" w:lineRule="auto"/>
              <w:jc w:val="left"/>
            </w:pPr>
            <w:r>
              <w:rPr>
                <w:rFonts w:asciiTheme="minorHAnsi" w:hAnsiTheme="minorHAnsi" w:cstheme="minorHAnsi"/>
                <w:sz w:val="16"/>
                <w:szCs w:val="16"/>
              </w:rPr>
              <w:t xml:space="preserve">−1.02 (−3.0)</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Near hit</w:t>
            </w:r>
          </w:p>
        </w:tc>
        <w:tc>
          <w:tcPr>
            <w:tcW w:type="dxa" w:w="966"/>
            <w:tcBorders/>
          </w:tcPr>
          <w:p>
            <w:pPr>
              <w:keepNext/>
              <w:spacing w:before="10" w:after="10" w:line="240" w:lineRule="auto"/>
              <w:jc w:val="left"/>
            </w:pPr>
            <w:r>
              <w:rPr>
                <w:rFonts w:asciiTheme="minorHAnsi" w:hAnsiTheme="minorHAnsi" w:cstheme="minorHAnsi"/>
                <w:sz w:val="16"/>
                <w:szCs w:val="16"/>
              </w:rPr>
              <w:t xml:space="preserve">1,557</w:t>
            </w:r>
          </w:p>
        </w:tc>
        <w:tc>
          <w:tcPr>
            <w:tcW w:type="dxa" w:w="1610"/>
            <w:tcBorders/>
          </w:tcPr>
          <w:p>
            <w:pPr>
              <w:keepNext/>
              <w:spacing w:before="10" w:after="10" w:line="240" w:lineRule="auto"/>
              <w:jc w:val="left"/>
            </w:pPr>
            <w:r>
              <w:rPr>
                <w:rFonts w:asciiTheme="minorHAnsi" w:hAnsiTheme="minorHAnsi" w:cstheme="minorHAnsi"/>
                <w:sz w:val="16"/>
                <w:szCs w:val="16"/>
              </w:rPr>
              <w:t xml:space="preserve">1.67 (6.4)</w:t>
            </w:r>
          </w:p>
        </w:tc>
        <w:tc>
          <w:tcPr>
            <w:tcW w:type="dxa" w:w="1610"/>
            <w:tcBorders/>
          </w:tcPr>
          <w:p>
            <w:pPr>
              <w:keepNext/>
              <w:spacing w:before="10" w:after="10" w:line="240" w:lineRule="auto"/>
              <w:jc w:val="left"/>
            </w:pPr>
            <w:r>
              <w:rPr>
                <w:rFonts w:asciiTheme="minorHAnsi" w:hAnsiTheme="minorHAnsi" w:cstheme="minorHAnsi"/>
                <w:sz w:val="16"/>
                <w:szCs w:val="16"/>
              </w:rPr>
              <w:t xml:space="preserve">−0.32 (−1.6)</w:t>
            </w:r>
          </w:p>
        </w:tc>
        <w:tc>
          <w:tcPr>
            <w:tcW w:type="dxa" w:w="1825"/>
            <w:tcBorders/>
          </w:tcPr>
          <w:p>
            <w:pPr>
              <w:keepNext/>
              <w:spacing w:before="10" w:after="10" w:line="240" w:lineRule="auto"/>
              <w:jc w:val="left"/>
            </w:pPr>
            <w:r>
              <w:rPr>
                <w:rFonts w:asciiTheme="minorHAnsi" w:hAnsiTheme="minorHAnsi" w:cstheme="minorHAnsi"/>
                <w:sz w:val="16"/>
                <w:szCs w:val="16"/>
              </w:rPr>
              <w:t xml:space="preserve">1.31 (3.1)</w:t>
            </w:r>
          </w:p>
        </w:tc>
        <w:tc>
          <w:tcPr>
            <w:tcW w:type="dxa" w:w="1610"/>
            <w:tcBorders/>
          </w:tcPr>
          <w:p>
            <w:pPr>
              <w:keepNext/>
              <w:spacing w:before="10" w:after="10" w:line="240" w:lineRule="auto"/>
              <w:jc w:val="left"/>
            </w:pPr>
            <w:r>
              <w:rPr>
                <w:rFonts w:asciiTheme="minorHAnsi" w:hAnsiTheme="minorHAnsi" w:cstheme="minorHAnsi"/>
                <w:sz w:val="16"/>
                <w:szCs w:val="16"/>
              </w:rPr>
              <w:t xml:space="preserve">−0.46 (−1.3)</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Locked all day</w:t>
            </w:r>
          </w:p>
        </w:tc>
        <w:tc>
          <w:tcPr>
            <w:tcW w:type="dxa" w:w="966"/>
            <w:tcBorders/>
          </w:tcPr>
          <w:p>
            <w:pPr>
              <w:keepNext/>
              <w:spacing w:before="10" w:after="10" w:line="240" w:lineRule="auto"/>
              <w:jc w:val="left"/>
            </w:pPr>
            <w:r>
              <w:rPr>
                <w:rFonts w:asciiTheme="minorHAnsi" w:hAnsiTheme="minorHAnsi" w:cstheme="minorHAnsi"/>
                <w:sz w:val="16"/>
                <w:szCs w:val="16"/>
              </w:rPr>
              <w:t xml:space="preserve">522</w:t>
            </w:r>
          </w:p>
        </w:tc>
        <w:tc>
          <w:tcPr>
            <w:tcW w:type="dxa" w:w="1610"/>
            <w:tcBorders/>
          </w:tcPr>
          <w:p>
            <w:pPr>
              <w:keepNext/>
              <w:spacing w:before="10" w:after="10" w:line="240" w:lineRule="auto"/>
              <w:jc w:val="left"/>
            </w:pPr>
            <w:r>
              <w:rPr>
                <w:rFonts w:asciiTheme="minorHAnsi" w:hAnsiTheme="minorHAnsi" w:cstheme="minorHAnsi"/>
                <w:sz w:val="16"/>
                <w:szCs w:val="16"/>
              </w:rPr>
              <w:t xml:space="preserve">2.91 (3.0)</w:t>
            </w:r>
          </w:p>
        </w:tc>
        <w:tc>
          <w:tcPr>
            <w:tcW w:type="dxa" w:w="1610"/>
            <w:tcBorders/>
          </w:tcPr>
          <w:p>
            <w:pPr>
              <w:keepNext/>
              <w:spacing w:before="10" w:after="10" w:line="240" w:lineRule="auto"/>
              <w:jc w:val="left"/>
            </w:pPr>
            <w:r>
              <w:rPr>
                <w:rFonts w:asciiTheme="minorHAnsi" w:hAnsiTheme="minorHAnsi" w:cstheme="minorHAnsi"/>
                <w:sz w:val="16"/>
                <w:szCs w:val="16"/>
              </w:rPr>
              <w:t xml:space="preserve">−1.30 (−5.9)</w:t>
            </w:r>
          </w:p>
        </w:tc>
        <w:tc>
          <w:tcPr>
            <w:tcW w:type="dxa" w:w="1825"/>
            <w:tcBorders/>
          </w:tcPr>
          <w:p>
            <w:pPr>
              <w:keepNext/>
              <w:spacing w:before="10" w:after="10" w:line="240" w:lineRule="auto"/>
              <w:jc w:val="left"/>
            </w:pPr>
            <w:r>
              <w:rPr>
                <w:rFonts w:asciiTheme="minorHAnsi" w:hAnsiTheme="minorHAnsi" w:cstheme="minorHAnsi"/>
                <w:sz w:val="16"/>
                <w:szCs w:val="16"/>
              </w:rPr>
              <w:t xml:space="preserve">1.54 (1.4)</w:t>
            </w:r>
          </w:p>
        </w:tc>
        <w:tc>
          <w:tcPr>
            <w:tcW w:type="dxa" w:w="1610"/>
            <w:tcBorders/>
          </w:tcPr>
          <w:p>
            <w:pPr>
              <w:keepNext/>
              <w:spacing w:before="10" w:after="10" w:line="240" w:lineRule="auto"/>
              <w:jc w:val="left"/>
            </w:pPr>
            <w:r>
              <w:rPr>
                <w:rFonts w:asciiTheme="minorHAnsi" w:hAnsiTheme="minorHAnsi" w:cstheme="minorHAnsi"/>
                <w:sz w:val="16"/>
                <w:szCs w:val="16"/>
              </w:rPr>
              <w:t xml:space="preserve">−0.76 (−1.5)</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First half of sample</w:t>
            </w:r>
          </w:p>
        </w:tc>
        <w:tc>
          <w:tcPr>
            <w:tcW w:type="dxa" w:w="966"/>
            <w:tcBorders/>
          </w:tcPr>
          <w:p>
            <w:pPr>
              <w:keepNext/>
              <w:spacing w:before="10" w:after="10" w:line="240" w:lineRule="auto"/>
              <w:jc w:val="left"/>
            </w:pPr>
            <w:r>
              <w:rPr>
                <w:rFonts w:asciiTheme="minorHAnsi" w:hAnsiTheme="minorHAnsi" w:cstheme="minorHAnsi"/>
                <w:sz w:val="16"/>
                <w:szCs w:val="16"/>
              </w:rPr>
              <w:t xml:space="preserve">1,615</w:t>
            </w:r>
          </w:p>
        </w:tc>
        <w:tc>
          <w:tcPr>
            <w:tcW w:type="dxa" w:w="1610"/>
            <w:tcBorders/>
          </w:tcPr>
          <w:p>
            <w:pPr>
              <w:keepNext/>
              <w:spacing w:before="10" w:after="10" w:line="240" w:lineRule="auto"/>
              <w:jc w:val="left"/>
            </w:pPr>
            <w:r>
              <w:rPr>
                <w:rFonts w:asciiTheme="minorHAnsi" w:hAnsiTheme="minorHAnsi" w:cstheme="minorHAnsi"/>
                <w:sz w:val="16"/>
                <w:szCs w:val="16"/>
              </w:rPr>
              <w:t xml:space="preserve">2.24 (5.4)</w:t>
            </w:r>
          </w:p>
        </w:tc>
        <w:tc>
          <w:tcPr>
            <w:tcW w:type="dxa" w:w="1610"/>
            <w:tcBorders/>
          </w:tcPr>
          <w:p>
            <w:pPr>
              <w:keepNext/>
              <w:spacing w:before="10" w:after="10" w:line="240" w:lineRule="auto"/>
              <w:jc w:val="left"/>
            </w:pPr>
            <w:r>
              <w:rPr>
                <w:rFonts w:asciiTheme="minorHAnsi" w:hAnsiTheme="minorHAnsi" w:cstheme="minorHAnsi"/>
                <w:sz w:val="16"/>
                <w:szCs w:val="16"/>
              </w:rPr>
              <w:t xml:space="preserve">−0.77 (−3.3)</w:t>
            </w:r>
          </w:p>
        </w:tc>
        <w:tc>
          <w:tcPr>
            <w:tcW w:type="dxa" w:w="1825"/>
            <w:tcBorders/>
          </w:tcPr>
          <w:p>
            <w:pPr>
              <w:keepNext/>
              <w:spacing w:before="10" w:after="10" w:line="240" w:lineRule="auto"/>
              <w:jc w:val="left"/>
            </w:pPr>
            <w:r>
              <w:rPr>
                <w:rFonts w:asciiTheme="minorHAnsi" w:hAnsiTheme="minorHAnsi" w:cstheme="minorHAnsi"/>
                <w:sz w:val="16"/>
                <w:szCs w:val="16"/>
              </w:rPr>
              <w:t xml:space="preserve">1.42 (2.3)</w:t>
            </w:r>
          </w:p>
        </w:tc>
        <w:tc>
          <w:tcPr>
            <w:tcW w:type="dxa" w:w="1610"/>
            <w:tcBorders/>
          </w:tcPr>
          <w:p>
            <w:pPr>
              <w:keepNext/>
              <w:spacing w:before="10" w:after="10" w:line="240" w:lineRule="auto"/>
              <w:jc w:val="left"/>
            </w:pPr>
            <w:r>
              <w:rPr>
                <w:rFonts w:asciiTheme="minorHAnsi" w:hAnsiTheme="minorHAnsi" w:cstheme="minorHAnsi"/>
                <w:sz w:val="16"/>
                <w:szCs w:val="16"/>
              </w:rPr>
              <w:t xml:space="preserve">−1.13 (−2.9)</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Second half of sample</w:t>
            </w:r>
          </w:p>
        </w:tc>
        <w:tc>
          <w:tcPr>
            <w:tcW w:type="dxa" w:w="966"/>
            <w:tcBorders/>
          </w:tcPr>
          <w:p>
            <w:pPr>
              <w:keepNext/>
              <w:spacing w:before="10" w:after="10" w:line="240" w:lineRule="auto"/>
              <w:jc w:val="left"/>
            </w:pPr>
            <w:r>
              <w:rPr>
                <w:rFonts w:asciiTheme="minorHAnsi" w:hAnsiTheme="minorHAnsi" w:cstheme="minorHAnsi"/>
                <w:sz w:val="16"/>
                <w:szCs w:val="16"/>
              </w:rPr>
              <w:t xml:space="preserve">1,584</w:t>
            </w:r>
          </w:p>
        </w:tc>
        <w:tc>
          <w:tcPr>
            <w:tcW w:type="dxa" w:w="1610"/>
            <w:tcBorders/>
          </w:tcPr>
          <w:p>
            <w:pPr>
              <w:keepNext/>
              <w:spacing w:before="10" w:after="10" w:line="240" w:lineRule="auto"/>
              <w:jc w:val="left"/>
            </w:pPr>
            <w:r>
              <w:rPr>
                <w:rFonts w:asciiTheme="minorHAnsi" w:hAnsiTheme="minorHAnsi" w:cstheme="minorHAnsi"/>
                <w:sz w:val="16"/>
                <w:szCs w:val="16"/>
              </w:rPr>
              <w:t xml:space="preserve">2.25 (13.0)</w:t>
            </w:r>
          </w:p>
        </w:tc>
        <w:tc>
          <w:tcPr>
            <w:tcW w:type="dxa" w:w="1610"/>
            <w:tcBorders/>
          </w:tcPr>
          <w:p>
            <w:pPr>
              <w:keepNext/>
              <w:spacing w:before="10" w:after="10" w:line="240" w:lineRule="auto"/>
              <w:jc w:val="left"/>
            </w:pPr>
            <w:r>
              <w:rPr>
                <w:rFonts w:asciiTheme="minorHAnsi" w:hAnsiTheme="minorHAnsi" w:cstheme="minorHAnsi"/>
                <w:sz w:val="16"/>
                <w:szCs w:val="16"/>
              </w:rPr>
              <w:t xml:space="preserve">−0.29 (−2.5)</w:t>
            </w:r>
          </w:p>
        </w:tc>
        <w:tc>
          <w:tcPr>
            <w:tcW w:type="dxa" w:w="1825"/>
            <w:tcBorders/>
          </w:tcPr>
          <w:p>
            <w:pPr>
              <w:keepNext/>
              <w:spacing w:before="10" w:after="10" w:line="240" w:lineRule="auto"/>
              <w:jc w:val="left"/>
            </w:pPr>
            <w:r>
              <w:rPr>
                <w:rFonts w:asciiTheme="minorHAnsi" w:hAnsiTheme="minorHAnsi" w:cstheme="minorHAnsi"/>
                <w:sz w:val="16"/>
                <w:szCs w:val="16"/>
              </w:rPr>
              <w:t xml:space="preserve">1.91 (11.3)</w:t>
            </w:r>
          </w:p>
        </w:tc>
        <w:tc>
          <w:tcPr>
            <w:tcW w:type="dxa" w:w="1610"/>
            <w:tcBorders/>
          </w:tcPr>
          <w:p>
            <w:pPr>
              <w:keepNext/>
              <w:spacing w:before="10" w:after="10" w:line="240" w:lineRule="auto"/>
              <w:jc w:val="left"/>
            </w:pPr>
            <w:r>
              <w:rPr>
                <w:rFonts w:asciiTheme="minorHAnsi" w:hAnsiTheme="minorHAnsi" w:cstheme="minorHAnsi"/>
                <w:sz w:val="16"/>
                <w:szCs w:val="16"/>
              </w:rPr>
              <w:t xml:space="preserve">−0.36 (−1.2)</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Excluding days with market &lt; −2%</w:t>
            </w:r>
          </w:p>
        </w:tc>
        <w:tc>
          <w:tcPr>
            <w:tcW w:type="dxa" w:w="966"/>
            <w:tcBorders/>
          </w:tcPr>
          <w:p>
            <w:pPr>
              <w:keepNext/>
              <w:spacing w:before="10" w:after="10" w:line="240" w:lineRule="auto"/>
              <w:jc w:val="left"/>
            </w:pPr>
            <w:r>
              <w:rPr>
                <w:rFonts w:asciiTheme="minorHAnsi" w:hAnsiTheme="minorHAnsi" w:cstheme="minorHAnsi"/>
                <w:sz w:val="16"/>
                <w:szCs w:val="16"/>
              </w:rPr>
              <w:t xml:space="preserve">3,125</w:t>
            </w:r>
          </w:p>
        </w:tc>
        <w:tc>
          <w:tcPr>
            <w:tcW w:type="dxa" w:w="1610"/>
            <w:tcBorders/>
          </w:tcPr>
          <w:p>
            <w:pPr>
              <w:keepNext/>
              <w:spacing w:before="10" w:after="10" w:line="240" w:lineRule="auto"/>
              <w:jc w:val="left"/>
            </w:pPr>
            <w:r>
              <w:rPr>
                <w:rFonts w:asciiTheme="minorHAnsi" w:hAnsiTheme="minorHAnsi" w:cstheme="minorHAnsi"/>
                <w:sz w:val="16"/>
                <w:szCs w:val="16"/>
              </w:rPr>
              <w:t xml:space="preserve">2.24 (9.6)</w:t>
            </w:r>
          </w:p>
        </w:tc>
        <w:tc>
          <w:tcPr>
            <w:tcW w:type="dxa" w:w="1610"/>
            <w:tcBorders/>
          </w:tcPr>
          <w:p>
            <w:pPr>
              <w:keepNext/>
              <w:spacing w:before="10" w:after="10" w:line="240" w:lineRule="auto"/>
              <w:jc w:val="left"/>
            </w:pPr>
            <w:r>
              <w:rPr>
                <w:rFonts w:asciiTheme="minorHAnsi" w:hAnsiTheme="minorHAnsi" w:cstheme="minorHAnsi"/>
                <w:sz w:val="16"/>
                <w:szCs w:val="16"/>
              </w:rPr>
              <w:t xml:space="preserve">−0.53 (−3.4)</w:t>
            </w:r>
          </w:p>
        </w:tc>
        <w:tc>
          <w:tcPr>
            <w:tcW w:type="dxa" w:w="1825"/>
            <w:tcBorders/>
          </w:tcPr>
          <w:p>
            <w:pPr>
              <w:keepNext/>
              <w:spacing w:before="10" w:after="10" w:line="240" w:lineRule="auto"/>
              <w:jc w:val="left"/>
            </w:pPr>
            <w:r>
              <w:rPr>
                <w:rFonts w:asciiTheme="minorHAnsi" w:hAnsiTheme="minorHAnsi" w:cstheme="minorHAnsi"/>
                <w:sz w:val="16"/>
                <w:szCs w:val="16"/>
              </w:rPr>
              <w:t xml:space="preserve">1.67 (4.7)</w:t>
            </w:r>
          </w:p>
        </w:tc>
        <w:tc>
          <w:tcPr>
            <w:tcW w:type="dxa" w:w="1610"/>
            <w:tcBorders/>
          </w:tcPr>
          <w:p>
            <w:pPr>
              <w:keepNext/>
              <w:spacing w:before="10" w:after="10" w:line="240" w:lineRule="auto"/>
              <w:jc w:val="left"/>
            </w:pPr>
            <w:r>
              <w:rPr>
                <w:rFonts w:asciiTheme="minorHAnsi" w:hAnsiTheme="minorHAnsi" w:cstheme="minorHAnsi"/>
                <w:sz w:val="16"/>
                <w:szCs w:val="16"/>
              </w:rPr>
              <w:t xml:space="preserve">−0.70 (−2.6)</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Floor closes</w:t>
            </w:r>
          </w:p>
        </w:tc>
        <w:tc>
          <w:tcPr>
            <w:tcW w:type="dxa" w:w="966"/>
            <w:tcBorders/>
          </w:tcPr>
          <w:p>
            <w:pPr>
              <w:keepNext/>
              <w:spacing w:before="10" w:after="10" w:line="240" w:lineRule="auto"/>
            </w:pPr>
          </w:p>
        </w:tc>
        <w:tc>
          <w:tcPr>
            <w:tcW w:type="dxa" w:w="1610"/>
            <w:tcBorders/>
          </w:tcPr>
          <w:p>
            <w:pPr>
              <w:keepNext/>
              <w:spacing w:before="10" w:after="10" w:line="240" w:lineRule="auto"/>
            </w:pPr>
          </w:p>
        </w:tc>
        <w:tc>
          <w:tcPr>
            <w:tcW w:type="dxa" w:w="1610"/>
            <w:tcBorders/>
          </w:tcPr>
          <w:p>
            <w:pPr>
              <w:keepNext/>
              <w:spacing w:before="10" w:after="10" w:line="240" w:lineRule="auto"/>
            </w:pPr>
          </w:p>
        </w:tc>
        <w:tc>
          <w:tcPr>
            <w:tcW w:type="dxa" w:w="1825"/>
            <w:tcBorders/>
          </w:tcPr>
          <w:p>
            <w:pPr>
              <w:keepNext/>
              <w:spacing w:before="10" w:after="10" w:line="240" w:lineRule="auto"/>
            </w:pPr>
          </w:p>
        </w:tc>
        <w:tc>
          <w:tcPr>
            <w:tcW w:type="dxa" w:w="1610"/>
            <w:tcBorders/>
          </w:tcPr>
          <w:p>
            <w:pPr>
              <w:keepNext/>
              <w:spacing w:before="10" w:after="10" w:line="240" w:lineRule="auto"/>
            </w:pP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All, vs market</w:t>
            </w:r>
          </w:p>
        </w:tc>
        <w:tc>
          <w:tcPr>
            <w:tcW w:type="dxa" w:w="966"/>
            <w:tcBorders/>
          </w:tcPr>
          <w:p>
            <w:pPr>
              <w:keepNext/>
              <w:spacing w:before="10" w:after="10" w:line="240" w:lineRule="auto"/>
              <w:jc w:val="left"/>
            </w:pPr>
            <w:r>
              <w:rPr>
                <w:rFonts w:asciiTheme="minorHAnsi" w:hAnsiTheme="minorHAnsi" w:cstheme="minorHAnsi"/>
                <w:sz w:val="16"/>
                <w:szCs w:val="16"/>
              </w:rPr>
              <w:t xml:space="preserve">2,111</w:t>
            </w:r>
          </w:p>
        </w:tc>
        <w:tc>
          <w:tcPr>
            <w:tcW w:type="dxa" w:w="1610"/>
            <w:tcBorders/>
          </w:tcPr>
          <w:p>
            <w:pPr>
              <w:keepNext/>
              <w:spacing w:before="10" w:after="10" w:line="240" w:lineRule="auto"/>
              <w:jc w:val="left"/>
            </w:pPr>
            <w:r>
              <w:rPr>
                <w:rFonts w:asciiTheme="minorHAnsi" w:hAnsiTheme="minorHAnsi" w:cstheme="minorHAnsi"/>
                <w:sz w:val="16"/>
                <w:szCs w:val="16"/>
              </w:rPr>
              <w:t xml:space="preserve">−0.97 (−4.6)</w:t>
            </w:r>
          </w:p>
        </w:tc>
        <w:tc>
          <w:tcPr>
            <w:tcW w:type="dxa" w:w="1610"/>
            <w:tcBorders/>
          </w:tcPr>
          <w:p>
            <w:pPr>
              <w:keepNext/>
              <w:spacing w:before="10" w:after="10" w:line="240" w:lineRule="auto"/>
              <w:jc w:val="left"/>
            </w:pPr>
            <w:r>
              <w:rPr>
                <w:rFonts w:asciiTheme="minorHAnsi" w:hAnsiTheme="minorHAnsi" w:cstheme="minorHAnsi"/>
                <w:sz w:val="16"/>
                <w:szCs w:val="16"/>
              </w:rPr>
              <w:t xml:space="preserve">0.30 (1.4)</w:t>
            </w:r>
          </w:p>
        </w:tc>
        <w:tc>
          <w:tcPr>
            <w:tcW w:type="dxa" w:w="1825"/>
            <w:tcBorders/>
          </w:tcPr>
          <w:p>
            <w:pPr>
              <w:keepNext/>
              <w:spacing w:before="10" w:after="10" w:line="240" w:lineRule="auto"/>
              <w:jc w:val="left"/>
            </w:pPr>
            <w:r>
              <w:rPr>
                <w:rFonts w:asciiTheme="minorHAnsi" w:hAnsiTheme="minorHAnsi" w:cstheme="minorHAnsi"/>
                <w:sz w:val="16"/>
                <w:szCs w:val="16"/>
              </w:rPr>
              <w:t xml:space="preserve">−0.69 (−4.8)</w:t>
            </w:r>
          </w:p>
        </w:tc>
        <w:tc>
          <w:tcPr>
            <w:tcW w:type="dxa" w:w="1610"/>
            <w:tcBorders/>
          </w:tcPr>
          <w:p>
            <w:pPr>
              <w:keepNext/>
              <w:spacing w:before="10" w:after="10" w:line="240" w:lineRule="auto"/>
              <w:jc w:val="left"/>
            </w:pPr>
            <w:r>
              <w:rPr>
                <w:rFonts w:asciiTheme="minorHAnsi" w:hAnsiTheme="minorHAnsi" w:cstheme="minorHAnsi"/>
                <w:sz w:val="16"/>
                <w:szCs w:val="16"/>
              </w:rPr>
              <w:t xml:space="preserve">−0.82 (−1.7)</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All, vs same-date controls</w:t>
            </w:r>
          </w:p>
        </w:tc>
        <w:tc>
          <w:tcPr>
            <w:tcW w:type="dxa" w:w="966"/>
            <w:tcBorders/>
          </w:tcPr>
          <w:p>
            <w:pPr>
              <w:keepNext/>
              <w:spacing w:before="10" w:after="10" w:line="240" w:lineRule="auto"/>
              <w:jc w:val="left"/>
            </w:pPr>
            <w:r>
              <w:rPr>
                <w:rFonts w:asciiTheme="minorHAnsi" w:hAnsiTheme="minorHAnsi" w:cstheme="minorHAnsi"/>
                <w:sz w:val="16"/>
                <w:szCs w:val="16"/>
              </w:rPr>
              <w:t xml:space="preserve">2,047</w:t>
            </w:r>
          </w:p>
        </w:tc>
        <w:tc>
          <w:tcPr>
            <w:tcW w:type="dxa" w:w="1610"/>
            <w:tcBorders/>
          </w:tcPr>
          <w:p>
            <w:pPr>
              <w:keepNext/>
              <w:spacing w:before="10" w:after="10" w:line="240" w:lineRule="auto"/>
              <w:jc w:val="left"/>
            </w:pPr>
            <w:r>
              <w:rPr>
                <w:rFonts w:asciiTheme="minorHAnsi" w:hAnsiTheme="minorHAnsi" w:cstheme="minorHAnsi"/>
                <w:sz w:val="16"/>
                <w:szCs w:val="16"/>
              </w:rPr>
              <w:t xml:space="preserve">−1.75 (−4.0)</w:t>
            </w:r>
          </w:p>
        </w:tc>
        <w:tc>
          <w:tcPr>
            <w:tcW w:type="dxa" w:w="1610"/>
            <w:tcBorders/>
          </w:tcPr>
          <w:p>
            <w:pPr>
              <w:keepNext/>
              <w:spacing w:before="10" w:after="10" w:line="240" w:lineRule="auto"/>
              <w:jc w:val="left"/>
            </w:pPr>
            <w:r>
              <w:rPr>
                <w:rFonts w:asciiTheme="minorHAnsi" w:hAnsiTheme="minorHAnsi" w:cstheme="minorHAnsi"/>
                <w:sz w:val="16"/>
                <w:szCs w:val="16"/>
              </w:rPr>
              <w:t xml:space="preserve">0.14 (0.6)</w:t>
            </w:r>
          </w:p>
        </w:tc>
        <w:tc>
          <w:tcPr>
            <w:tcW w:type="dxa" w:w="1825"/>
            <w:tcBorders/>
          </w:tcPr>
          <w:p>
            <w:pPr>
              <w:keepNext/>
              <w:spacing w:before="10" w:after="10" w:line="240" w:lineRule="auto"/>
              <w:jc w:val="left"/>
            </w:pPr>
            <w:r>
              <w:rPr>
                <w:rFonts w:asciiTheme="minorHAnsi" w:hAnsiTheme="minorHAnsi" w:cstheme="minorHAnsi"/>
                <w:sz w:val="16"/>
                <w:szCs w:val="16"/>
              </w:rPr>
              <w:t xml:space="preserve">−1.65 (−3.4)</w:t>
            </w:r>
          </w:p>
        </w:tc>
        <w:tc>
          <w:tcPr>
            <w:tcW w:type="dxa" w:w="1610"/>
            <w:tcBorders/>
          </w:tcPr>
          <w:p>
            <w:pPr>
              <w:keepNext/>
              <w:spacing w:before="10" w:after="10" w:line="240" w:lineRule="auto"/>
              <w:jc w:val="left"/>
            </w:pPr>
            <w:r>
              <w:rPr>
                <w:rFonts w:asciiTheme="minorHAnsi" w:hAnsiTheme="minorHAnsi" w:cstheme="minorHAnsi"/>
                <w:sz w:val="16"/>
                <w:szCs w:val="16"/>
              </w:rPr>
              <w:t xml:space="preserve">−0.36 (−0.6)</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Exact limit hit</w:t>
            </w:r>
          </w:p>
        </w:tc>
        <w:tc>
          <w:tcPr>
            <w:tcW w:type="dxa" w:w="966"/>
            <w:tcBorders/>
          </w:tcPr>
          <w:p>
            <w:pPr>
              <w:keepNext/>
              <w:spacing w:before="10" w:after="10" w:line="240" w:lineRule="auto"/>
              <w:jc w:val="left"/>
            </w:pPr>
            <w:r>
              <w:rPr>
                <w:rFonts w:asciiTheme="minorHAnsi" w:hAnsiTheme="minorHAnsi" w:cstheme="minorHAnsi"/>
                <w:sz w:val="16"/>
                <w:szCs w:val="16"/>
              </w:rPr>
              <w:t xml:space="preserve">1,025</w:t>
            </w:r>
          </w:p>
        </w:tc>
        <w:tc>
          <w:tcPr>
            <w:tcW w:type="dxa" w:w="1610"/>
            <w:tcBorders/>
          </w:tcPr>
          <w:p>
            <w:pPr>
              <w:keepNext/>
              <w:spacing w:before="10" w:after="10" w:line="240" w:lineRule="auto"/>
              <w:jc w:val="left"/>
            </w:pPr>
            <w:r>
              <w:rPr>
                <w:rFonts w:asciiTheme="minorHAnsi" w:hAnsiTheme="minorHAnsi" w:cstheme="minorHAnsi"/>
                <w:sz w:val="16"/>
                <w:szCs w:val="16"/>
              </w:rPr>
              <w:t xml:space="preserve">−1.30 (−5.1)</w:t>
            </w:r>
          </w:p>
        </w:tc>
        <w:tc>
          <w:tcPr>
            <w:tcW w:type="dxa" w:w="1610"/>
            <w:tcBorders/>
          </w:tcPr>
          <w:p>
            <w:pPr>
              <w:keepNext/>
              <w:spacing w:before="10" w:after="10" w:line="240" w:lineRule="auto"/>
              <w:jc w:val="left"/>
            </w:pPr>
            <w:r>
              <w:rPr>
                <w:rFonts w:asciiTheme="minorHAnsi" w:hAnsiTheme="minorHAnsi" w:cstheme="minorHAnsi"/>
                <w:sz w:val="16"/>
                <w:szCs w:val="16"/>
              </w:rPr>
              <w:t xml:space="preserve">0.41 (1.7)</w:t>
            </w:r>
          </w:p>
        </w:tc>
        <w:tc>
          <w:tcPr>
            <w:tcW w:type="dxa" w:w="1825"/>
            <w:tcBorders/>
          </w:tcPr>
          <w:p>
            <w:pPr>
              <w:keepNext/>
              <w:spacing w:before="10" w:after="10" w:line="240" w:lineRule="auto"/>
              <w:jc w:val="left"/>
            </w:pPr>
            <w:r>
              <w:rPr>
                <w:rFonts w:asciiTheme="minorHAnsi" w:hAnsiTheme="minorHAnsi" w:cstheme="minorHAnsi"/>
                <w:sz w:val="16"/>
                <w:szCs w:val="16"/>
              </w:rPr>
              <w:t xml:space="preserve">−0.93 (−5.7)</w:t>
            </w:r>
          </w:p>
        </w:tc>
        <w:tc>
          <w:tcPr>
            <w:tcW w:type="dxa" w:w="1610"/>
            <w:tcBorders/>
          </w:tcPr>
          <w:p>
            <w:pPr>
              <w:keepNext/>
              <w:spacing w:before="10" w:after="10" w:line="240" w:lineRule="auto"/>
              <w:jc w:val="left"/>
            </w:pPr>
            <w:r>
              <w:rPr>
                <w:rFonts w:asciiTheme="minorHAnsi" w:hAnsiTheme="minorHAnsi" w:cstheme="minorHAnsi"/>
                <w:sz w:val="16"/>
                <w:szCs w:val="16"/>
              </w:rPr>
              <w:t xml:space="preserve">−0.98 (−1.9)</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Near hit</w:t>
            </w:r>
          </w:p>
        </w:tc>
        <w:tc>
          <w:tcPr>
            <w:tcW w:type="dxa" w:w="966"/>
            <w:tcBorders/>
          </w:tcPr>
          <w:p>
            <w:pPr>
              <w:keepNext/>
              <w:spacing w:before="10" w:after="10" w:line="240" w:lineRule="auto"/>
              <w:jc w:val="left"/>
            </w:pPr>
            <w:r>
              <w:rPr>
                <w:rFonts w:asciiTheme="minorHAnsi" w:hAnsiTheme="minorHAnsi" w:cstheme="minorHAnsi"/>
                <w:sz w:val="16"/>
                <w:szCs w:val="16"/>
              </w:rPr>
              <w:t xml:space="preserve">1,086</w:t>
            </w:r>
          </w:p>
        </w:tc>
        <w:tc>
          <w:tcPr>
            <w:tcW w:type="dxa" w:w="1610"/>
            <w:tcBorders/>
          </w:tcPr>
          <w:p>
            <w:pPr>
              <w:keepNext/>
              <w:spacing w:before="10" w:after="10" w:line="240" w:lineRule="auto"/>
              <w:jc w:val="left"/>
            </w:pPr>
            <w:r>
              <w:rPr>
                <w:rFonts w:asciiTheme="minorHAnsi" w:hAnsiTheme="minorHAnsi" w:cstheme="minorHAnsi"/>
                <w:sz w:val="16"/>
                <w:szCs w:val="16"/>
              </w:rPr>
              <w:t xml:space="preserve">−0.66 (−3.7)</w:t>
            </w:r>
          </w:p>
        </w:tc>
        <w:tc>
          <w:tcPr>
            <w:tcW w:type="dxa" w:w="1610"/>
            <w:tcBorders/>
          </w:tcPr>
          <w:p>
            <w:pPr>
              <w:keepNext/>
              <w:spacing w:before="10" w:after="10" w:line="240" w:lineRule="auto"/>
              <w:jc w:val="left"/>
            </w:pPr>
            <w:r>
              <w:rPr>
                <w:rFonts w:asciiTheme="minorHAnsi" w:hAnsiTheme="minorHAnsi" w:cstheme="minorHAnsi"/>
                <w:sz w:val="16"/>
                <w:szCs w:val="16"/>
              </w:rPr>
              <w:t xml:space="preserve">0.20 (0.9)</w:t>
            </w:r>
          </w:p>
        </w:tc>
        <w:tc>
          <w:tcPr>
            <w:tcW w:type="dxa" w:w="1825"/>
            <w:tcBorders/>
          </w:tcPr>
          <w:p>
            <w:pPr>
              <w:keepNext/>
              <w:spacing w:before="10" w:after="10" w:line="240" w:lineRule="auto"/>
              <w:jc w:val="left"/>
            </w:pPr>
            <w:r>
              <w:rPr>
                <w:rFonts w:asciiTheme="minorHAnsi" w:hAnsiTheme="minorHAnsi" w:cstheme="minorHAnsi"/>
                <w:sz w:val="16"/>
                <w:szCs w:val="16"/>
              </w:rPr>
              <w:t xml:space="preserve">−0.47 (−2.9)</w:t>
            </w:r>
          </w:p>
        </w:tc>
        <w:tc>
          <w:tcPr>
            <w:tcW w:type="dxa" w:w="1610"/>
            <w:tcBorders/>
          </w:tcPr>
          <w:p>
            <w:pPr>
              <w:keepNext/>
              <w:spacing w:before="10" w:after="10" w:line="240" w:lineRule="auto"/>
              <w:jc w:val="left"/>
            </w:pPr>
            <w:r>
              <w:rPr>
                <w:rFonts w:asciiTheme="minorHAnsi" w:hAnsiTheme="minorHAnsi" w:cstheme="minorHAnsi"/>
                <w:sz w:val="16"/>
                <w:szCs w:val="16"/>
              </w:rPr>
              <w:t xml:space="preserve">−0.66 (−1.4)</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Locked all day</w:t>
            </w:r>
          </w:p>
        </w:tc>
        <w:tc>
          <w:tcPr>
            <w:tcW w:type="dxa" w:w="966"/>
            <w:tcBorders/>
          </w:tcPr>
          <w:p>
            <w:pPr>
              <w:keepNext/>
              <w:spacing w:before="10" w:after="10" w:line="240" w:lineRule="auto"/>
              <w:jc w:val="left"/>
            </w:pPr>
            <w:r>
              <w:rPr>
                <w:rFonts w:asciiTheme="minorHAnsi" w:hAnsiTheme="minorHAnsi" w:cstheme="minorHAnsi"/>
                <w:sz w:val="16"/>
                <w:szCs w:val="16"/>
              </w:rPr>
              <w:t xml:space="preserve">260</w:t>
            </w:r>
          </w:p>
        </w:tc>
        <w:tc>
          <w:tcPr>
            <w:tcW w:type="dxa" w:w="1610"/>
            <w:tcBorders/>
          </w:tcPr>
          <w:p>
            <w:pPr>
              <w:keepNext/>
              <w:spacing w:before="10" w:after="10" w:line="240" w:lineRule="auto"/>
              <w:jc w:val="left"/>
            </w:pPr>
            <w:r>
              <w:rPr>
                <w:rFonts w:asciiTheme="minorHAnsi" w:hAnsiTheme="minorHAnsi" w:cstheme="minorHAnsi"/>
                <w:sz w:val="16"/>
                <w:szCs w:val="16"/>
              </w:rPr>
              <w:t xml:space="preserve">−2.50 (−4.8)</w:t>
            </w:r>
          </w:p>
        </w:tc>
        <w:tc>
          <w:tcPr>
            <w:tcW w:type="dxa" w:w="1610"/>
            <w:tcBorders/>
          </w:tcPr>
          <w:p>
            <w:pPr>
              <w:keepNext/>
              <w:spacing w:before="10" w:after="10" w:line="240" w:lineRule="auto"/>
              <w:jc w:val="left"/>
            </w:pPr>
            <w:r>
              <w:rPr>
                <w:rFonts w:asciiTheme="minorHAnsi" w:hAnsiTheme="minorHAnsi" w:cstheme="minorHAnsi"/>
                <w:sz w:val="16"/>
                <w:szCs w:val="16"/>
              </w:rPr>
              <w:t xml:space="preserve">1.11 (2.4)</w:t>
            </w:r>
          </w:p>
        </w:tc>
        <w:tc>
          <w:tcPr>
            <w:tcW w:type="dxa" w:w="1825"/>
            <w:tcBorders/>
          </w:tcPr>
          <w:p>
            <w:pPr>
              <w:keepNext/>
              <w:spacing w:before="10" w:after="10" w:line="240" w:lineRule="auto"/>
              <w:jc w:val="left"/>
            </w:pPr>
            <w:r>
              <w:rPr>
                <w:rFonts w:asciiTheme="minorHAnsi" w:hAnsiTheme="minorHAnsi" w:cstheme="minorHAnsi"/>
                <w:sz w:val="16"/>
                <w:szCs w:val="16"/>
              </w:rPr>
              <w:t xml:space="preserve">−1.44 (−3.4)</w:t>
            </w:r>
          </w:p>
        </w:tc>
        <w:tc>
          <w:tcPr>
            <w:tcW w:type="dxa" w:w="1610"/>
            <w:tcBorders/>
          </w:tcPr>
          <w:p>
            <w:pPr>
              <w:keepNext/>
              <w:spacing w:before="10" w:after="10" w:line="240" w:lineRule="auto"/>
              <w:jc w:val="left"/>
            </w:pPr>
            <w:r>
              <w:rPr>
                <w:rFonts w:asciiTheme="minorHAnsi" w:hAnsiTheme="minorHAnsi" w:cstheme="minorHAnsi"/>
                <w:sz w:val="16"/>
                <w:szCs w:val="16"/>
              </w:rPr>
              <w:t xml:space="preserve">−3.91 (−3.0)</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First half of sample</w:t>
            </w:r>
          </w:p>
        </w:tc>
        <w:tc>
          <w:tcPr>
            <w:tcW w:type="dxa" w:w="966"/>
            <w:tcBorders/>
          </w:tcPr>
          <w:p>
            <w:pPr>
              <w:keepNext/>
              <w:spacing w:before="10" w:after="10" w:line="240" w:lineRule="auto"/>
              <w:jc w:val="left"/>
            </w:pPr>
            <w:r>
              <w:rPr>
                <w:rFonts w:asciiTheme="minorHAnsi" w:hAnsiTheme="minorHAnsi" w:cstheme="minorHAnsi"/>
                <w:sz w:val="16"/>
                <w:szCs w:val="16"/>
              </w:rPr>
              <w:t xml:space="preserve">1,059</w:t>
            </w:r>
          </w:p>
        </w:tc>
        <w:tc>
          <w:tcPr>
            <w:tcW w:type="dxa" w:w="1610"/>
            <w:tcBorders/>
          </w:tcPr>
          <w:p>
            <w:pPr>
              <w:keepNext/>
              <w:spacing w:before="10" w:after="10" w:line="240" w:lineRule="auto"/>
              <w:jc w:val="left"/>
            </w:pPr>
            <w:r>
              <w:rPr>
                <w:rFonts w:asciiTheme="minorHAnsi" w:hAnsiTheme="minorHAnsi" w:cstheme="minorHAnsi"/>
                <w:sz w:val="16"/>
                <w:szCs w:val="16"/>
              </w:rPr>
              <w:t xml:space="preserve">−0.55 (−2.4)</w:t>
            </w:r>
          </w:p>
        </w:tc>
        <w:tc>
          <w:tcPr>
            <w:tcW w:type="dxa" w:w="1610"/>
            <w:tcBorders/>
          </w:tcPr>
          <w:p>
            <w:pPr>
              <w:keepNext/>
              <w:spacing w:before="10" w:after="10" w:line="240" w:lineRule="auto"/>
              <w:jc w:val="left"/>
            </w:pPr>
            <w:r>
              <w:rPr>
                <w:rFonts w:asciiTheme="minorHAnsi" w:hAnsiTheme="minorHAnsi" w:cstheme="minorHAnsi"/>
                <w:sz w:val="16"/>
                <w:szCs w:val="16"/>
              </w:rPr>
              <w:t xml:space="preserve">−0.09 (−0.3)</w:t>
            </w:r>
          </w:p>
        </w:tc>
        <w:tc>
          <w:tcPr>
            <w:tcW w:type="dxa" w:w="1825"/>
            <w:tcBorders/>
          </w:tcPr>
          <w:p>
            <w:pPr>
              <w:keepNext/>
              <w:spacing w:before="10" w:after="10" w:line="240" w:lineRule="auto"/>
              <w:jc w:val="left"/>
            </w:pPr>
            <w:r>
              <w:rPr>
                <w:rFonts w:asciiTheme="minorHAnsi" w:hAnsiTheme="minorHAnsi" w:cstheme="minorHAnsi"/>
                <w:sz w:val="16"/>
                <w:szCs w:val="16"/>
              </w:rPr>
              <w:t xml:space="preserve">−0.63 (−2.9)</w:t>
            </w:r>
          </w:p>
        </w:tc>
        <w:tc>
          <w:tcPr>
            <w:tcW w:type="dxa" w:w="1610"/>
            <w:tcBorders/>
          </w:tcPr>
          <w:p>
            <w:pPr>
              <w:keepNext/>
              <w:spacing w:before="10" w:after="10" w:line="240" w:lineRule="auto"/>
              <w:jc w:val="left"/>
            </w:pPr>
            <w:r>
              <w:rPr>
                <w:rFonts w:asciiTheme="minorHAnsi" w:hAnsiTheme="minorHAnsi" w:cstheme="minorHAnsi"/>
                <w:sz w:val="16"/>
                <w:szCs w:val="16"/>
              </w:rPr>
              <w:t xml:space="preserve">−1.69 (−5.1)</w:t>
            </w:r>
          </w:p>
        </w:tc>
      </w:tr>
      <w:tr>
        <w:trPr>
          <w:cantSplit/>
        </w:trPr>
        <w:tc>
          <w:tcPr>
            <w:tcW w:type="dxa" w:w="2576"/>
            <w:tcBorders/>
          </w:tcPr>
          <w:p>
            <w:pPr>
              <w:keepNext/>
              <w:spacing w:before="10" w:after="10" w:line="240" w:lineRule="auto"/>
              <w:jc w:val="left"/>
            </w:pPr>
            <w:r>
              <w:rPr>
                <w:rFonts w:asciiTheme="minorHAnsi" w:hAnsiTheme="minorHAnsi" w:cstheme="minorHAnsi"/>
                <w:sz w:val="16"/>
                <w:szCs w:val="16"/>
              </w:rPr>
              <w:t xml:space="preserve">Second half of sample</w:t>
            </w:r>
          </w:p>
        </w:tc>
        <w:tc>
          <w:tcPr>
            <w:tcW w:type="dxa" w:w="966"/>
            <w:tcBorders/>
          </w:tcPr>
          <w:p>
            <w:pPr>
              <w:keepNext/>
              <w:spacing w:before="10" w:after="10" w:line="240" w:lineRule="auto"/>
              <w:jc w:val="left"/>
            </w:pPr>
            <w:r>
              <w:rPr>
                <w:rFonts w:asciiTheme="minorHAnsi" w:hAnsiTheme="minorHAnsi" w:cstheme="minorHAnsi"/>
                <w:sz w:val="16"/>
                <w:szCs w:val="16"/>
              </w:rPr>
              <w:t xml:space="preserve">1,052</w:t>
            </w:r>
          </w:p>
        </w:tc>
        <w:tc>
          <w:tcPr>
            <w:tcW w:type="dxa" w:w="1610"/>
            <w:tcBorders/>
          </w:tcPr>
          <w:p>
            <w:pPr>
              <w:keepNext/>
              <w:spacing w:before="10" w:after="10" w:line="240" w:lineRule="auto"/>
              <w:jc w:val="left"/>
            </w:pPr>
            <w:r>
              <w:rPr>
                <w:rFonts w:asciiTheme="minorHAnsi" w:hAnsiTheme="minorHAnsi" w:cstheme="minorHAnsi"/>
                <w:sz w:val="16"/>
                <w:szCs w:val="16"/>
              </w:rPr>
              <w:t xml:space="preserve">−1.40 (−6.5)</w:t>
            </w:r>
          </w:p>
        </w:tc>
        <w:tc>
          <w:tcPr>
            <w:tcW w:type="dxa" w:w="1610"/>
            <w:tcBorders/>
          </w:tcPr>
          <w:p>
            <w:pPr>
              <w:keepNext/>
              <w:spacing w:before="10" w:after="10" w:line="240" w:lineRule="auto"/>
              <w:jc w:val="left"/>
            </w:pPr>
            <w:r>
              <w:rPr>
                <w:rFonts w:asciiTheme="minorHAnsi" w:hAnsiTheme="minorHAnsi" w:cstheme="minorHAnsi"/>
                <w:sz w:val="16"/>
                <w:szCs w:val="16"/>
              </w:rPr>
              <w:t xml:space="preserve">0.70 (4.9)</w:t>
            </w:r>
          </w:p>
        </w:tc>
        <w:tc>
          <w:tcPr>
            <w:tcW w:type="dxa" w:w="1825"/>
            <w:tcBorders/>
          </w:tcPr>
          <w:p>
            <w:pPr>
              <w:keepNext/>
              <w:spacing w:before="10" w:after="10" w:line="240" w:lineRule="auto"/>
              <w:jc w:val="left"/>
            </w:pPr>
            <w:r>
              <w:rPr>
                <w:rFonts w:asciiTheme="minorHAnsi" w:hAnsiTheme="minorHAnsi" w:cstheme="minorHAnsi"/>
                <w:sz w:val="16"/>
                <w:szCs w:val="16"/>
              </w:rPr>
              <w:t xml:space="preserve">−0.75 (−4.3)</w:t>
            </w:r>
          </w:p>
        </w:tc>
        <w:tc>
          <w:tcPr>
            <w:tcW w:type="dxa" w:w="1610"/>
            <w:tcBorders/>
          </w:tcPr>
          <w:p>
            <w:pPr>
              <w:keepNext/>
              <w:spacing w:before="10" w:after="10" w:line="240" w:lineRule="auto"/>
              <w:jc w:val="left"/>
            </w:pPr>
            <w:r>
              <w:rPr>
                <w:rFonts w:asciiTheme="minorHAnsi" w:hAnsiTheme="minorHAnsi" w:cstheme="minorHAnsi"/>
                <w:sz w:val="16"/>
                <w:szCs w:val="16"/>
              </w:rPr>
              <w:t xml:space="preserve">0.07 (0.1)</w:t>
            </w:r>
          </w:p>
        </w:tc>
      </w:tr>
      <w:tr>
        <w:trPr>
          <w:cantSplit/>
        </w:trPr>
        <w:tc>
          <w:tcPr>
            <w:tcW w:type="dxa" w:w="2576"/>
            <w:tcBorders>
              <w:bottom w:val="single" w:sz="8" w:space="0" w:color="000000"/>
            </w:tcBorders>
          </w:tcPr>
          <w:p>
            <w:pPr>
              <w:spacing w:before="10" w:after="10" w:line="240" w:lineRule="auto"/>
              <w:jc w:val="left"/>
            </w:pPr>
            <w:r>
              <w:rPr>
                <w:rFonts w:asciiTheme="minorHAnsi" w:hAnsiTheme="minorHAnsi" w:cstheme="minorHAnsi"/>
                <w:sz w:val="16"/>
                <w:szCs w:val="16"/>
              </w:rPr>
              <w:t xml:space="preserve">Excluding days with market &lt; −2%</w:t>
            </w:r>
          </w:p>
        </w:tc>
        <w:tc>
          <w:tcPr>
            <w:tcW w:type="dxa" w:w="966"/>
            <w:tcBorders>
              <w:bottom w:val="single" w:sz="8" w:space="0" w:color="000000"/>
            </w:tcBorders>
          </w:tcPr>
          <w:p>
            <w:pPr>
              <w:spacing w:before="10" w:after="10" w:line="240" w:lineRule="auto"/>
              <w:jc w:val="left"/>
            </w:pPr>
            <w:r>
              <w:rPr>
                <w:rFonts w:asciiTheme="minorHAnsi" w:hAnsiTheme="minorHAnsi" w:cstheme="minorHAnsi"/>
                <w:sz w:val="16"/>
                <w:szCs w:val="16"/>
              </w:rPr>
              <w:t xml:space="preserve">740</w:t>
            </w:r>
          </w:p>
        </w:tc>
        <w:tc>
          <w:tcPr>
            <w:tcW w:type="dxa" w:w="1610"/>
            <w:tcBorders>
              <w:bottom w:val="single" w:sz="8" w:space="0" w:color="000000"/>
            </w:tcBorders>
          </w:tcPr>
          <w:p>
            <w:pPr>
              <w:spacing w:before="10" w:after="10" w:line="240" w:lineRule="auto"/>
              <w:jc w:val="left"/>
            </w:pPr>
            <w:r>
              <w:rPr>
                <w:rFonts w:asciiTheme="minorHAnsi" w:hAnsiTheme="minorHAnsi" w:cstheme="minorHAnsi"/>
                <w:sz w:val="16"/>
                <w:szCs w:val="16"/>
              </w:rPr>
              <w:t xml:space="preserve">−1.83 (−8.7)</w:t>
            </w:r>
          </w:p>
        </w:tc>
        <w:tc>
          <w:tcPr>
            <w:tcW w:type="dxa" w:w="1610"/>
            <w:tcBorders>
              <w:bottom w:val="single" w:sz="8" w:space="0" w:color="000000"/>
            </w:tcBorders>
          </w:tcPr>
          <w:p>
            <w:pPr>
              <w:spacing w:before="10" w:after="10" w:line="240" w:lineRule="auto"/>
              <w:jc w:val="left"/>
            </w:pPr>
            <w:r>
              <w:rPr>
                <w:rFonts w:asciiTheme="minorHAnsi" w:hAnsiTheme="minorHAnsi" w:cstheme="minorHAnsi"/>
                <w:sz w:val="16"/>
                <w:szCs w:val="16"/>
              </w:rPr>
              <w:t xml:space="preserve">0.90 (5.3)</w:t>
            </w:r>
          </w:p>
        </w:tc>
        <w:tc>
          <w:tcPr>
            <w:tcW w:type="dxa" w:w="1825"/>
            <w:tcBorders>
              <w:bottom w:val="single" w:sz="8" w:space="0" w:color="000000"/>
            </w:tcBorders>
          </w:tcPr>
          <w:p>
            <w:pPr>
              <w:spacing w:before="10" w:after="10" w:line="240" w:lineRule="auto"/>
              <w:jc w:val="left"/>
            </w:pPr>
            <w:r>
              <w:rPr>
                <w:rFonts w:asciiTheme="minorHAnsi" w:hAnsiTheme="minorHAnsi" w:cstheme="minorHAnsi"/>
                <w:sz w:val="16"/>
                <w:szCs w:val="16"/>
              </w:rPr>
              <w:t xml:space="preserve">−0.99 (−4.5)</w:t>
            </w:r>
          </w:p>
        </w:tc>
        <w:tc>
          <w:tcPr>
            <w:tcW w:type="dxa" w:w="1610"/>
            <w:tcBorders>
              <w:bottom w:val="single" w:sz="8" w:space="0" w:color="000000"/>
            </w:tcBorders>
          </w:tcPr>
          <w:p>
            <w:pPr>
              <w:spacing w:before="10" w:after="10" w:line="240" w:lineRule="auto"/>
              <w:jc w:val="left"/>
            </w:pPr>
            <w:r>
              <w:rPr>
                <w:rFonts w:asciiTheme="minorHAnsi" w:hAnsiTheme="minorHAnsi" w:cstheme="minorHAnsi"/>
                <w:sz w:val="16"/>
                <w:szCs w:val="16"/>
              </w:rPr>
              <w:t xml:space="preserve">−0.81 (−1.7)</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Percent; two-way-clustered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-statistics in parentheses. Benchmarks are the volume-weighted market (weights lagged to day</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 or same-date controls in the same liquidity tercile. Crash days have a market return below &lt;U+2212&gt;2%. Components compound, so they need not sum.</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3</w:t>
      </w:r>
      <w:r>
        <w:rPr>
          <w:rFonts w:asciiTheme="minorHAnsi" w:eastAsia="Georgia" w:hAnsiTheme="minorHAnsi" w:cstheme="minorHAnsi"/>
          <w:color w:val="000000"/>
          <w:sz w:val="18"/>
          <w:szCs w:val="18"/>
          <w:bdr w:val="nil"/>
          <w:lang w:val="hr-HR" w:eastAsia="es-MX"/>
        </w:rPr>
        <w:t xml:space="preserve"> Limit closes versus near-limit moves</w:t>
      </w:r>
    </w:p>
    <w:tbl>
      <w:tblPr>
        <w:tblW w:type="pct" w:w="5000"/>
        <w:jc w:val="center"/>
        <w:tblLayout w:type="fixed"/>
      </w:tblPr>
      <w:tblGrid>
        <w:gridCol w:w="2588"/>
        <w:gridCol w:w="1522"/>
        <w:gridCol w:w="1522"/>
        <w:gridCol w:w="1725"/>
        <w:gridCol w:w="1522"/>
        <w:gridCol w:w="1319"/>
      </w:tblGrid>
      <w:tr>
        <w:trPr>
          <w:cantSplit/>
          <w:tblHeader w:val="true"/>
        </w:trPr>
        <w:tc>
          <w:tcPr>
            <w:tcW w:type="dxa" w:w="2588"/>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Contrast</w:t>
            </w:r>
          </w:p>
        </w:tc>
        <w:tc>
          <w:tcPr>
            <w:tcW w:type="dxa" w:w="152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Overnight gap</w:t>
            </w:r>
          </w:p>
        </w:tc>
        <w:tc>
          <w:tcPr>
            <w:tcW w:type="dxa" w:w="152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Intraday</w:t>
            </w:r>
          </w:p>
        </w:tc>
        <w:tc>
          <w:tcPr>
            <w:tcW w:type="dxa" w:w="1725"/>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Close-to-close</w:t>
            </w:r>
          </w:p>
        </w:tc>
        <w:tc>
          <w:tcPr>
            <w:tcW w:type="dxa" w:w="152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Open to day</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319"/>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Comparison stock-days</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Ceiling vs 5–6.5% rises</w:t>
            </w:r>
          </w:p>
        </w:tc>
        <w:tc>
          <w:tcPr>
            <w:tcW w:type="dxa" w:w="1522"/>
            <w:tcBorders/>
          </w:tcPr>
          <w:p>
            <w:pPr>
              <w:keepNext/>
              <w:spacing w:before="10" w:after="10" w:line="240" w:lineRule="auto"/>
              <w:jc w:val="left"/>
            </w:pPr>
            <w:r>
              <w:rPr>
                <w:rFonts w:asciiTheme="minorHAnsi" w:hAnsiTheme="minorHAnsi" w:cstheme="minorHAnsi"/>
                <w:sz w:val="16"/>
                <w:szCs w:val="16"/>
              </w:rPr>
              <w:t xml:space="preserve">2.66 (14.0)</w:t>
            </w:r>
          </w:p>
        </w:tc>
        <w:tc>
          <w:tcPr>
            <w:tcW w:type="dxa" w:w="1522"/>
            <w:tcBorders/>
          </w:tcPr>
          <w:p>
            <w:pPr>
              <w:keepNext/>
              <w:spacing w:before="10" w:after="10" w:line="240" w:lineRule="auto"/>
              <w:jc w:val="left"/>
            </w:pPr>
            <w:r>
              <w:rPr>
                <w:rFonts w:asciiTheme="minorHAnsi" w:hAnsiTheme="minorHAnsi" w:cstheme="minorHAnsi"/>
                <w:sz w:val="16"/>
                <w:szCs w:val="16"/>
              </w:rPr>
              <w:t xml:space="preserve">−0.31 (−2.1)</w:t>
            </w:r>
          </w:p>
        </w:tc>
        <w:tc>
          <w:tcPr>
            <w:tcW w:type="dxa" w:w="1725"/>
            <w:tcBorders/>
          </w:tcPr>
          <w:p>
            <w:pPr>
              <w:keepNext/>
              <w:spacing w:before="10" w:after="10" w:line="240" w:lineRule="auto"/>
              <w:jc w:val="left"/>
            </w:pPr>
            <w:r>
              <w:rPr>
                <w:rFonts w:asciiTheme="minorHAnsi" w:hAnsiTheme="minorHAnsi" w:cstheme="minorHAnsi"/>
                <w:sz w:val="16"/>
                <w:szCs w:val="16"/>
              </w:rPr>
              <w:t xml:space="preserve">2.32 (7.6)</w:t>
            </w:r>
          </w:p>
        </w:tc>
        <w:tc>
          <w:tcPr>
            <w:tcW w:type="dxa" w:w="1522"/>
            <w:tcBorders/>
          </w:tcPr>
          <w:p>
            <w:pPr>
              <w:keepNext/>
              <w:spacing w:before="10" w:after="10" w:line="240" w:lineRule="auto"/>
              <w:jc w:val="left"/>
            </w:pPr>
            <w:r>
              <w:rPr>
                <w:rFonts w:asciiTheme="minorHAnsi" w:hAnsiTheme="minorHAnsi" w:cstheme="minorHAnsi"/>
                <w:sz w:val="16"/>
                <w:szCs w:val="16"/>
              </w:rPr>
              <w:t xml:space="preserve">−0.02 (−0.1)</w:t>
            </w:r>
          </w:p>
        </w:tc>
        <w:tc>
          <w:tcPr>
            <w:tcW w:type="dxa" w:w="1319"/>
            <w:tcBorders/>
          </w:tcPr>
          <w:p>
            <w:pPr>
              <w:keepNext/>
              <w:spacing w:before="10" w:after="10" w:line="240" w:lineRule="auto"/>
              <w:jc w:val="left"/>
            </w:pPr>
            <w:r>
              <w:rPr>
                <w:rFonts w:asciiTheme="minorHAnsi" w:hAnsiTheme="minorHAnsi" w:cstheme="minorHAnsi"/>
                <w:sz w:val="16"/>
                <w:szCs w:val="16"/>
              </w:rPr>
              <w:t xml:space="preserve">1,751</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same, comparison closes at its high</w:t>
            </w:r>
          </w:p>
        </w:tc>
        <w:tc>
          <w:tcPr>
            <w:tcW w:type="dxa" w:w="1522"/>
            <w:tcBorders/>
          </w:tcPr>
          <w:p>
            <w:pPr>
              <w:keepNext/>
              <w:spacing w:before="10" w:after="10" w:line="240" w:lineRule="auto"/>
              <w:jc w:val="left"/>
            </w:pPr>
            <w:r>
              <w:rPr>
                <w:rFonts w:asciiTheme="minorHAnsi" w:hAnsiTheme="minorHAnsi" w:cstheme="minorHAnsi"/>
                <w:sz w:val="16"/>
                <w:szCs w:val="16"/>
              </w:rPr>
              <w:t xml:space="preserve">3.14 (14.5)</w:t>
            </w:r>
          </w:p>
        </w:tc>
        <w:tc>
          <w:tcPr>
            <w:tcW w:type="dxa" w:w="1522"/>
            <w:tcBorders/>
          </w:tcPr>
          <w:p>
            <w:pPr>
              <w:keepNext/>
              <w:spacing w:before="10" w:after="10" w:line="240" w:lineRule="auto"/>
              <w:jc w:val="left"/>
            </w:pPr>
            <w:r>
              <w:rPr>
                <w:rFonts w:asciiTheme="minorHAnsi" w:hAnsiTheme="minorHAnsi" w:cstheme="minorHAnsi"/>
                <w:sz w:val="16"/>
                <w:szCs w:val="16"/>
              </w:rPr>
              <w:t xml:space="preserve">−0.66 (−3.4)</w:t>
            </w:r>
          </w:p>
        </w:tc>
        <w:tc>
          <w:tcPr>
            <w:tcW w:type="dxa" w:w="1725"/>
            <w:tcBorders/>
          </w:tcPr>
          <w:p>
            <w:pPr>
              <w:keepNext/>
              <w:spacing w:before="10" w:after="10" w:line="240" w:lineRule="auto"/>
              <w:jc w:val="left"/>
            </w:pPr>
            <w:r>
              <w:rPr>
                <w:rFonts w:asciiTheme="minorHAnsi" w:hAnsiTheme="minorHAnsi" w:cstheme="minorHAnsi"/>
                <w:sz w:val="16"/>
                <w:szCs w:val="16"/>
              </w:rPr>
              <w:t xml:space="preserve">2.47 (7.2)</w:t>
            </w:r>
          </w:p>
        </w:tc>
        <w:tc>
          <w:tcPr>
            <w:tcW w:type="dxa" w:w="1522"/>
            <w:tcBorders/>
          </w:tcPr>
          <w:p>
            <w:pPr>
              <w:keepNext/>
              <w:spacing w:before="10" w:after="10" w:line="240" w:lineRule="auto"/>
              <w:jc w:val="left"/>
            </w:pPr>
            <w:r>
              <w:rPr>
                <w:rFonts w:asciiTheme="minorHAnsi" w:hAnsiTheme="minorHAnsi" w:cstheme="minorHAnsi"/>
                <w:sz w:val="16"/>
                <w:szCs w:val="16"/>
              </w:rPr>
              <w:t xml:space="preserve">−0.49 (−1.5)</w:t>
            </w:r>
          </w:p>
        </w:tc>
        <w:tc>
          <w:tcPr>
            <w:tcW w:type="dxa" w:w="1319"/>
            <w:tcBorders/>
          </w:tcPr>
          <w:p>
            <w:pPr>
              <w:keepNext/>
              <w:spacing w:before="10" w:after="10" w:line="240" w:lineRule="auto"/>
              <w:jc w:val="left"/>
            </w:pPr>
            <w:r>
              <w:rPr>
                <w:rFonts w:asciiTheme="minorHAnsi" w:hAnsiTheme="minorHAnsi" w:cstheme="minorHAnsi"/>
                <w:sz w:val="16"/>
                <w:szCs w:val="16"/>
              </w:rPr>
              <w:t xml:space="preserve">679</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Ceiling vs 3–5% rises</w:t>
            </w:r>
          </w:p>
        </w:tc>
        <w:tc>
          <w:tcPr>
            <w:tcW w:type="dxa" w:w="1522"/>
            <w:tcBorders/>
          </w:tcPr>
          <w:p>
            <w:pPr>
              <w:keepNext/>
              <w:spacing w:before="10" w:after="10" w:line="240" w:lineRule="auto"/>
              <w:jc w:val="left"/>
            </w:pPr>
            <w:r>
              <w:rPr>
                <w:rFonts w:asciiTheme="minorHAnsi" w:hAnsiTheme="minorHAnsi" w:cstheme="minorHAnsi"/>
                <w:sz w:val="16"/>
                <w:szCs w:val="16"/>
              </w:rPr>
              <w:t xml:space="preserve">2.40 (11.6)</w:t>
            </w:r>
          </w:p>
        </w:tc>
        <w:tc>
          <w:tcPr>
            <w:tcW w:type="dxa" w:w="1522"/>
            <w:tcBorders/>
          </w:tcPr>
          <w:p>
            <w:pPr>
              <w:keepNext/>
              <w:spacing w:before="10" w:after="10" w:line="240" w:lineRule="auto"/>
              <w:jc w:val="left"/>
            </w:pPr>
            <w:r>
              <w:rPr>
                <w:rFonts w:asciiTheme="minorHAnsi" w:hAnsiTheme="minorHAnsi" w:cstheme="minorHAnsi"/>
                <w:sz w:val="16"/>
                <w:szCs w:val="16"/>
              </w:rPr>
              <w:t xml:space="preserve">−0.32 (−2.2)</w:t>
            </w:r>
          </w:p>
        </w:tc>
        <w:tc>
          <w:tcPr>
            <w:tcW w:type="dxa" w:w="1725"/>
            <w:tcBorders/>
          </w:tcPr>
          <w:p>
            <w:pPr>
              <w:keepNext/>
              <w:spacing w:before="10" w:after="10" w:line="240" w:lineRule="auto"/>
              <w:jc w:val="left"/>
            </w:pPr>
            <w:r>
              <w:rPr>
                <w:rFonts w:asciiTheme="minorHAnsi" w:hAnsiTheme="minorHAnsi" w:cstheme="minorHAnsi"/>
                <w:sz w:val="16"/>
                <w:szCs w:val="16"/>
              </w:rPr>
              <w:t xml:space="preserve">2.05 (6.1)</w:t>
            </w:r>
          </w:p>
        </w:tc>
        <w:tc>
          <w:tcPr>
            <w:tcW w:type="dxa" w:w="1522"/>
            <w:tcBorders/>
          </w:tcPr>
          <w:p>
            <w:pPr>
              <w:keepNext/>
              <w:spacing w:before="10" w:after="10" w:line="240" w:lineRule="auto"/>
              <w:jc w:val="left"/>
            </w:pPr>
            <w:r>
              <w:rPr>
                <w:rFonts w:asciiTheme="minorHAnsi" w:hAnsiTheme="minorHAnsi" w:cstheme="minorHAnsi"/>
                <w:sz w:val="16"/>
                <w:szCs w:val="16"/>
              </w:rPr>
              <w:t xml:space="preserve">−0.45 (−2.2)</w:t>
            </w:r>
          </w:p>
        </w:tc>
        <w:tc>
          <w:tcPr>
            <w:tcW w:type="dxa" w:w="1319"/>
            <w:tcBorders/>
          </w:tcPr>
          <w:p>
            <w:pPr>
              <w:keepNext/>
              <w:spacing w:before="10" w:after="10" w:line="240" w:lineRule="auto"/>
              <w:jc w:val="left"/>
            </w:pPr>
            <w:r>
              <w:rPr>
                <w:rFonts w:asciiTheme="minorHAnsi" w:hAnsiTheme="minorHAnsi" w:cstheme="minorHAnsi"/>
                <w:sz w:val="16"/>
                <w:szCs w:val="16"/>
              </w:rPr>
              <w:t xml:space="preserve">5,932</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same, comparison closes at its high</w:t>
            </w:r>
          </w:p>
        </w:tc>
        <w:tc>
          <w:tcPr>
            <w:tcW w:type="dxa" w:w="1522"/>
            <w:tcBorders/>
          </w:tcPr>
          <w:p>
            <w:pPr>
              <w:keepNext/>
              <w:spacing w:before="10" w:after="10" w:line="240" w:lineRule="auto"/>
              <w:jc w:val="left"/>
            </w:pPr>
            <w:r>
              <w:rPr>
                <w:rFonts w:asciiTheme="minorHAnsi" w:hAnsiTheme="minorHAnsi" w:cstheme="minorHAnsi"/>
                <w:sz w:val="16"/>
                <w:szCs w:val="16"/>
              </w:rPr>
              <w:t xml:space="preserve">2.81 (13.1)</w:t>
            </w:r>
          </w:p>
        </w:tc>
        <w:tc>
          <w:tcPr>
            <w:tcW w:type="dxa" w:w="1522"/>
            <w:tcBorders/>
          </w:tcPr>
          <w:p>
            <w:pPr>
              <w:keepNext/>
              <w:spacing w:before="10" w:after="10" w:line="240" w:lineRule="auto"/>
              <w:jc w:val="left"/>
            </w:pPr>
            <w:r>
              <w:rPr>
                <w:rFonts w:asciiTheme="minorHAnsi" w:hAnsiTheme="minorHAnsi" w:cstheme="minorHAnsi"/>
                <w:sz w:val="16"/>
                <w:szCs w:val="16"/>
              </w:rPr>
              <w:t xml:space="preserve">−0.61 (−3.8)</w:t>
            </w:r>
          </w:p>
        </w:tc>
        <w:tc>
          <w:tcPr>
            <w:tcW w:type="dxa" w:w="1725"/>
            <w:tcBorders/>
          </w:tcPr>
          <w:p>
            <w:pPr>
              <w:keepNext/>
              <w:spacing w:before="10" w:after="10" w:line="240" w:lineRule="auto"/>
              <w:jc w:val="left"/>
            </w:pPr>
            <w:r>
              <w:rPr>
                <w:rFonts w:asciiTheme="minorHAnsi" w:hAnsiTheme="minorHAnsi" w:cstheme="minorHAnsi"/>
                <w:sz w:val="16"/>
                <w:szCs w:val="16"/>
              </w:rPr>
              <w:t xml:space="preserve">2.17 (6.4)</w:t>
            </w:r>
          </w:p>
        </w:tc>
        <w:tc>
          <w:tcPr>
            <w:tcW w:type="dxa" w:w="1522"/>
            <w:tcBorders/>
          </w:tcPr>
          <w:p>
            <w:pPr>
              <w:keepNext/>
              <w:spacing w:before="10" w:after="10" w:line="240" w:lineRule="auto"/>
              <w:jc w:val="left"/>
            </w:pPr>
            <w:r>
              <w:rPr>
                <w:rFonts w:asciiTheme="minorHAnsi" w:hAnsiTheme="minorHAnsi" w:cstheme="minorHAnsi"/>
                <w:sz w:val="16"/>
                <w:szCs w:val="16"/>
              </w:rPr>
              <w:t xml:space="preserve">−0.64 (−2.7)</w:t>
            </w:r>
          </w:p>
        </w:tc>
        <w:tc>
          <w:tcPr>
            <w:tcW w:type="dxa" w:w="1319"/>
            <w:tcBorders/>
          </w:tcPr>
          <w:p>
            <w:pPr>
              <w:keepNext/>
              <w:spacing w:before="10" w:after="10" w:line="240" w:lineRule="auto"/>
              <w:jc w:val="left"/>
            </w:pPr>
            <w:r>
              <w:rPr>
                <w:rFonts w:asciiTheme="minorHAnsi" w:hAnsiTheme="minorHAnsi" w:cstheme="minorHAnsi"/>
                <w:sz w:val="16"/>
                <w:szCs w:val="16"/>
              </w:rPr>
              <w:t xml:space="preserve">1,795</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Floor vs 5–6.5% falls</w:t>
            </w:r>
          </w:p>
        </w:tc>
        <w:tc>
          <w:tcPr>
            <w:tcW w:type="dxa" w:w="1522"/>
            <w:tcBorders/>
          </w:tcPr>
          <w:p>
            <w:pPr>
              <w:keepNext/>
              <w:spacing w:before="10" w:after="10" w:line="240" w:lineRule="auto"/>
              <w:jc w:val="left"/>
            </w:pPr>
            <w:r>
              <w:rPr>
                <w:rFonts w:asciiTheme="minorHAnsi" w:hAnsiTheme="minorHAnsi" w:cstheme="minorHAnsi"/>
                <w:sz w:val="16"/>
                <w:szCs w:val="16"/>
              </w:rPr>
              <w:t xml:space="preserve">−1.59 (−9.7)</w:t>
            </w:r>
          </w:p>
        </w:tc>
        <w:tc>
          <w:tcPr>
            <w:tcW w:type="dxa" w:w="1522"/>
            <w:tcBorders/>
          </w:tcPr>
          <w:p>
            <w:pPr>
              <w:keepNext/>
              <w:spacing w:before="10" w:after="10" w:line="240" w:lineRule="auto"/>
              <w:jc w:val="left"/>
            </w:pPr>
            <w:r>
              <w:rPr>
                <w:rFonts w:asciiTheme="minorHAnsi" w:hAnsiTheme="minorHAnsi" w:cstheme="minorHAnsi"/>
                <w:sz w:val="16"/>
                <w:szCs w:val="16"/>
              </w:rPr>
              <w:t xml:space="preserve">−0.07 (−0.3)</w:t>
            </w:r>
          </w:p>
        </w:tc>
        <w:tc>
          <w:tcPr>
            <w:tcW w:type="dxa" w:w="1725"/>
            <w:tcBorders/>
          </w:tcPr>
          <w:p>
            <w:pPr>
              <w:keepNext/>
              <w:spacing w:before="10" w:after="10" w:line="240" w:lineRule="auto"/>
              <w:jc w:val="left"/>
            </w:pPr>
            <w:r>
              <w:rPr>
                <w:rFonts w:asciiTheme="minorHAnsi" w:hAnsiTheme="minorHAnsi" w:cstheme="minorHAnsi"/>
                <w:sz w:val="16"/>
                <w:szCs w:val="16"/>
              </w:rPr>
              <w:t xml:space="preserve">−1.66 (−11.6)</w:t>
            </w:r>
          </w:p>
        </w:tc>
        <w:tc>
          <w:tcPr>
            <w:tcW w:type="dxa" w:w="1522"/>
            <w:tcBorders/>
          </w:tcPr>
          <w:p>
            <w:pPr>
              <w:keepNext/>
              <w:spacing w:before="10" w:after="10" w:line="240" w:lineRule="auto"/>
              <w:jc w:val="left"/>
            </w:pPr>
            <w:r>
              <w:rPr>
                <w:rFonts w:asciiTheme="minorHAnsi" w:hAnsiTheme="minorHAnsi" w:cstheme="minorHAnsi"/>
                <w:sz w:val="16"/>
                <w:szCs w:val="16"/>
              </w:rPr>
              <w:t xml:space="preserve">−1.01 (−2.6)</w:t>
            </w:r>
          </w:p>
        </w:tc>
        <w:tc>
          <w:tcPr>
            <w:tcW w:type="dxa" w:w="1319"/>
            <w:tcBorders/>
          </w:tcPr>
          <w:p>
            <w:pPr>
              <w:keepNext/>
              <w:spacing w:before="10" w:after="10" w:line="240" w:lineRule="auto"/>
              <w:jc w:val="left"/>
            </w:pPr>
            <w:r>
              <w:rPr>
                <w:rFonts w:asciiTheme="minorHAnsi" w:hAnsiTheme="minorHAnsi" w:cstheme="minorHAnsi"/>
                <w:sz w:val="16"/>
                <w:szCs w:val="16"/>
              </w:rPr>
              <w:t xml:space="preserve">1,522</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same, comparison closes at its low</w:t>
            </w:r>
          </w:p>
        </w:tc>
        <w:tc>
          <w:tcPr>
            <w:tcW w:type="dxa" w:w="1522"/>
            <w:tcBorders/>
          </w:tcPr>
          <w:p>
            <w:pPr>
              <w:keepNext/>
              <w:spacing w:before="10" w:after="10" w:line="240" w:lineRule="auto"/>
              <w:jc w:val="left"/>
            </w:pPr>
            <w:r>
              <w:rPr>
                <w:rFonts w:asciiTheme="minorHAnsi" w:hAnsiTheme="minorHAnsi" w:cstheme="minorHAnsi"/>
                <w:sz w:val="16"/>
                <w:szCs w:val="16"/>
              </w:rPr>
              <w:t xml:space="preserve">−1.81 (−8.7)</w:t>
            </w:r>
          </w:p>
        </w:tc>
        <w:tc>
          <w:tcPr>
            <w:tcW w:type="dxa" w:w="1522"/>
            <w:tcBorders/>
          </w:tcPr>
          <w:p>
            <w:pPr>
              <w:keepNext/>
              <w:spacing w:before="10" w:after="10" w:line="240" w:lineRule="auto"/>
              <w:jc w:val="left"/>
            </w:pPr>
            <w:r>
              <w:rPr>
                <w:rFonts w:asciiTheme="minorHAnsi" w:hAnsiTheme="minorHAnsi" w:cstheme="minorHAnsi"/>
                <w:sz w:val="16"/>
                <w:szCs w:val="16"/>
              </w:rPr>
              <w:t xml:space="preserve">−0.13 (−0.6)</w:t>
            </w:r>
          </w:p>
        </w:tc>
        <w:tc>
          <w:tcPr>
            <w:tcW w:type="dxa" w:w="1725"/>
            <w:tcBorders/>
          </w:tcPr>
          <w:p>
            <w:pPr>
              <w:keepNext/>
              <w:spacing w:before="10" w:after="10" w:line="240" w:lineRule="auto"/>
              <w:jc w:val="left"/>
            </w:pPr>
            <w:r>
              <w:rPr>
                <w:rFonts w:asciiTheme="minorHAnsi" w:hAnsiTheme="minorHAnsi" w:cstheme="minorHAnsi"/>
                <w:sz w:val="16"/>
                <w:szCs w:val="16"/>
              </w:rPr>
              <w:t xml:space="preserve">−1.95 (−10.7)</w:t>
            </w:r>
          </w:p>
        </w:tc>
        <w:tc>
          <w:tcPr>
            <w:tcW w:type="dxa" w:w="1522"/>
            <w:tcBorders/>
          </w:tcPr>
          <w:p>
            <w:pPr>
              <w:keepNext/>
              <w:spacing w:before="10" w:after="10" w:line="240" w:lineRule="auto"/>
              <w:jc w:val="left"/>
            </w:pPr>
            <w:r>
              <w:rPr>
                <w:rFonts w:asciiTheme="minorHAnsi" w:hAnsiTheme="minorHAnsi" w:cstheme="minorHAnsi"/>
                <w:sz w:val="16"/>
                <w:szCs w:val="16"/>
              </w:rPr>
              <w:t xml:space="preserve">−1.23 (−2.8)</w:t>
            </w:r>
          </w:p>
        </w:tc>
        <w:tc>
          <w:tcPr>
            <w:tcW w:type="dxa" w:w="1319"/>
            <w:tcBorders/>
          </w:tcPr>
          <w:p>
            <w:pPr>
              <w:keepNext/>
              <w:spacing w:before="10" w:after="10" w:line="240" w:lineRule="auto"/>
              <w:jc w:val="left"/>
            </w:pPr>
            <w:r>
              <w:rPr>
                <w:rFonts w:asciiTheme="minorHAnsi" w:hAnsiTheme="minorHAnsi" w:cstheme="minorHAnsi"/>
                <w:sz w:val="16"/>
                <w:szCs w:val="16"/>
              </w:rPr>
              <w:t xml:space="preserve">722</w:t>
            </w:r>
          </w:p>
        </w:tc>
      </w:tr>
      <w:tr>
        <w:trPr>
          <w:cantSplit/>
        </w:trPr>
        <w:tc>
          <w:tcPr>
            <w:tcW w:type="dxa" w:w="2588"/>
            <w:tcBorders/>
          </w:tcPr>
          <w:p>
            <w:pPr>
              <w:keepNext/>
              <w:spacing w:before="10" w:after="10" w:line="240" w:lineRule="auto"/>
              <w:jc w:val="left"/>
            </w:pPr>
            <w:r>
              <w:rPr>
                <w:rFonts w:asciiTheme="minorHAnsi" w:hAnsiTheme="minorHAnsi" w:cstheme="minorHAnsi"/>
                <w:sz w:val="16"/>
                <w:szCs w:val="16"/>
              </w:rPr>
              <w:t xml:space="preserve">Floor vs 3–5% falls</w:t>
            </w:r>
          </w:p>
        </w:tc>
        <w:tc>
          <w:tcPr>
            <w:tcW w:type="dxa" w:w="1522"/>
            <w:tcBorders/>
          </w:tcPr>
          <w:p>
            <w:pPr>
              <w:keepNext/>
              <w:spacing w:before="10" w:after="10" w:line="240" w:lineRule="auto"/>
              <w:jc w:val="left"/>
            </w:pPr>
            <w:r>
              <w:rPr>
                <w:rFonts w:asciiTheme="minorHAnsi" w:hAnsiTheme="minorHAnsi" w:cstheme="minorHAnsi"/>
                <w:sz w:val="16"/>
                <w:szCs w:val="16"/>
              </w:rPr>
              <w:t xml:space="preserve">−1.14 (−6.4)</w:t>
            </w:r>
          </w:p>
        </w:tc>
        <w:tc>
          <w:tcPr>
            <w:tcW w:type="dxa" w:w="1522"/>
            <w:tcBorders/>
          </w:tcPr>
          <w:p>
            <w:pPr>
              <w:keepNext/>
              <w:spacing w:before="10" w:after="10" w:line="240" w:lineRule="auto"/>
              <w:jc w:val="left"/>
            </w:pPr>
            <w:r>
              <w:rPr>
                <w:rFonts w:asciiTheme="minorHAnsi" w:hAnsiTheme="minorHAnsi" w:cstheme="minorHAnsi"/>
                <w:sz w:val="16"/>
                <w:szCs w:val="16"/>
              </w:rPr>
              <w:t xml:space="preserve">0.14 (0.6)</w:t>
            </w:r>
          </w:p>
        </w:tc>
        <w:tc>
          <w:tcPr>
            <w:tcW w:type="dxa" w:w="1725"/>
            <w:tcBorders/>
          </w:tcPr>
          <w:p>
            <w:pPr>
              <w:keepNext/>
              <w:spacing w:before="10" w:after="10" w:line="240" w:lineRule="auto"/>
              <w:jc w:val="left"/>
            </w:pPr>
            <w:r>
              <w:rPr>
                <w:rFonts w:asciiTheme="minorHAnsi" w:hAnsiTheme="minorHAnsi" w:cstheme="minorHAnsi"/>
                <w:sz w:val="16"/>
                <w:szCs w:val="16"/>
              </w:rPr>
              <w:t xml:space="preserve">−1.01 (−7.5)</w:t>
            </w:r>
          </w:p>
        </w:tc>
        <w:tc>
          <w:tcPr>
            <w:tcW w:type="dxa" w:w="1522"/>
            <w:tcBorders/>
          </w:tcPr>
          <w:p>
            <w:pPr>
              <w:keepNext/>
              <w:spacing w:before="10" w:after="10" w:line="240" w:lineRule="auto"/>
              <w:jc w:val="left"/>
            </w:pPr>
            <w:r>
              <w:rPr>
                <w:rFonts w:asciiTheme="minorHAnsi" w:hAnsiTheme="minorHAnsi" w:cstheme="minorHAnsi"/>
                <w:sz w:val="16"/>
                <w:szCs w:val="16"/>
              </w:rPr>
              <w:t xml:space="preserve">−0.90 (−2.2)</w:t>
            </w:r>
          </w:p>
        </w:tc>
        <w:tc>
          <w:tcPr>
            <w:tcW w:type="dxa" w:w="1319"/>
            <w:tcBorders/>
          </w:tcPr>
          <w:p>
            <w:pPr>
              <w:keepNext/>
              <w:spacing w:before="10" w:after="10" w:line="240" w:lineRule="auto"/>
              <w:jc w:val="left"/>
            </w:pPr>
            <w:r>
              <w:rPr>
                <w:rFonts w:asciiTheme="minorHAnsi" w:hAnsiTheme="minorHAnsi" w:cstheme="minorHAnsi"/>
                <w:sz w:val="16"/>
                <w:szCs w:val="16"/>
              </w:rPr>
              <w:t xml:space="preserve">5,237</w:t>
            </w:r>
          </w:p>
        </w:tc>
      </w:tr>
      <w:tr>
        <w:trPr>
          <w:cantSplit/>
        </w:trPr>
        <w:tc>
          <w:tcPr>
            <w:tcW w:type="dxa" w:w="2588"/>
            <w:tcBorders>
              <w:bottom w:val="single" w:sz="8" w:space="0" w:color="000000"/>
            </w:tcBorders>
          </w:tcPr>
          <w:p>
            <w:pPr>
              <w:spacing w:before="10" w:after="10" w:line="240" w:lineRule="auto"/>
              <w:jc w:val="left"/>
            </w:pPr>
            <w:r>
              <w:rPr>
                <w:rFonts w:asciiTheme="minorHAnsi" w:hAnsiTheme="minorHAnsi" w:cstheme="minorHAnsi"/>
                <w:sz w:val="16"/>
                <w:szCs w:val="16"/>
              </w:rPr>
              <w:t xml:space="preserve">same, comparison closes at its low</w:t>
            </w:r>
          </w:p>
        </w:tc>
        <w:tc>
          <w:tcPr>
            <w:tcW w:type="dxa" w:w="1522"/>
            <w:tcBorders>
              <w:bottom w:val="single" w:sz="8" w:space="0" w:color="000000"/>
            </w:tcBorders>
          </w:tcPr>
          <w:p>
            <w:pPr>
              <w:spacing w:before="10" w:after="10" w:line="240" w:lineRule="auto"/>
              <w:jc w:val="left"/>
            </w:pPr>
            <w:r>
              <w:rPr>
                <w:rFonts w:asciiTheme="minorHAnsi" w:hAnsiTheme="minorHAnsi" w:cstheme="minorHAnsi"/>
                <w:sz w:val="16"/>
                <w:szCs w:val="16"/>
              </w:rPr>
              <w:t xml:space="preserve">−1.35 (−7.4)</w:t>
            </w:r>
          </w:p>
        </w:tc>
        <w:tc>
          <w:tcPr>
            <w:tcW w:type="dxa" w:w="1522"/>
            <w:tcBorders>
              <w:bottom w:val="single" w:sz="8" w:space="0" w:color="000000"/>
            </w:tcBorders>
          </w:tcPr>
          <w:p>
            <w:pPr>
              <w:spacing w:before="10" w:after="10" w:line="240" w:lineRule="auto"/>
              <w:jc w:val="left"/>
            </w:pPr>
            <w:r>
              <w:rPr>
                <w:rFonts w:asciiTheme="minorHAnsi" w:hAnsiTheme="minorHAnsi" w:cstheme="minorHAnsi"/>
                <w:sz w:val="16"/>
                <w:szCs w:val="16"/>
              </w:rPr>
              <w:t xml:space="preserve">0.18 (0.8)</w:t>
            </w:r>
          </w:p>
        </w:tc>
        <w:tc>
          <w:tcPr>
            <w:tcW w:type="dxa" w:w="1725"/>
            <w:tcBorders>
              <w:bottom w:val="single" w:sz="8" w:space="0" w:color="000000"/>
            </w:tcBorders>
          </w:tcPr>
          <w:p>
            <w:pPr>
              <w:spacing w:before="10" w:after="10" w:line="240" w:lineRule="auto"/>
              <w:jc w:val="left"/>
            </w:pPr>
            <w:r>
              <w:rPr>
                <w:rFonts w:asciiTheme="minorHAnsi" w:hAnsiTheme="minorHAnsi" w:cstheme="minorHAnsi"/>
                <w:sz w:val="16"/>
                <w:szCs w:val="16"/>
              </w:rPr>
              <w:t xml:space="preserve">−1.19 (−8.0)</w:t>
            </w:r>
          </w:p>
        </w:tc>
        <w:tc>
          <w:tcPr>
            <w:tcW w:type="dxa" w:w="1522"/>
            <w:tcBorders>
              <w:bottom w:val="single" w:sz="8" w:space="0" w:color="000000"/>
            </w:tcBorders>
          </w:tcPr>
          <w:p>
            <w:pPr>
              <w:spacing w:before="10" w:after="10" w:line="240" w:lineRule="auto"/>
              <w:jc w:val="left"/>
            </w:pPr>
            <w:r>
              <w:rPr>
                <w:rFonts w:asciiTheme="minorHAnsi" w:hAnsiTheme="minorHAnsi" w:cstheme="minorHAnsi"/>
                <w:sz w:val="16"/>
                <w:szCs w:val="16"/>
              </w:rPr>
              <w:t xml:space="preserve">−1.06 (−2.5)</w:t>
            </w:r>
          </w:p>
        </w:tc>
        <w:tc>
          <w:tcPr>
            <w:tcW w:type="dxa" w:w="1319"/>
            <w:tcBorders>
              <w:bottom w:val="single" w:sz="8" w:space="0" w:color="000000"/>
            </w:tcBorders>
          </w:tcPr>
          <w:p>
            <w:pPr>
              <w:spacing w:before="10" w:after="10" w:line="240" w:lineRule="auto"/>
              <w:jc w:val="left"/>
            </w:pPr>
            <w:r>
              <w:rPr>
                <w:rFonts w:asciiTheme="minorHAnsi" w:hAnsiTheme="minorHAnsi" w:cstheme="minorHAnsi"/>
                <w:sz w:val="16"/>
                <w:szCs w:val="16"/>
              </w:rPr>
              <w:t xml:space="preserve">2,228</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Differences in percentage points from same-direction moves of 3&lt;U+2013&gt;5% or 5&lt;U+2013&gt;6.5% that did not close at the limit; market-adjusted returns; date-clustered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-statistics in parentheses.</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4</w:t>
      </w:r>
      <w:r>
        <w:rPr>
          <w:rFonts w:asciiTheme="minorHAnsi" w:eastAsia="Georgia" w:hAnsiTheme="minorHAnsi" w:cstheme="minorHAnsi"/>
          <w:color w:val="000000"/>
          <w:sz w:val="18"/>
          <w:szCs w:val="18"/>
          <w:bdr w:val="nil"/>
          <w:lang w:val="hr-HR" w:eastAsia="es-MX"/>
        </w:rPr>
        <w:t xml:space="preserve"> Returns before and after the KRX platform change of 5 May 2025</w:t>
      </w:r>
    </w:p>
    <w:tbl>
      <w:tblPr>
        <w:tblW w:type="pct" w:w="5000"/>
        <w:jc w:val="center"/>
        <w:tblLayout w:type="fixed"/>
      </w:tblPr>
      <w:tblGrid>
        <w:gridCol w:w="1243"/>
        <w:gridCol w:w="2114"/>
        <w:gridCol w:w="1865"/>
        <w:gridCol w:w="1865"/>
        <w:gridCol w:w="1865"/>
        <w:gridCol w:w="1243"/>
      </w:tblGrid>
      <w:tr>
        <w:trPr>
          <w:cantSplit/>
          <w:tblHeader w:val="true"/>
        </w:trPr>
        <w:tc>
          <w:tcPr>
            <w:tcW w:type="dxa" w:w="1243"/>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Event</w:t>
            </w:r>
          </w:p>
        </w:tc>
        <w:tc>
          <w:tcPr>
            <w:tcW w:type="dxa" w:w="2114"/>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Outcome</w:t>
            </w:r>
          </w:p>
        </w:tc>
        <w:tc>
          <w:tcPr>
            <w:tcW w:type="dxa" w:w="1865"/>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Before the change</w:t>
            </w:r>
          </w:p>
        </w:tc>
        <w:tc>
          <w:tcPr>
            <w:tcW w:type="dxa" w:w="1865"/>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After the change</w:t>
            </w:r>
          </w:p>
        </w:tc>
        <w:tc>
          <w:tcPr>
            <w:tcW w:type="dxa" w:w="1865"/>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Difference</w:t>
            </w:r>
          </w:p>
        </w:tc>
        <w:tc>
          <w:tcPr>
            <w:tcW w:type="dxa" w:w="1243"/>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Events (before / after)</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Ceiling</w:t>
            </w:r>
          </w:p>
        </w:tc>
        <w:tc>
          <w:tcPr>
            <w:tcW w:type="dxa" w:w="2114"/>
            <w:tcBorders/>
          </w:tcPr>
          <w:p>
            <w:pPr>
              <w:keepNext/>
              <w:spacing w:before="10" w:after="10" w:line="240" w:lineRule="auto"/>
              <w:jc w:val="left"/>
            </w:pPr>
            <w:r>
              <w:rPr>
                <w:rFonts w:asciiTheme="minorHAnsi" w:hAnsiTheme="minorHAnsi" w:cstheme="minorHAnsi"/>
                <w:sz w:val="16"/>
                <w:szCs w:val="16"/>
              </w:rPr>
              <w:t xml:space="preserve">Overnight gap</w:t>
            </w:r>
          </w:p>
        </w:tc>
        <w:tc>
          <w:tcPr>
            <w:tcW w:type="dxa" w:w="1865"/>
            <w:tcBorders/>
          </w:tcPr>
          <w:p>
            <w:pPr>
              <w:keepNext/>
              <w:spacing w:before="10" w:after="10" w:line="240" w:lineRule="auto"/>
              <w:jc w:val="left"/>
            </w:pPr>
            <w:r>
              <w:rPr>
                <w:rFonts w:asciiTheme="minorHAnsi" w:hAnsiTheme="minorHAnsi" w:cstheme="minorHAnsi"/>
                <w:sz w:val="16"/>
                <w:szCs w:val="16"/>
              </w:rPr>
              <w:t xml:space="preserve">1.65 (3.2)</w:t>
            </w:r>
          </w:p>
        </w:tc>
        <w:tc>
          <w:tcPr>
            <w:tcW w:type="dxa" w:w="1865"/>
            <w:tcBorders/>
          </w:tcPr>
          <w:p>
            <w:pPr>
              <w:keepNext/>
              <w:spacing w:before="10" w:after="10" w:line="240" w:lineRule="auto"/>
              <w:jc w:val="left"/>
            </w:pPr>
            <w:r>
              <w:rPr>
                <w:rFonts w:asciiTheme="minorHAnsi" w:hAnsiTheme="minorHAnsi" w:cstheme="minorHAnsi"/>
                <w:sz w:val="16"/>
                <w:szCs w:val="16"/>
              </w:rPr>
              <w:t xml:space="preserve">2.49 (17.9)</w:t>
            </w:r>
          </w:p>
        </w:tc>
        <w:tc>
          <w:tcPr>
            <w:tcW w:type="dxa" w:w="1865"/>
            <w:tcBorders/>
          </w:tcPr>
          <w:p>
            <w:pPr>
              <w:keepNext/>
              <w:spacing w:before="10" w:after="10" w:line="240" w:lineRule="auto"/>
              <w:jc w:val="left"/>
            </w:pPr>
            <w:r>
              <w:rPr>
                <w:rFonts w:asciiTheme="minorHAnsi" w:hAnsiTheme="minorHAnsi" w:cstheme="minorHAnsi"/>
                <w:sz w:val="16"/>
                <w:szCs w:val="16"/>
              </w:rPr>
              <w:t xml:space="preserve">0.85 (1.6)</w:t>
            </w:r>
          </w:p>
        </w:tc>
        <w:tc>
          <w:tcPr>
            <w:tcW w:type="dxa" w:w="1243"/>
            <w:tcBorders/>
          </w:tcPr>
          <w:p>
            <w:pPr>
              <w:keepNext/>
              <w:spacing w:before="10" w:after="10" w:line="240" w:lineRule="auto"/>
              <w:jc w:val="left"/>
            </w:pPr>
            <w:r>
              <w:rPr>
                <w:rFonts w:asciiTheme="minorHAnsi" w:hAnsiTheme="minorHAnsi" w:cstheme="minorHAnsi"/>
                <w:sz w:val="16"/>
                <w:szCs w:val="16"/>
              </w:rPr>
              <w:t xml:space="preserve">936 / 2,263</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Ceiling</w:t>
            </w:r>
          </w:p>
        </w:tc>
        <w:tc>
          <w:tcPr>
            <w:tcW w:type="dxa" w:w="2114"/>
            <w:tcBorders/>
          </w:tcPr>
          <w:p>
            <w:pPr>
              <w:keepNext/>
              <w:spacing w:before="10" w:after="10" w:line="240" w:lineRule="auto"/>
              <w:jc w:val="left"/>
            </w:pPr>
            <w:r>
              <w:rPr>
                <w:rFonts w:asciiTheme="minorHAnsi" w:hAnsiTheme="minorHAnsi" w:cstheme="minorHAnsi"/>
                <w:sz w:val="16"/>
                <w:szCs w:val="16"/>
              </w:rPr>
              <w:t xml:space="preserve">Intraday</w:t>
            </w:r>
          </w:p>
        </w:tc>
        <w:tc>
          <w:tcPr>
            <w:tcW w:type="dxa" w:w="1865"/>
            <w:tcBorders/>
          </w:tcPr>
          <w:p>
            <w:pPr>
              <w:keepNext/>
              <w:spacing w:before="10" w:after="10" w:line="240" w:lineRule="auto"/>
              <w:jc w:val="left"/>
            </w:pPr>
            <w:r>
              <w:rPr>
                <w:rFonts w:asciiTheme="minorHAnsi" w:hAnsiTheme="minorHAnsi" w:cstheme="minorHAnsi"/>
                <w:sz w:val="16"/>
                <w:szCs w:val="16"/>
              </w:rPr>
              <w:t xml:space="preserve">−0.77 (−2.0)</w:t>
            </w:r>
          </w:p>
        </w:tc>
        <w:tc>
          <w:tcPr>
            <w:tcW w:type="dxa" w:w="1865"/>
            <w:tcBorders/>
          </w:tcPr>
          <w:p>
            <w:pPr>
              <w:keepNext/>
              <w:spacing w:before="10" w:after="10" w:line="240" w:lineRule="auto"/>
              <w:jc w:val="left"/>
            </w:pPr>
            <w:r>
              <w:rPr>
                <w:rFonts w:asciiTheme="minorHAnsi" w:hAnsiTheme="minorHAnsi" w:cstheme="minorHAnsi"/>
                <w:sz w:val="16"/>
                <w:szCs w:val="16"/>
              </w:rPr>
              <w:t xml:space="preserve">−0.44 (−4.3)</w:t>
            </w:r>
          </w:p>
        </w:tc>
        <w:tc>
          <w:tcPr>
            <w:tcW w:type="dxa" w:w="1865"/>
            <w:tcBorders/>
          </w:tcPr>
          <w:p>
            <w:pPr>
              <w:keepNext/>
              <w:spacing w:before="10" w:after="10" w:line="240" w:lineRule="auto"/>
              <w:jc w:val="left"/>
            </w:pPr>
            <w:r>
              <w:rPr>
                <w:rFonts w:asciiTheme="minorHAnsi" w:hAnsiTheme="minorHAnsi" w:cstheme="minorHAnsi"/>
                <w:sz w:val="16"/>
                <w:szCs w:val="16"/>
              </w:rPr>
              <w:t xml:space="preserve">0.34 (0.8)</w:t>
            </w:r>
          </w:p>
        </w:tc>
        <w:tc>
          <w:tcPr>
            <w:tcW w:type="dxa" w:w="1243"/>
            <w:tcBorders/>
          </w:tcPr>
          <w:p>
            <w:pPr>
              <w:keepNext/>
              <w:spacing w:before="10" w:after="10" w:line="240" w:lineRule="auto"/>
              <w:jc w:val="left"/>
            </w:pPr>
            <w:r>
              <w:rPr>
                <w:rFonts w:asciiTheme="minorHAnsi" w:hAnsiTheme="minorHAnsi" w:cstheme="minorHAnsi"/>
                <w:sz w:val="16"/>
                <w:szCs w:val="16"/>
              </w:rPr>
              <w:t xml:space="preserve">936 / 2,263</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Ceiling</w:t>
            </w:r>
          </w:p>
        </w:tc>
        <w:tc>
          <w:tcPr>
            <w:tcW w:type="dxa" w:w="2114"/>
            <w:tcBorders/>
          </w:tcPr>
          <w:p>
            <w:pPr>
              <w:keepNext/>
              <w:spacing w:before="10" w:after="10" w:line="240" w:lineRule="auto"/>
              <w:jc w:val="left"/>
            </w:pPr>
            <w:r>
              <w:rPr>
                <w:rFonts w:asciiTheme="minorHAnsi" w:hAnsiTheme="minorHAnsi" w:cstheme="minorHAnsi"/>
                <w:sz w:val="16"/>
                <w:szCs w:val="16"/>
              </w:rPr>
              <w:t xml:space="preserve">Close-to-close</w:t>
            </w:r>
          </w:p>
        </w:tc>
        <w:tc>
          <w:tcPr>
            <w:tcW w:type="dxa" w:w="1865"/>
            <w:tcBorders/>
          </w:tcPr>
          <w:p>
            <w:pPr>
              <w:keepNext/>
              <w:spacing w:before="10" w:after="10" w:line="240" w:lineRule="auto"/>
              <w:jc w:val="left"/>
            </w:pPr>
            <w:r>
              <w:rPr>
                <w:rFonts w:asciiTheme="minorHAnsi" w:hAnsiTheme="minorHAnsi" w:cstheme="minorHAnsi"/>
                <w:sz w:val="16"/>
                <w:szCs w:val="16"/>
              </w:rPr>
              <w:t xml:space="preserve">0.83 (1.0)</w:t>
            </w:r>
          </w:p>
        </w:tc>
        <w:tc>
          <w:tcPr>
            <w:tcW w:type="dxa" w:w="1865"/>
            <w:tcBorders/>
          </w:tcPr>
          <w:p>
            <w:pPr>
              <w:keepNext/>
              <w:spacing w:before="10" w:after="10" w:line="240" w:lineRule="auto"/>
              <w:jc w:val="left"/>
            </w:pPr>
            <w:r>
              <w:rPr>
                <w:rFonts w:asciiTheme="minorHAnsi" w:hAnsiTheme="minorHAnsi" w:cstheme="minorHAnsi"/>
                <w:sz w:val="16"/>
                <w:szCs w:val="16"/>
              </w:rPr>
              <w:t xml:space="preserve">2.01 (14.6)</w:t>
            </w:r>
          </w:p>
        </w:tc>
        <w:tc>
          <w:tcPr>
            <w:tcW w:type="dxa" w:w="1865"/>
            <w:tcBorders/>
          </w:tcPr>
          <w:p>
            <w:pPr>
              <w:keepNext/>
              <w:spacing w:before="10" w:after="10" w:line="240" w:lineRule="auto"/>
              <w:jc w:val="left"/>
            </w:pPr>
            <w:r>
              <w:rPr>
                <w:rFonts w:asciiTheme="minorHAnsi" w:hAnsiTheme="minorHAnsi" w:cstheme="minorHAnsi"/>
                <w:sz w:val="16"/>
                <w:szCs w:val="16"/>
              </w:rPr>
              <w:t xml:space="preserve">1.18 (1.3)</w:t>
            </w:r>
          </w:p>
        </w:tc>
        <w:tc>
          <w:tcPr>
            <w:tcW w:type="dxa" w:w="1243"/>
            <w:tcBorders/>
          </w:tcPr>
          <w:p>
            <w:pPr>
              <w:keepNext/>
              <w:spacing w:before="10" w:after="10" w:line="240" w:lineRule="auto"/>
              <w:jc w:val="left"/>
            </w:pPr>
            <w:r>
              <w:rPr>
                <w:rFonts w:asciiTheme="minorHAnsi" w:hAnsiTheme="minorHAnsi" w:cstheme="minorHAnsi"/>
                <w:sz w:val="16"/>
                <w:szCs w:val="16"/>
              </w:rPr>
              <w:t xml:space="preserve">936 / 2,263</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Ceiling</w:t>
            </w:r>
          </w:p>
        </w:tc>
        <w:tc>
          <w:tcPr>
            <w:tcW w:type="dxa" w:w="2114"/>
            <w:tcBorders/>
          </w:tcPr>
          <w:p>
            <w:pPr>
              <w:keepNext/>
              <w:spacing w:before="10" w:after="10" w:line="240" w:lineRule="auto"/>
              <w:jc w:val="left"/>
            </w:pPr>
            <w:r>
              <w:rPr>
                <w:rFonts w:asciiTheme="minorHAnsi" w:hAnsiTheme="minorHAnsi" w:cstheme="minorHAnsi"/>
                <w:sz w:val="16"/>
                <w:szCs w:val="16"/>
              </w:rPr>
              <w:t xml:space="preserve">Open to day</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865"/>
            <w:tcBorders/>
          </w:tcPr>
          <w:p>
            <w:pPr>
              <w:keepNext/>
              <w:spacing w:before="10" w:after="10" w:line="240" w:lineRule="auto"/>
              <w:jc w:val="left"/>
            </w:pPr>
            <w:r>
              <w:rPr>
                <w:rFonts w:asciiTheme="minorHAnsi" w:hAnsiTheme="minorHAnsi" w:cstheme="minorHAnsi"/>
                <w:sz w:val="16"/>
                <w:szCs w:val="16"/>
              </w:rPr>
              <w:t xml:space="preserve">−0.71 (−1.3)</w:t>
            </w:r>
          </w:p>
        </w:tc>
        <w:tc>
          <w:tcPr>
            <w:tcW w:type="dxa" w:w="1865"/>
            <w:tcBorders/>
          </w:tcPr>
          <w:p>
            <w:pPr>
              <w:keepNext/>
              <w:spacing w:before="10" w:after="10" w:line="240" w:lineRule="auto"/>
              <w:jc w:val="left"/>
            </w:pPr>
            <w:r>
              <w:rPr>
                <w:rFonts w:asciiTheme="minorHAnsi" w:hAnsiTheme="minorHAnsi" w:cstheme="minorHAnsi"/>
                <w:sz w:val="16"/>
                <w:szCs w:val="16"/>
              </w:rPr>
              <w:t xml:space="preserve">−0.77 (−2.5)</w:t>
            </w:r>
          </w:p>
        </w:tc>
        <w:tc>
          <w:tcPr>
            <w:tcW w:type="dxa" w:w="1865"/>
            <w:tcBorders/>
          </w:tcPr>
          <w:p>
            <w:pPr>
              <w:keepNext/>
              <w:spacing w:before="10" w:after="10" w:line="240" w:lineRule="auto"/>
              <w:jc w:val="left"/>
            </w:pPr>
            <w:r>
              <w:rPr>
                <w:rFonts w:asciiTheme="minorHAnsi" w:hAnsiTheme="minorHAnsi" w:cstheme="minorHAnsi"/>
                <w:sz w:val="16"/>
                <w:szCs w:val="16"/>
              </w:rPr>
              <w:t xml:space="preserve">−0.06 (−0.1)</w:t>
            </w:r>
          </w:p>
        </w:tc>
        <w:tc>
          <w:tcPr>
            <w:tcW w:type="dxa" w:w="1243"/>
            <w:tcBorders/>
          </w:tcPr>
          <w:p>
            <w:pPr>
              <w:keepNext/>
              <w:spacing w:before="10" w:after="10" w:line="240" w:lineRule="auto"/>
              <w:jc w:val="left"/>
            </w:pPr>
            <w:r>
              <w:rPr>
                <w:rFonts w:asciiTheme="minorHAnsi" w:hAnsiTheme="minorHAnsi" w:cstheme="minorHAnsi"/>
                <w:sz w:val="16"/>
                <w:szCs w:val="16"/>
              </w:rPr>
              <w:t xml:space="preserve">936 / 2,257</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Floor</w:t>
            </w:r>
          </w:p>
        </w:tc>
        <w:tc>
          <w:tcPr>
            <w:tcW w:type="dxa" w:w="2114"/>
            <w:tcBorders/>
          </w:tcPr>
          <w:p>
            <w:pPr>
              <w:keepNext/>
              <w:spacing w:before="10" w:after="10" w:line="240" w:lineRule="auto"/>
              <w:jc w:val="left"/>
            </w:pPr>
            <w:r>
              <w:rPr>
                <w:rFonts w:asciiTheme="minorHAnsi" w:hAnsiTheme="minorHAnsi" w:cstheme="minorHAnsi"/>
                <w:sz w:val="16"/>
                <w:szCs w:val="16"/>
              </w:rPr>
              <w:t xml:space="preserve">Overnight gap</w:t>
            </w:r>
          </w:p>
        </w:tc>
        <w:tc>
          <w:tcPr>
            <w:tcW w:type="dxa" w:w="1865"/>
            <w:tcBorders/>
          </w:tcPr>
          <w:p>
            <w:pPr>
              <w:keepNext/>
              <w:spacing w:before="10" w:after="10" w:line="240" w:lineRule="auto"/>
              <w:jc w:val="left"/>
            </w:pPr>
            <w:r>
              <w:rPr>
                <w:rFonts w:asciiTheme="minorHAnsi" w:hAnsiTheme="minorHAnsi" w:cstheme="minorHAnsi"/>
                <w:sz w:val="16"/>
                <w:szCs w:val="16"/>
              </w:rPr>
              <w:t xml:space="preserve">−0.42 (−1.9)</w:t>
            </w:r>
          </w:p>
        </w:tc>
        <w:tc>
          <w:tcPr>
            <w:tcW w:type="dxa" w:w="1865"/>
            <w:tcBorders/>
          </w:tcPr>
          <w:p>
            <w:pPr>
              <w:keepNext/>
              <w:spacing w:before="10" w:after="10" w:line="240" w:lineRule="auto"/>
              <w:jc w:val="left"/>
            </w:pPr>
            <w:r>
              <w:rPr>
                <w:rFonts w:asciiTheme="minorHAnsi" w:hAnsiTheme="minorHAnsi" w:cstheme="minorHAnsi"/>
                <w:sz w:val="16"/>
                <w:szCs w:val="16"/>
              </w:rPr>
              <w:t xml:space="preserve">−1.37 (−7.0)</w:t>
            </w:r>
          </w:p>
        </w:tc>
        <w:tc>
          <w:tcPr>
            <w:tcW w:type="dxa" w:w="1865"/>
            <w:tcBorders/>
          </w:tcPr>
          <w:p>
            <w:pPr>
              <w:keepNext/>
              <w:spacing w:before="10" w:after="10" w:line="240" w:lineRule="auto"/>
              <w:jc w:val="left"/>
            </w:pPr>
            <w:r>
              <w:rPr>
                <w:rFonts w:asciiTheme="minorHAnsi" w:hAnsiTheme="minorHAnsi" w:cstheme="minorHAnsi"/>
                <w:sz w:val="16"/>
                <w:szCs w:val="16"/>
              </w:rPr>
              <w:t xml:space="preserve">−0.95 (−3.2)</w:t>
            </w:r>
          </w:p>
        </w:tc>
        <w:tc>
          <w:tcPr>
            <w:tcW w:type="dxa" w:w="1243"/>
            <w:tcBorders/>
          </w:tcPr>
          <w:p>
            <w:pPr>
              <w:keepNext/>
              <w:spacing w:before="10" w:after="10" w:line="240" w:lineRule="auto"/>
              <w:jc w:val="left"/>
            </w:pPr>
            <w:r>
              <w:rPr>
                <w:rFonts w:asciiTheme="minorHAnsi" w:hAnsiTheme="minorHAnsi" w:cstheme="minorHAnsi"/>
                <w:sz w:val="16"/>
                <w:szCs w:val="16"/>
              </w:rPr>
              <w:t xml:space="preserve">891 / 1,220</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Floor</w:t>
            </w:r>
          </w:p>
        </w:tc>
        <w:tc>
          <w:tcPr>
            <w:tcW w:type="dxa" w:w="2114"/>
            <w:tcBorders/>
          </w:tcPr>
          <w:p>
            <w:pPr>
              <w:keepNext/>
              <w:spacing w:before="10" w:after="10" w:line="240" w:lineRule="auto"/>
              <w:jc w:val="left"/>
            </w:pPr>
            <w:r>
              <w:rPr>
                <w:rFonts w:asciiTheme="minorHAnsi" w:hAnsiTheme="minorHAnsi" w:cstheme="minorHAnsi"/>
                <w:sz w:val="16"/>
                <w:szCs w:val="16"/>
              </w:rPr>
              <w:t xml:space="preserve">Intraday</w:t>
            </w:r>
          </w:p>
        </w:tc>
        <w:tc>
          <w:tcPr>
            <w:tcW w:type="dxa" w:w="1865"/>
            <w:tcBorders/>
          </w:tcPr>
          <w:p>
            <w:pPr>
              <w:keepNext/>
              <w:spacing w:before="10" w:after="10" w:line="240" w:lineRule="auto"/>
              <w:jc w:val="left"/>
            </w:pPr>
            <w:r>
              <w:rPr>
                <w:rFonts w:asciiTheme="minorHAnsi" w:hAnsiTheme="minorHAnsi" w:cstheme="minorHAnsi"/>
                <w:sz w:val="16"/>
                <w:szCs w:val="16"/>
              </w:rPr>
              <w:t xml:space="preserve">−0.15 (−0.4)</w:t>
            </w:r>
          </w:p>
        </w:tc>
        <w:tc>
          <w:tcPr>
            <w:tcW w:type="dxa" w:w="1865"/>
            <w:tcBorders/>
          </w:tcPr>
          <w:p>
            <w:pPr>
              <w:keepNext/>
              <w:spacing w:before="10" w:after="10" w:line="240" w:lineRule="auto"/>
              <w:jc w:val="left"/>
            </w:pPr>
            <w:r>
              <w:rPr>
                <w:rFonts w:asciiTheme="minorHAnsi" w:hAnsiTheme="minorHAnsi" w:cstheme="minorHAnsi"/>
                <w:sz w:val="16"/>
                <w:szCs w:val="16"/>
              </w:rPr>
              <w:t xml:space="preserve">0.64 (4.6)</w:t>
            </w:r>
          </w:p>
        </w:tc>
        <w:tc>
          <w:tcPr>
            <w:tcW w:type="dxa" w:w="1865"/>
            <w:tcBorders/>
          </w:tcPr>
          <w:p>
            <w:pPr>
              <w:keepNext/>
              <w:spacing w:before="10" w:after="10" w:line="240" w:lineRule="auto"/>
              <w:jc w:val="left"/>
            </w:pPr>
            <w:r>
              <w:rPr>
                <w:rFonts w:asciiTheme="minorHAnsi" w:hAnsiTheme="minorHAnsi" w:cstheme="minorHAnsi"/>
                <w:sz w:val="16"/>
                <w:szCs w:val="16"/>
              </w:rPr>
              <w:t xml:space="preserve">0.79 (2.0)</w:t>
            </w:r>
          </w:p>
        </w:tc>
        <w:tc>
          <w:tcPr>
            <w:tcW w:type="dxa" w:w="1243"/>
            <w:tcBorders/>
          </w:tcPr>
          <w:p>
            <w:pPr>
              <w:keepNext/>
              <w:spacing w:before="10" w:after="10" w:line="240" w:lineRule="auto"/>
              <w:jc w:val="left"/>
            </w:pPr>
            <w:r>
              <w:rPr>
                <w:rFonts w:asciiTheme="minorHAnsi" w:hAnsiTheme="minorHAnsi" w:cstheme="minorHAnsi"/>
                <w:sz w:val="16"/>
                <w:szCs w:val="16"/>
              </w:rPr>
              <w:t xml:space="preserve">891 / 1,220</w:t>
            </w:r>
          </w:p>
        </w:tc>
      </w:tr>
      <w:tr>
        <w:trPr>
          <w:cantSplit/>
        </w:trPr>
        <w:tc>
          <w:tcPr>
            <w:tcW w:type="dxa" w:w="1243"/>
            <w:tcBorders/>
          </w:tcPr>
          <w:p>
            <w:pPr>
              <w:keepNext/>
              <w:spacing w:before="10" w:after="10" w:line="240" w:lineRule="auto"/>
              <w:jc w:val="left"/>
            </w:pPr>
            <w:r>
              <w:rPr>
                <w:rFonts w:asciiTheme="minorHAnsi" w:hAnsiTheme="minorHAnsi" w:cstheme="minorHAnsi"/>
                <w:sz w:val="16"/>
                <w:szCs w:val="16"/>
              </w:rPr>
              <w:t xml:space="preserve">Floor</w:t>
            </w:r>
          </w:p>
        </w:tc>
        <w:tc>
          <w:tcPr>
            <w:tcW w:type="dxa" w:w="2114"/>
            <w:tcBorders/>
          </w:tcPr>
          <w:p>
            <w:pPr>
              <w:keepNext/>
              <w:spacing w:before="10" w:after="10" w:line="240" w:lineRule="auto"/>
              <w:jc w:val="left"/>
            </w:pPr>
            <w:r>
              <w:rPr>
                <w:rFonts w:asciiTheme="minorHAnsi" w:hAnsiTheme="minorHAnsi" w:cstheme="minorHAnsi"/>
                <w:sz w:val="16"/>
                <w:szCs w:val="16"/>
              </w:rPr>
              <w:t xml:space="preserve">Close-to-close</w:t>
            </w:r>
          </w:p>
        </w:tc>
        <w:tc>
          <w:tcPr>
            <w:tcW w:type="dxa" w:w="1865"/>
            <w:tcBorders/>
          </w:tcPr>
          <w:p>
            <w:pPr>
              <w:keepNext/>
              <w:spacing w:before="10" w:after="10" w:line="240" w:lineRule="auto"/>
              <w:jc w:val="left"/>
            </w:pPr>
            <w:r>
              <w:rPr>
                <w:rFonts w:asciiTheme="minorHAnsi" w:hAnsiTheme="minorHAnsi" w:cstheme="minorHAnsi"/>
                <w:sz w:val="16"/>
                <w:szCs w:val="16"/>
              </w:rPr>
              <w:t xml:space="preserve">−0.57 (−2.3)</w:t>
            </w:r>
          </w:p>
        </w:tc>
        <w:tc>
          <w:tcPr>
            <w:tcW w:type="dxa" w:w="1865"/>
            <w:tcBorders/>
          </w:tcPr>
          <w:p>
            <w:pPr>
              <w:keepNext/>
              <w:spacing w:before="10" w:after="10" w:line="240" w:lineRule="auto"/>
              <w:jc w:val="left"/>
            </w:pPr>
            <w:r>
              <w:rPr>
                <w:rFonts w:asciiTheme="minorHAnsi" w:hAnsiTheme="minorHAnsi" w:cstheme="minorHAnsi"/>
                <w:sz w:val="16"/>
                <w:szCs w:val="16"/>
              </w:rPr>
              <w:t xml:space="preserve">−0.78 (−5.0)</w:t>
            </w:r>
          </w:p>
        </w:tc>
        <w:tc>
          <w:tcPr>
            <w:tcW w:type="dxa" w:w="1865"/>
            <w:tcBorders/>
          </w:tcPr>
          <w:p>
            <w:pPr>
              <w:keepNext/>
              <w:spacing w:before="10" w:after="10" w:line="240" w:lineRule="auto"/>
              <w:jc w:val="left"/>
            </w:pPr>
            <w:r>
              <w:rPr>
                <w:rFonts w:asciiTheme="minorHAnsi" w:hAnsiTheme="minorHAnsi" w:cstheme="minorHAnsi"/>
                <w:sz w:val="16"/>
                <w:szCs w:val="16"/>
              </w:rPr>
              <w:t xml:space="preserve">−0.21 (−0.7)</w:t>
            </w:r>
          </w:p>
        </w:tc>
        <w:tc>
          <w:tcPr>
            <w:tcW w:type="dxa" w:w="1243"/>
            <w:tcBorders/>
          </w:tcPr>
          <w:p>
            <w:pPr>
              <w:keepNext/>
              <w:spacing w:before="10" w:after="10" w:line="240" w:lineRule="auto"/>
              <w:jc w:val="left"/>
            </w:pPr>
            <w:r>
              <w:rPr>
                <w:rFonts w:asciiTheme="minorHAnsi" w:hAnsiTheme="minorHAnsi" w:cstheme="minorHAnsi"/>
                <w:sz w:val="16"/>
                <w:szCs w:val="16"/>
              </w:rPr>
              <w:t xml:space="preserve">891 / 1,220</w:t>
            </w:r>
          </w:p>
        </w:tc>
      </w:tr>
      <w:tr>
        <w:trPr>
          <w:cantSplit/>
        </w:trPr>
        <w:tc>
          <w:tcPr>
            <w:tcW w:type="dxa" w:w="1243"/>
            <w:tcBorders>
              <w:bottom w:val="single" w:sz="8" w:space="0" w:color="000000"/>
            </w:tcBorders>
          </w:tcPr>
          <w:p>
            <w:pPr>
              <w:spacing w:before="10" w:after="10" w:line="240" w:lineRule="auto"/>
              <w:jc w:val="left"/>
            </w:pPr>
            <w:r>
              <w:rPr>
                <w:rFonts w:asciiTheme="minorHAnsi" w:hAnsiTheme="minorHAnsi" w:cstheme="minorHAnsi"/>
                <w:sz w:val="16"/>
                <w:szCs w:val="16"/>
              </w:rPr>
              <w:t xml:space="preserve">Floor</w:t>
            </w:r>
          </w:p>
        </w:tc>
        <w:tc>
          <w:tcPr>
            <w:tcW w:type="dxa" w:w="2114"/>
            <w:tcBorders>
              <w:bottom w:val="single" w:sz="8" w:space="0" w:color="000000"/>
            </w:tcBorders>
          </w:tcPr>
          <w:p>
            <w:pPr>
              <w:spacing w:before="10" w:after="10" w:line="240" w:lineRule="auto"/>
              <w:jc w:val="left"/>
            </w:pPr>
            <w:r>
              <w:rPr>
                <w:rFonts w:asciiTheme="minorHAnsi" w:hAnsiTheme="minorHAnsi" w:cstheme="minorHAnsi"/>
                <w:sz w:val="16"/>
                <w:szCs w:val="16"/>
              </w:rPr>
              <w:t xml:space="preserve">Open to day</w:t>
            </w:r>
            <w:r>
              <w:rPr>
                <w:rFonts w:asciiTheme="minorHAnsi" w:hAnsiTheme="minorHAnsi" w:cstheme="minorHAnsi"/>
                <w:sz w:val="16"/>
                <w:szCs w:val="16"/>
              </w:rPr>
              <w:t xml:space="preserve"> </w:t>
            </w:r>
            <w:r>
              <w:rPr>
                <w:rFonts w:asciiTheme="minorHAnsi" w:hAnsiTheme="minorHAnsi" w:cstheme="minorHAnsi"/>
                <w:i/>
                <w:iCs/>
                <w:sz w:val="16"/>
                <w:szCs w:val="16"/>
              </w:rPr>
              <w:t xml:space="preserve">d</w:t>
            </w:r>
            <w:r>
              <w:rPr>
                <w:rFonts w:asciiTheme="minorHAnsi" w:hAnsiTheme="minorHAnsi" w:cstheme="minorHAnsi"/>
                <w:sz w:val="16"/>
                <w:szCs w:val="16"/>
              </w:rPr>
              <w:t xml:space="preserve">+5</w:t>
            </w:r>
          </w:p>
        </w:tc>
        <w:tc>
          <w:tcPr>
            <w:tcW w:type="dxa" w:w="1865"/>
            <w:tcBorders>
              <w:bottom w:val="single" w:sz="8" w:space="0" w:color="000000"/>
            </w:tcBorders>
          </w:tcPr>
          <w:p>
            <w:pPr>
              <w:spacing w:before="10" w:after="10" w:line="240" w:lineRule="auto"/>
              <w:jc w:val="left"/>
            </w:pPr>
            <w:r>
              <w:rPr>
                <w:rFonts w:asciiTheme="minorHAnsi" w:hAnsiTheme="minorHAnsi" w:cstheme="minorHAnsi"/>
                <w:sz w:val="16"/>
                <w:szCs w:val="16"/>
              </w:rPr>
              <w:t xml:space="preserve">−1.73 (−4.7)</w:t>
            </w:r>
          </w:p>
        </w:tc>
        <w:tc>
          <w:tcPr>
            <w:tcW w:type="dxa" w:w="1865"/>
            <w:tcBorders>
              <w:bottom w:val="single" w:sz="8" w:space="0" w:color="000000"/>
            </w:tcBorders>
          </w:tcPr>
          <w:p>
            <w:pPr>
              <w:spacing w:before="10" w:after="10" w:line="240" w:lineRule="auto"/>
              <w:jc w:val="left"/>
            </w:pPr>
            <w:r>
              <w:rPr>
                <w:rFonts w:asciiTheme="minorHAnsi" w:hAnsiTheme="minorHAnsi" w:cstheme="minorHAnsi"/>
                <w:sz w:val="16"/>
                <w:szCs w:val="16"/>
              </w:rPr>
              <w:t xml:space="preserve">−0.15 (−0.3)</w:t>
            </w:r>
          </w:p>
        </w:tc>
        <w:tc>
          <w:tcPr>
            <w:tcW w:type="dxa" w:w="1865"/>
            <w:tcBorders>
              <w:bottom w:val="single" w:sz="8" w:space="0" w:color="000000"/>
            </w:tcBorders>
          </w:tcPr>
          <w:p>
            <w:pPr>
              <w:spacing w:before="10" w:after="10" w:line="240" w:lineRule="auto"/>
              <w:jc w:val="left"/>
            </w:pPr>
            <w:r>
              <w:rPr>
                <w:rFonts w:asciiTheme="minorHAnsi" w:hAnsiTheme="minorHAnsi" w:cstheme="minorHAnsi"/>
                <w:sz w:val="16"/>
                <w:szCs w:val="16"/>
              </w:rPr>
              <w:t xml:space="preserve">1.58 (2.5)</w:t>
            </w:r>
          </w:p>
        </w:tc>
        <w:tc>
          <w:tcPr>
            <w:tcW w:type="dxa" w:w="1243"/>
            <w:tcBorders>
              <w:bottom w:val="single" w:sz="8" w:space="0" w:color="000000"/>
            </w:tcBorders>
          </w:tcPr>
          <w:p>
            <w:pPr>
              <w:spacing w:before="10" w:after="10" w:line="240" w:lineRule="auto"/>
              <w:jc w:val="left"/>
            </w:pPr>
            <w:r>
              <w:rPr>
                <w:rFonts w:asciiTheme="minorHAnsi" w:hAnsiTheme="minorHAnsi" w:cstheme="minorHAnsi"/>
                <w:sz w:val="16"/>
                <w:szCs w:val="16"/>
              </w:rPr>
              <w:t xml:space="preserve">891 / 1,217</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Percent; two-way-clustered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-statistics in parentheses. Periods are split by the date of the opening that defines the gap; the difference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 treats the periods as independent.</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5</w:t>
      </w:r>
      <w:r>
        <w:rPr>
          <w:rFonts w:asciiTheme="minorHAnsi" w:eastAsia="Georgia" w:hAnsiTheme="minorHAnsi" w:cstheme="minorHAnsi"/>
          <w:color w:val="000000"/>
          <w:sz w:val="18"/>
          <w:szCs w:val="18"/>
          <w:bdr w:val="nil"/>
          <w:lang w:val="hr-HR" w:eastAsia="es-MX"/>
        </w:rPr>
        <w:t xml:space="preserve"> Events and overnight gaps by calendar quarter</w:t>
      </w:r>
    </w:p>
    <w:tbl>
      <w:tblPr>
        <w:tblW w:type="pct" w:w="5000"/>
        <w:jc w:val="center"/>
        <w:tblLayout w:type="fixed"/>
      </w:tblPr>
      <w:tblGrid>
        <w:gridCol w:w="1758"/>
        <w:gridCol w:w="1758"/>
        <w:gridCol w:w="2462"/>
        <w:gridCol w:w="1582"/>
        <w:gridCol w:w="2637"/>
      </w:tblGrid>
      <w:tr>
        <w:trPr>
          <w:cantSplit/>
          <w:tblHeader w:val="true"/>
        </w:trPr>
        <w:tc>
          <w:tcPr>
            <w:tcW w:type="dxa" w:w="1758"/>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Quarter</w:t>
            </w:r>
          </w:p>
        </w:tc>
        <w:tc>
          <w:tcPr>
            <w:tcW w:type="dxa" w:w="1758"/>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Ceiling events</w:t>
            </w:r>
          </w:p>
        </w:tc>
        <w:tc>
          <w:tcPr>
            <w:tcW w:type="dxa" w:w="246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Ceiling gap</w:t>
            </w:r>
          </w:p>
        </w:tc>
        <w:tc>
          <w:tcPr>
            <w:tcW w:type="dxa" w:w="158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Floor events</w:t>
            </w:r>
          </w:p>
        </w:tc>
        <w:tc>
          <w:tcPr>
            <w:tcW w:type="dxa" w:w="2637"/>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Floor gap</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2024-Q4</w:t>
            </w:r>
          </w:p>
        </w:tc>
        <w:tc>
          <w:tcPr>
            <w:tcW w:type="dxa" w:w="1758"/>
            <w:tcBorders/>
          </w:tcPr>
          <w:p>
            <w:pPr>
              <w:keepNext/>
              <w:spacing w:before="10" w:after="10" w:line="240" w:lineRule="auto"/>
              <w:jc w:val="left"/>
            </w:pPr>
            <w:r>
              <w:rPr>
                <w:rFonts w:asciiTheme="minorHAnsi" w:hAnsiTheme="minorHAnsi" w:cstheme="minorHAnsi"/>
                <w:sz w:val="16"/>
                <w:szCs w:val="16"/>
              </w:rPr>
              <w:t xml:space="preserve">177</w:t>
            </w:r>
          </w:p>
        </w:tc>
        <w:tc>
          <w:tcPr>
            <w:tcW w:type="dxa" w:w="2462"/>
            <w:tcBorders/>
          </w:tcPr>
          <w:p>
            <w:pPr>
              <w:keepNext/>
              <w:spacing w:before="10" w:after="10" w:line="240" w:lineRule="auto"/>
              <w:jc w:val="left"/>
            </w:pPr>
            <w:r>
              <w:rPr>
                <w:rFonts w:asciiTheme="minorHAnsi" w:hAnsiTheme="minorHAnsi" w:cstheme="minorHAnsi"/>
                <w:sz w:val="16"/>
                <w:szCs w:val="16"/>
              </w:rPr>
              <w:t xml:space="preserve">2.16 (5.6)</w:t>
            </w:r>
          </w:p>
        </w:tc>
        <w:tc>
          <w:tcPr>
            <w:tcW w:type="dxa" w:w="1582"/>
            <w:tcBorders/>
          </w:tcPr>
          <w:p>
            <w:pPr>
              <w:keepNext/>
              <w:spacing w:before="10" w:after="10" w:line="240" w:lineRule="auto"/>
              <w:jc w:val="left"/>
            </w:pPr>
            <w:r>
              <w:rPr>
                <w:rFonts w:asciiTheme="minorHAnsi" w:hAnsiTheme="minorHAnsi" w:cstheme="minorHAnsi"/>
                <w:sz w:val="16"/>
                <w:szCs w:val="16"/>
              </w:rPr>
              <w:t xml:space="preserve">48</w:t>
            </w:r>
          </w:p>
        </w:tc>
        <w:tc>
          <w:tcPr>
            <w:tcW w:type="dxa" w:w="2637"/>
            <w:tcBorders/>
          </w:tcPr>
          <w:p>
            <w:pPr>
              <w:keepNext/>
              <w:spacing w:before="10" w:after="10" w:line="240" w:lineRule="auto"/>
              <w:jc w:val="left"/>
            </w:pPr>
            <w:r>
              <w:rPr>
                <w:rFonts w:asciiTheme="minorHAnsi" w:hAnsiTheme="minorHAnsi" w:cstheme="minorHAnsi"/>
                <w:sz w:val="16"/>
                <w:szCs w:val="16"/>
              </w:rPr>
              <w:t xml:space="preserve">−1.50 (−2.5)</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2025-Q1</w:t>
            </w:r>
          </w:p>
        </w:tc>
        <w:tc>
          <w:tcPr>
            <w:tcW w:type="dxa" w:w="1758"/>
            <w:tcBorders/>
          </w:tcPr>
          <w:p>
            <w:pPr>
              <w:keepNext/>
              <w:spacing w:before="10" w:after="10" w:line="240" w:lineRule="auto"/>
              <w:jc w:val="left"/>
            </w:pPr>
            <w:r>
              <w:rPr>
                <w:rFonts w:asciiTheme="minorHAnsi" w:hAnsiTheme="minorHAnsi" w:cstheme="minorHAnsi"/>
                <w:sz w:val="16"/>
                <w:szCs w:val="16"/>
              </w:rPr>
              <w:t xml:space="preserve">295</w:t>
            </w:r>
          </w:p>
        </w:tc>
        <w:tc>
          <w:tcPr>
            <w:tcW w:type="dxa" w:w="2462"/>
            <w:tcBorders/>
          </w:tcPr>
          <w:p>
            <w:pPr>
              <w:keepNext/>
              <w:spacing w:before="10" w:after="10" w:line="240" w:lineRule="auto"/>
              <w:jc w:val="left"/>
            </w:pPr>
            <w:r>
              <w:rPr>
                <w:rFonts w:asciiTheme="minorHAnsi" w:hAnsiTheme="minorHAnsi" w:cstheme="minorHAnsi"/>
                <w:sz w:val="16"/>
                <w:szCs w:val="16"/>
              </w:rPr>
              <w:t xml:space="preserve">2.78 (9.1)</w:t>
            </w:r>
          </w:p>
        </w:tc>
        <w:tc>
          <w:tcPr>
            <w:tcW w:type="dxa" w:w="1582"/>
            <w:tcBorders/>
          </w:tcPr>
          <w:p>
            <w:pPr>
              <w:keepNext/>
              <w:spacing w:before="10" w:after="10" w:line="240" w:lineRule="auto"/>
              <w:jc w:val="left"/>
            </w:pPr>
            <w:r>
              <w:rPr>
                <w:rFonts w:asciiTheme="minorHAnsi" w:hAnsiTheme="minorHAnsi" w:cstheme="minorHAnsi"/>
                <w:sz w:val="16"/>
                <w:szCs w:val="16"/>
              </w:rPr>
              <w:t xml:space="preserve">79</w:t>
            </w:r>
          </w:p>
        </w:tc>
        <w:tc>
          <w:tcPr>
            <w:tcW w:type="dxa" w:w="2637"/>
            <w:tcBorders/>
          </w:tcPr>
          <w:p>
            <w:pPr>
              <w:keepNext/>
              <w:spacing w:before="10" w:after="10" w:line="240" w:lineRule="auto"/>
              <w:jc w:val="left"/>
            </w:pPr>
            <w:r>
              <w:rPr>
                <w:rFonts w:asciiTheme="minorHAnsi" w:hAnsiTheme="minorHAnsi" w:cstheme="minorHAnsi"/>
                <w:sz w:val="16"/>
                <w:szCs w:val="16"/>
              </w:rPr>
              <w:t xml:space="preserve">−1.70 (−3.9)</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2025-Q2</w:t>
            </w:r>
          </w:p>
        </w:tc>
        <w:tc>
          <w:tcPr>
            <w:tcW w:type="dxa" w:w="1758"/>
            <w:tcBorders/>
          </w:tcPr>
          <w:p>
            <w:pPr>
              <w:keepNext/>
              <w:spacing w:before="10" w:after="10" w:line="240" w:lineRule="auto"/>
              <w:jc w:val="left"/>
            </w:pPr>
            <w:r>
              <w:rPr>
                <w:rFonts w:asciiTheme="minorHAnsi" w:hAnsiTheme="minorHAnsi" w:cstheme="minorHAnsi"/>
                <w:sz w:val="16"/>
                <w:szCs w:val="16"/>
              </w:rPr>
              <w:t xml:space="preserve">686</w:t>
            </w:r>
          </w:p>
        </w:tc>
        <w:tc>
          <w:tcPr>
            <w:tcW w:type="dxa" w:w="2462"/>
            <w:tcBorders/>
          </w:tcPr>
          <w:p>
            <w:pPr>
              <w:keepNext/>
              <w:spacing w:before="10" w:after="10" w:line="240" w:lineRule="auto"/>
              <w:jc w:val="left"/>
            </w:pPr>
            <w:r>
              <w:rPr>
                <w:rFonts w:asciiTheme="minorHAnsi" w:hAnsiTheme="minorHAnsi" w:cstheme="minorHAnsi"/>
                <w:sz w:val="16"/>
                <w:szCs w:val="16"/>
              </w:rPr>
              <w:t xml:space="preserve">1.33 (2.5)</w:t>
            </w:r>
          </w:p>
        </w:tc>
        <w:tc>
          <w:tcPr>
            <w:tcW w:type="dxa" w:w="1582"/>
            <w:tcBorders/>
          </w:tcPr>
          <w:p>
            <w:pPr>
              <w:keepNext/>
              <w:spacing w:before="10" w:after="10" w:line="240" w:lineRule="auto"/>
              <w:jc w:val="left"/>
            </w:pPr>
            <w:r>
              <w:rPr>
                <w:rFonts w:asciiTheme="minorHAnsi" w:hAnsiTheme="minorHAnsi" w:cstheme="minorHAnsi"/>
                <w:sz w:val="16"/>
                <w:szCs w:val="16"/>
              </w:rPr>
              <w:t xml:space="preserve">802</w:t>
            </w:r>
          </w:p>
        </w:tc>
        <w:tc>
          <w:tcPr>
            <w:tcW w:type="dxa" w:w="2637"/>
            <w:tcBorders/>
          </w:tcPr>
          <w:p>
            <w:pPr>
              <w:keepNext/>
              <w:spacing w:before="10" w:after="10" w:line="240" w:lineRule="auto"/>
              <w:jc w:val="left"/>
            </w:pPr>
            <w:r>
              <w:rPr>
                <w:rFonts w:asciiTheme="minorHAnsi" w:hAnsiTheme="minorHAnsi" w:cstheme="minorHAnsi"/>
                <w:sz w:val="16"/>
                <w:szCs w:val="16"/>
              </w:rPr>
              <w:t xml:space="preserve">−0.34 (−1.5)</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2025-Q3</w:t>
            </w:r>
          </w:p>
        </w:tc>
        <w:tc>
          <w:tcPr>
            <w:tcW w:type="dxa" w:w="1758"/>
            <w:tcBorders/>
          </w:tcPr>
          <w:p>
            <w:pPr>
              <w:keepNext/>
              <w:spacing w:before="10" w:after="10" w:line="240" w:lineRule="auto"/>
              <w:jc w:val="left"/>
            </w:pPr>
            <w:r>
              <w:rPr>
                <w:rFonts w:asciiTheme="minorHAnsi" w:hAnsiTheme="minorHAnsi" w:cstheme="minorHAnsi"/>
                <w:sz w:val="16"/>
                <w:szCs w:val="16"/>
              </w:rPr>
              <w:t xml:space="preserve">624</w:t>
            </w:r>
          </w:p>
        </w:tc>
        <w:tc>
          <w:tcPr>
            <w:tcW w:type="dxa" w:w="2462"/>
            <w:tcBorders/>
          </w:tcPr>
          <w:p>
            <w:pPr>
              <w:keepNext/>
              <w:spacing w:before="10" w:after="10" w:line="240" w:lineRule="auto"/>
              <w:jc w:val="left"/>
            </w:pPr>
            <w:r>
              <w:rPr>
                <w:rFonts w:asciiTheme="minorHAnsi" w:hAnsiTheme="minorHAnsi" w:cstheme="minorHAnsi"/>
                <w:sz w:val="16"/>
                <w:szCs w:val="16"/>
              </w:rPr>
              <w:t xml:space="preserve">2.99 (16.8)</w:t>
            </w:r>
          </w:p>
        </w:tc>
        <w:tc>
          <w:tcPr>
            <w:tcW w:type="dxa" w:w="1582"/>
            <w:tcBorders/>
          </w:tcPr>
          <w:p>
            <w:pPr>
              <w:keepNext/>
              <w:spacing w:before="10" w:after="10" w:line="240" w:lineRule="auto"/>
              <w:jc w:val="left"/>
            </w:pPr>
            <w:r>
              <w:rPr>
                <w:rFonts w:asciiTheme="minorHAnsi" w:hAnsiTheme="minorHAnsi" w:cstheme="minorHAnsi"/>
                <w:sz w:val="16"/>
                <w:szCs w:val="16"/>
              </w:rPr>
              <w:t xml:space="preserve">195</w:t>
            </w:r>
          </w:p>
        </w:tc>
        <w:tc>
          <w:tcPr>
            <w:tcW w:type="dxa" w:w="2637"/>
            <w:tcBorders/>
          </w:tcPr>
          <w:p>
            <w:pPr>
              <w:keepNext/>
              <w:spacing w:before="10" w:after="10" w:line="240" w:lineRule="auto"/>
              <w:jc w:val="left"/>
            </w:pPr>
            <w:r>
              <w:rPr>
                <w:rFonts w:asciiTheme="minorHAnsi" w:hAnsiTheme="minorHAnsi" w:cstheme="minorHAnsi"/>
                <w:sz w:val="16"/>
                <w:szCs w:val="16"/>
              </w:rPr>
              <w:t xml:space="preserve">−0.86 (−4.1)</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2025-Q4</w:t>
            </w:r>
          </w:p>
        </w:tc>
        <w:tc>
          <w:tcPr>
            <w:tcW w:type="dxa" w:w="1758"/>
            <w:tcBorders/>
          </w:tcPr>
          <w:p>
            <w:pPr>
              <w:keepNext/>
              <w:spacing w:before="10" w:after="10" w:line="240" w:lineRule="auto"/>
              <w:jc w:val="left"/>
            </w:pPr>
            <w:r>
              <w:rPr>
                <w:rFonts w:asciiTheme="minorHAnsi" w:hAnsiTheme="minorHAnsi" w:cstheme="minorHAnsi"/>
                <w:sz w:val="16"/>
                <w:szCs w:val="16"/>
              </w:rPr>
              <w:t xml:space="preserve">426</w:t>
            </w:r>
          </w:p>
        </w:tc>
        <w:tc>
          <w:tcPr>
            <w:tcW w:type="dxa" w:w="2462"/>
            <w:tcBorders/>
          </w:tcPr>
          <w:p>
            <w:pPr>
              <w:keepNext/>
              <w:spacing w:before="10" w:after="10" w:line="240" w:lineRule="auto"/>
              <w:jc w:val="left"/>
            </w:pPr>
            <w:r>
              <w:rPr>
                <w:rFonts w:asciiTheme="minorHAnsi" w:hAnsiTheme="minorHAnsi" w:cstheme="minorHAnsi"/>
                <w:sz w:val="16"/>
                <w:szCs w:val="16"/>
              </w:rPr>
              <w:t xml:space="preserve">2.64 (7.4)</w:t>
            </w:r>
          </w:p>
        </w:tc>
        <w:tc>
          <w:tcPr>
            <w:tcW w:type="dxa" w:w="1582"/>
            <w:tcBorders/>
          </w:tcPr>
          <w:p>
            <w:pPr>
              <w:keepNext/>
              <w:spacing w:before="10" w:after="10" w:line="240" w:lineRule="auto"/>
              <w:jc w:val="left"/>
            </w:pPr>
            <w:r>
              <w:rPr>
                <w:rFonts w:asciiTheme="minorHAnsi" w:hAnsiTheme="minorHAnsi" w:cstheme="minorHAnsi"/>
                <w:sz w:val="16"/>
                <w:szCs w:val="16"/>
              </w:rPr>
              <w:t xml:space="preserve">280</w:t>
            </w:r>
          </w:p>
        </w:tc>
        <w:tc>
          <w:tcPr>
            <w:tcW w:type="dxa" w:w="2637"/>
            <w:tcBorders/>
          </w:tcPr>
          <w:p>
            <w:pPr>
              <w:keepNext/>
              <w:spacing w:before="10" w:after="10" w:line="240" w:lineRule="auto"/>
              <w:jc w:val="left"/>
            </w:pPr>
            <w:r>
              <w:rPr>
                <w:rFonts w:asciiTheme="minorHAnsi" w:hAnsiTheme="minorHAnsi" w:cstheme="minorHAnsi"/>
                <w:sz w:val="16"/>
                <w:szCs w:val="16"/>
              </w:rPr>
              <w:t xml:space="preserve">−1.39 (−2.4)</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2026-Q1</w:t>
            </w:r>
          </w:p>
        </w:tc>
        <w:tc>
          <w:tcPr>
            <w:tcW w:type="dxa" w:w="1758"/>
            <w:tcBorders/>
          </w:tcPr>
          <w:p>
            <w:pPr>
              <w:keepNext/>
              <w:spacing w:before="10" w:after="10" w:line="240" w:lineRule="auto"/>
              <w:jc w:val="left"/>
            </w:pPr>
            <w:r>
              <w:rPr>
                <w:rFonts w:asciiTheme="minorHAnsi" w:hAnsiTheme="minorHAnsi" w:cstheme="minorHAnsi"/>
                <w:sz w:val="16"/>
                <w:szCs w:val="16"/>
              </w:rPr>
              <w:t xml:space="preserve">455</w:t>
            </w:r>
          </w:p>
        </w:tc>
        <w:tc>
          <w:tcPr>
            <w:tcW w:type="dxa" w:w="2462"/>
            <w:tcBorders/>
          </w:tcPr>
          <w:p>
            <w:pPr>
              <w:keepNext/>
              <w:spacing w:before="10" w:after="10" w:line="240" w:lineRule="auto"/>
              <w:jc w:val="left"/>
            </w:pPr>
            <w:r>
              <w:rPr>
                <w:rFonts w:asciiTheme="minorHAnsi" w:hAnsiTheme="minorHAnsi" w:cstheme="minorHAnsi"/>
                <w:sz w:val="16"/>
                <w:szCs w:val="16"/>
              </w:rPr>
              <w:t xml:space="preserve">2.35 (10.4)</w:t>
            </w:r>
          </w:p>
        </w:tc>
        <w:tc>
          <w:tcPr>
            <w:tcW w:type="dxa" w:w="1582"/>
            <w:tcBorders/>
          </w:tcPr>
          <w:p>
            <w:pPr>
              <w:keepNext/>
              <w:spacing w:before="10" w:after="10" w:line="240" w:lineRule="auto"/>
              <w:jc w:val="left"/>
            </w:pPr>
            <w:r>
              <w:rPr>
                <w:rFonts w:asciiTheme="minorHAnsi" w:hAnsiTheme="minorHAnsi" w:cstheme="minorHAnsi"/>
                <w:sz w:val="16"/>
                <w:szCs w:val="16"/>
              </w:rPr>
              <w:t xml:space="preserve">433</w:t>
            </w:r>
          </w:p>
        </w:tc>
        <w:tc>
          <w:tcPr>
            <w:tcW w:type="dxa" w:w="2637"/>
            <w:tcBorders/>
          </w:tcPr>
          <w:p>
            <w:pPr>
              <w:keepNext/>
              <w:spacing w:before="10" w:after="10" w:line="240" w:lineRule="auto"/>
              <w:jc w:val="left"/>
            </w:pPr>
            <w:r>
              <w:rPr>
                <w:rFonts w:asciiTheme="minorHAnsi" w:hAnsiTheme="minorHAnsi" w:cstheme="minorHAnsi"/>
                <w:sz w:val="16"/>
                <w:szCs w:val="16"/>
              </w:rPr>
              <w:t xml:space="preserve">−1.39 (−7.8)</w:t>
            </w:r>
          </w:p>
        </w:tc>
      </w:tr>
      <w:tr>
        <w:trPr>
          <w:cantSplit/>
        </w:trPr>
        <w:tc>
          <w:tcPr>
            <w:tcW w:type="dxa" w:w="1758"/>
            <w:tcBorders/>
          </w:tcPr>
          <w:p>
            <w:pPr>
              <w:keepNext/>
              <w:spacing w:before="10" w:after="10" w:line="240" w:lineRule="auto"/>
              <w:jc w:val="left"/>
            </w:pPr>
            <w:r>
              <w:rPr>
                <w:rFonts w:asciiTheme="minorHAnsi" w:hAnsiTheme="minorHAnsi" w:cstheme="minorHAnsi"/>
                <w:sz w:val="16"/>
                <w:szCs w:val="16"/>
              </w:rPr>
              <w:t xml:space="preserve">2026-Q2</w:t>
            </w:r>
          </w:p>
        </w:tc>
        <w:tc>
          <w:tcPr>
            <w:tcW w:type="dxa" w:w="1758"/>
            <w:tcBorders/>
          </w:tcPr>
          <w:p>
            <w:pPr>
              <w:keepNext/>
              <w:spacing w:before="10" w:after="10" w:line="240" w:lineRule="auto"/>
              <w:jc w:val="left"/>
            </w:pPr>
            <w:r>
              <w:rPr>
                <w:rFonts w:asciiTheme="minorHAnsi" w:hAnsiTheme="minorHAnsi" w:cstheme="minorHAnsi"/>
                <w:sz w:val="16"/>
                <w:szCs w:val="16"/>
              </w:rPr>
              <w:t xml:space="preserve">297</w:t>
            </w:r>
          </w:p>
        </w:tc>
        <w:tc>
          <w:tcPr>
            <w:tcW w:type="dxa" w:w="2462"/>
            <w:tcBorders/>
          </w:tcPr>
          <w:p>
            <w:pPr>
              <w:keepNext/>
              <w:spacing w:before="10" w:after="10" w:line="240" w:lineRule="auto"/>
              <w:jc w:val="left"/>
            </w:pPr>
            <w:r>
              <w:rPr>
                <w:rFonts w:asciiTheme="minorHAnsi" w:hAnsiTheme="minorHAnsi" w:cstheme="minorHAnsi"/>
                <w:sz w:val="16"/>
                <w:szCs w:val="16"/>
              </w:rPr>
              <w:t xml:space="preserve">2.08 (7.0)</w:t>
            </w:r>
          </w:p>
        </w:tc>
        <w:tc>
          <w:tcPr>
            <w:tcW w:type="dxa" w:w="1582"/>
            <w:tcBorders/>
          </w:tcPr>
          <w:p>
            <w:pPr>
              <w:keepNext/>
              <w:spacing w:before="10" w:after="10" w:line="240" w:lineRule="auto"/>
              <w:jc w:val="left"/>
            </w:pPr>
            <w:r>
              <w:rPr>
                <w:rFonts w:asciiTheme="minorHAnsi" w:hAnsiTheme="minorHAnsi" w:cstheme="minorHAnsi"/>
                <w:sz w:val="16"/>
                <w:szCs w:val="16"/>
              </w:rPr>
              <w:t xml:space="preserve">99</w:t>
            </w:r>
          </w:p>
        </w:tc>
        <w:tc>
          <w:tcPr>
            <w:tcW w:type="dxa" w:w="2637"/>
            <w:tcBorders/>
          </w:tcPr>
          <w:p>
            <w:pPr>
              <w:keepNext/>
              <w:spacing w:before="10" w:after="10" w:line="240" w:lineRule="auto"/>
              <w:jc w:val="left"/>
            </w:pPr>
            <w:r>
              <w:rPr>
                <w:rFonts w:asciiTheme="minorHAnsi" w:hAnsiTheme="minorHAnsi" w:cstheme="minorHAnsi"/>
                <w:sz w:val="16"/>
                <w:szCs w:val="16"/>
              </w:rPr>
              <w:t xml:space="preserve">−1.46 (−3.3)</w:t>
            </w:r>
          </w:p>
        </w:tc>
      </w:tr>
      <w:tr>
        <w:trPr>
          <w:cantSplit/>
        </w:trPr>
        <w:tc>
          <w:tcPr>
            <w:tcW w:type="dxa" w:w="1758"/>
            <w:tcBorders>
              <w:bottom w:val="single" w:sz="8" w:space="0" w:color="000000"/>
            </w:tcBorders>
          </w:tcPr>
          <w:p>
            <w:pPr>
              <w:spacing w:before="10" w:after="10" w:line="240" w:lineRule="auto"/>
              <w:jc w:val="left"/>
            </w:pPr>
            <w:r>
              <w:rPr>
                <w:rFonts w:asciiTheme="minorHAnsi" w:hAnsiTheme="minorHAnsi" w:cstheme="minorHAnsi"/>
                <w:sz w:val="16"/>
                <w:szCs w:val="16"/>
              </w:rPr>
              <w:t xml:space="preserve">2026-Q3</w:t>
            </w:r>
          </w:p>
        </w:tc>
        <w:tc>
          <w:tcPr>
            <w:tcW w:type="dxa" w:w="1758"/>
            <w:tcBorders>
              <w:bottom w:val="single" w:sz="8" w:space="0" w:color="000000"/>
            </w:tcBorders>
          </w:tcPr>
          <w:p>
            <w:pPr>
              <w:spacing w:before="10" w:after="10" w:line="240" w:lineRule="auto"/>
              <w:jc w:val="left"/>
            </w:pPr>
            <w:r>
              <w:rPr>
                <w:rFonts w:asciiTheme="minorHAnsi" w:hAnsiTheme="minorHAnsi" w:cstheme="minorHAnsi"/>
                <w:sz w:val="16"/>
                <w:szCs w:val="16"/>
              </w:rPr>
              <w:t xml:space="preserve">239</w:t>
            </w:r>
          </w:p>
        </w:tc>
        <w:tc>
          <w:tcPr>
            <w:tcW w:type="dxa" w:w="2462"/>
            <w:tcBorders>
              <w:bottom w:val="single" w:sz="8" w:space="0" w:color="000000"/>
            </w:tcBorders>
          </w:tcPr>
          <w:p>
            <w:pPr>
              <w:spacing w:before="10" w:after="10" w:line="240" w:lineRule="auto"/>
              <w:jc w:val="left"/>
            </w:pPr>
            <w:r>
              <w:rPr>
                <w:rFonts w:asciiTheme="minorHAnsi" w:hAnsiTheme="minorHAnsi" w:cstheme="minorHAnsi"/>
                <w:sz w:val="16"/>
                <w:szCs w:val="16"/>
              </w:rPr>
              <w:t xml:space="preserve">1.61 (5.4)</w:t>
            </w:r>
          </w:p>
        </w:tc>
        <w:tc>
          <w:tcPr>
            <w:tcW w:type="dxa" w:w="1582"/>
            <w:tcBorders>
              <w:bottom w:val="single" w:sz="8" w:space="0" w:color="000000"/>
            </w:tcBorders>
          </w:tcPr>
          <w:p>
            <w:pPr>
              <w:spacing w:before="10" w:after="10" w:line="240" w:lineRule="auto"/>
              <w:jc w:val="left"/>
            </w:pPr>
            <w:r>
              <w:rPr>
                <w:rFonts w:asciiTheme="minorHAnsi" w:hAnsiTheme="minorHAnsi" w:cstheme="minorHAnsi"/>
                <w:sz w:val="16"/>
                <w:szCs w:val="16"/>
              </w:rPr>
              <w:t xml:space="preserve">175</w:t>
            </w:r>
          </w:p>
        </w:tc>
        <w:tc>
          <w:tcPr>
            <w:tcW w:type="dxa" w:w="2637"/>
            <w:tcBorders>
              <w:bottom w:val="single" w:sz="8" w:space="0" w:color="000000"/>
            </w:tcBorders>
          </w:tcPr>
          <w:p>
            <w:pPr>
              <w:spacing w:before="10" w:after="10" w:line="240" w:lineRule="auto"/>
              <w:jc w:val="left"/>
            </w:pPr>
            <w:r>
              <w:rPr>
                <w:rFonts w:asciiTheme="minorHAnsi" w:hAnsiTheme="minorHAnsi" w:cstheme="minorHAnsi"/>
                <w:sz w:val="16"/>
                <w:szCs w:val="16"/>
              </w:rPr>
              <w:t xml:space="preserve">−1.55 (−2.8)</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Market-adjusted gaps in percent; two-way-clustered</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t</w:t>
      </w:r>
      <w:r>
        <w:rPr>
          <w:rFonts w:asciiTheme="minorHAnsi" w:eastAsia="Georgia" w:hAnsiTheme="minorHAnsi" w:cstheme="minorHAnsi"/>
          <w:color w:val="000000"/>
          <w:sz w:val="18"/>
          <w:szCs w:val="18"/>
          <w:bdr w:val="nil"/>
          <w:lang w:val="hr-HR" w:eastAsia="es-MX"/>
        </w:rPr>
        <w:t xml:space="preserve">-statistics in parentheses. Counts are events with a day-</w:t>
      </w:r>
      <w:r>
        <w:rPr>
          <w:rFonts w:asciiTheme="minorHAnsi" w:eastAsia="Georgia" w:hAnsiTheme="minorHAnsi" w:cstheme="minorHAnsi"/>
          <w:i/>
          <w:color w:val="000000"/>
          <w:sz w:val="18"/>
          <w:szCs w:val="18"/>
          <w:bdr w:val="nil"/>
          <w:lang w:val="hr-HR" w:eastAsia="es-MX"/>
        </w:rPr>
        <w:t xml:space="preserve">d</w:t>
      </w:r>
      <w:r>
        <w:rPr>
          <w:rFonts w:asciiTheme="minorHAnsi" w:eastAsia="Georgia" w:hAnsiTheme="minorHAnsi" w:cstheme="minorHAnsi"/>
          <w:color w:val="000000"/>
          <w:sz w:val="18"/>
          <w:szCs w:val="18"/>
          <w:bdr w:val="nil"/>
          <w:lang w:val="hr-HR" w:eastAsia="es-MX"/>
        </w:rPr>
        <w:t xml:space="preserve">+1 open. The first and last quarters are partial; the KRX change falls in 2025-Q2.</w:t>
      </w: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p>
    <w:p w14:paraId="401D168E" w14:textId="77777777" w:rsidR="00820C36" w:rsidRDefault="00820C36" w:rsidP="00820C36">
      <w:pPr>
        <w:keepNext/>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b/>
          <w:bCs/>
          <w:color w:val="632423" w:themeColor="accent2" w:themeShade="80"/>
          <w:sz w:val="18"/>
          <w:szCs w:val="18"/>
          <w:u w:color="000000"/>
          <w:bdr w:val="nil"/>
          <w:lang w:val="hr-HR" w:eastAsia="es-MX"/>
        </w:rPr>
        <w:t xml:space="preserve">Table 6</w:t>
      </w:r>
      <w:r>
        <w:rPr>
          <w:rFonts w:asciiTheme="minorHAnsi" w:eastAsia="Georgia" w:hAnsiTheme="minorHAnsi" w:cstheme="minorHAnsi"/>
          <w:color w:val="000000"/>
          <w:sz w:val="18"/>
          <w:szCs w:val="18"/>
          <w:bdr w:val="nil"/>
          <w:lang w:val="hr-HR" w:eastAsia="es-MX"/>
        </w:rPr>
        <w:t xml:space="preserve"> Comparison with earlier studies</w:t>
      </w:r>
    </w:p>
    <w:tbl>
      <w:tblPr>
        <w:tblW w:type="pct" w:w="5000"/>
        <w:jc w:val="center"/>
        <w:tblLayout w:type="fixed"/>
      </w:tblPr>
      <w:tblGrid>
        <w:gridCol w:w="2562"/>
        <w:gridCol w:w="1607"/>
        <w:gridCol w:w="3014"/>
        <w:gridCol w:w="3014"/>
      </w:tblGrid>
      <w:tr>
        <w:trPr>
          <w:cantSplit/>
          <w:tblHeader w:val="true"/>
        </w:trPr>
        <w:tc>
          <w:tcPr>
            <w:tcW w:type="dxa" w:w="2562"/>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Study</w:t>
            </w:r>
          </w:p>
        </w:tc>
        <w:tc>
          <w:tcPr>
            <w:tcW w:type="dxa" w:w="1607"/>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Setting</w:t>
            </w:r>
          </w:p>
        </w:tc>
        <w:tc>
          <w:tcPr>
            <w:tcW w:type="dxa" w:w="3014"/>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Reported finding</w:t>
            </w:r>
          </w:p>
        </w:tc>
        <w:tc>
          <w:tcPr>
            <w:tcW w:type="dxa" w:w="3014"/>
            <w:tcBorders>
              <w:top w:val="single" w:sz="8" w:space="0" w:color="000000"/>
              <w:bottom w:val="single" w:sz="6" w:space="0" w:color="000000"/>
            </w:tcBorders>
          </w:tcPr>
          <w:p>
            <w:pPr>
              <w:keepNext/>
              <w:spacing w:before="10" w:after="10" w:line="240" w:lineRule="auto"/>
              <w:jc w:val="left"/>
            </w:pPr>
            <w:r>
              <w:rPr>
                <w:rFonts w:asciiTheme="minorHAnsi" w:hAnsiTheme="minorHAnsi" w:cstheme="minorHAnsi"/>
                <w:sz w:val="16"/>
                <w:szCs w:val="16"/>
              </w:rPr>
              <w:t xml:space="preserve">Relation to our result</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Kim and Rhee (1997)</w:t>
            </w:r>
          </w:p>
        </w:tc>
        <w:tc>
          <w:tcPr>
            <w:tcW w:type="dxa" w:w="1607"/>
            <w:tcBorders/>
          </w:tcPr>
          <w:p>
            <w:pPr>
              <w:keepNext/>
              <w:spacing w:before="10" w:after="10" w:line="240" w:lineRule="auto"/>
              <w:jc w:val="left"/>
            </w:pPr>
            <w:r>
              <w:rPr>
                <w:rFonts w:asciiTheme="minorHAnsi" w:hAnsiTheme="minorHAnsi" w:cstheme="minorHAnsi"/>
                <w:sz w:val="16"/>
                <w:szCs w:val="16"/>
              </w:rPr>
              <w:t xml:space="preserve">Tokyo; limit hits</w:t>
            </w:r>
          </w:p>
        </w:tc>
        <w:tc>
          <w:tcPr>
            <w:tcW w:type="dxa" w:w="3014"/>
            <w:tcBorders/>
          </w:tcPr>
          <w:p>
            <w:pPr>
              <w:keepNext/>
              <w:spacing w:before="10" w:after="10" w:line="240" w:lineRule="auto"/>
              <w:jc w:val="left"/>
            </w:pPr>
            <w:r>
              <w:rPr>
                <w:rFonts w:asciiTheme="minorHAnsi" w:hAnsiTheme="minorHAnsi" w:cstheme="minorHAnsi"/>
                <w:sz w:val="16"/>
                <w:szCs w:val="16"/>
              </w:rPr>
              <w:t xml:space="preserve">Volatility spillover, delayed price discovery, and trading interference</w:t>
            </w:r>
          </w:p>
        </w:tc>
        <w:tc>
          <w:tcPr>
            <w:tcW w:type="dxa" w:w="3014"/>
            <w:tcBorders/>
          </w:tcPr>
          <w:p>
            <w:pPr>
              <w:keepNext/>
              <w:spacing w:before="10" w:after="10" w:line="240" w:lineRule="auto"/>
              <w:jc w:val="left"/>
            </w:pPr>
            <w:r>
              <w:rPr>
                <w:rFonts w:asciiTheme="minorHAnsi" w:hAnsiTheme="minorHAnsi" w:cstheme="minorHAnsi"/>
                <w:sz w:val="16"/>
                <w:szCs w:val="16"/>
              </w:rPr>
              <w:t xml:space="preserve">Ceiling next-day return consistent with delayed price discovery; spillover and interference not tested</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Berkman and Lee (2002)</w:t>
            </w:r>
          </w:p>
        </w:tc>
        <w:tc>
          <w:tcPr>
            <w:tcW w:type="dxa" w:w="1607"/>
            <w:tcBorders/>
          </w:tcPr>
          <w:p>
            <w:pPr>
              <w:keepNext/>
              <w:spacing w:before="10" w:after="10" w:line="240" w:lineRule="auto"/>
              <w:jc w:val="left"/>
            </w:pPr>
            <w:r>
              <w:rPr>
                <w:rFonts w:asciiTheme="minorHAnsi" w:hAnsiTheme="minorHAnsi" w:cstheme="minorHAnsi"/>
                <w:sz w:val="16"/>
                <w:szCs w:val="16"/>
              </w:rPr>
              <w:t xml:space="preserve">Korea; limit revision</w:t>
            </w:r>
          </w:p>
        </w:tc>
        <w:tc>
          <w:tcPr>
            <w:tcW w:type="dxa" w:w="3014"/>
            <w:tcBorders/>
          </w:tcPr>
          <w:p>
            <w:pPr>
              <w:keepNext/>
              <w:spacing w:before="10" w:after="10" w:line="240" w:lineRule="auto"/>
              <w:jc w:val="left"/>
            </w:pPr>
            <w:r>
              <w:rPr>
                <w:rFonts w:asciiTheme="minorHAnsi" w:hAnsiTheme="minorHAnsi" w:cstheme="minorHAnsi"/>
                <w:sz w:val="16"/>
                <w:szCs w:val="16"/>
              </w:rPr>
              <w:t xml:space="preserve">Volatility and trading activity around the revision</w:t>
            </w:r>
          </w:p>
        </w:tc>
        <w:tc>
          <w:tcPr>
            <w:tcW w:type="dxa" w:w="3014"/>
            <w:tcBorders/>
          </w:tcPr>
          <w:p>
            <w:pPr>
              <w:keepNext/>
              <w:spacing w:before="10" w:after="10" w:line="240" w:lineRule="auto"/>
              <w:jc w:val="left"/>
            </w:pPr>
            <w:r>
              <w:rPr>
                <w:rFonts w:asciiTheme="minorHAnsi" w:hAnsiTheme="minorHAnsi" w:cstheme="minorHAnsi"/>
                <w:sz w:val="16"/>
                <w:szCs w:val="16"/>
              </w:rPr>
              <w:t xml:space="preserve">Different question</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Huang et al. (2001)</w:t>
            </w:r>
          </w:p>
        </w:tc>
        <w:tc>
          <w:tcPr>
            <w:tcW w:type="dxa" w:w="1607"/>
            <w:tcBorders/>
          </w:tcPr>
          <w:p>
            <w:pPr>
              <w:keepNext/>
              <w:spacing w:before="10" w:after="10" w:line="240" w:lineRule="auto"/>
              <w:jc w:val="left"/>
            </w:pPr>
            <w:r>
              <w:rPr>
                <w:rFonts w:asciiTheme="minorHAnsi" w:hAnsiTheme="minorHAnsi" w:cstheme="minorHAnsi"/>
                <w:sz w:val="16"/>
                <w:szCs w:val="16"/>
              </w:rPr>
              <w:t xml:space="preserve">Taiwan; limit hits</w:t>
            </w:r>
          </w:p>
        </w:tc>
        <w:tc>
          <w:tcPr>
            <w:tcW w:type="dxa" w:w="3014"/>
            <w:tcBorders/>
          </w:tcPr>
          <w:p>
            <w:pPr>
              <w:keepNext/>
              <w:spacing w:before="10" w:after="10" w:line="240" w:lineRule="auto"/>
              <w:jc w:val="left"/>
            </w:pPr>
            <w:r>
              <w:rPr>
                <w:rFonts w:asciiTheme="minorHAnsi" w:hAnsiTheme="minorHAnsi" w:cstheme="minorHAnsi"/>
                <w:sz w:val="16"/>
                <w:szCs w:val="16"/>
              </w:rPr>
              <w:t xml:space="preserve">Overnight overreaction after limit hits corrected the next day</w:t>
            </w:r>
          </w:p>
        </w:tc>
        <w:tc>
          <w:tcPr>
            <w:tcW w:type="dxa" w:w="3014"/>
            <w:tcBorders/>
          </w:tcPr>
          <w:p>
            <w:pPr>
              <w:keepNext/>
              <w:spacing w:before="10" w:after="10" w:line="240" w:lineRule="auto"/>
              <w:jc w:val="left"/>
            </w:pPr>
            <w:r>
              <w:rPr>
                <w:rFonts w:asciiTheme="minorHAnsi" w:hAnsiTheme="minorHAnsi" w:cstheme="minorHAnsi"/>
                <w:sz w:val="16"/>
                <w:szCs w:val="16"/>
              </w:rPr>
              <w:t xml:space="preserve">Same timing: positive gap, partial intraday reversal</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Cho et al. (2003)</w:t>
            </w:r>
          </w:p>
        </w:tc>
        <w:tc>
          <w:tcPr>
            <w:tcW w:type="dxa" w:w="1607"/>
            <w:tcBorders/>
          </w:tcPr>
          <w:p>
            <w:pPr>
              <w:keepNext/>
              <w:spacing w:before="10" w:after="10" w:line="240" w:lineRule="auto"/>
              <w:jc w:val="left"/>
            </w:pPr>
            <w:r>
              <w:rPr>
                <w:rFonts w:asciiTheme="minorHAnsi" w:hAnsiTheme="minorHAnsi" w:cstheme="minorHAnsi"/>
                <w:sz w:val="16"/>
                <w:szCs w:val="16"/>
              </w:rPr>
              <w:t xml:space="preserve">Taiwan; five-minute data</w:t>
            </w:r>
          </w:p>
        </w:tc>
        <w:tc>
          <w:tcPr>
            <w:tcW w:type="dxa" w:w="3014"/>
            <w:tcBorders/>
          </w:tcPr>
          <w:p>
            <w:pPr>
              <w:keepNext/>
              <w:spacing w:before="10" w:after="10" w:line="240" w:lineRule="auto"/>
              <w:jc w:val="left"/>
            </w:pPr>
            <w:r>
              <w:rPr>
                <w:rFonts w:asciiTheme="minorHAnsi" w:hAnsiTheme="minorHAnsi" w:cstheme="minorHAnsi"/>
                <w:sz w:val="16"/>
                <w:szCs w:val="16"/>
              </w:rPr>
              <w:t xml:space="preserve">Prices accelerate toward the upper limit</w:t>
            </w:r>
          </w:p>
        </w:tc>
        <w:tc>
          <w:tcPr>
            <w:tcW w:type="dxa" w:w="3014"/>
            <w:tcBorders/>
          </w:tcPr>
          <w:p>
            <w:pPr>
              <w:keepNext/>
              <w:spacing w:before="10" w:after="10" w:line="240" w:lineRule="auto"/>
              <w:jc w:val="left"/>
            </w:pPr>
            <w:r>
              <w:rPr>
                <w:rFonts w:asciiTheme="minorHAnsi" w:hAnsiTheme="minorHAnsi" w:cstheme="minorHAnsi"/>
                <w:sz w:val="16"/>
                <w:szCs w:val="16"/>
              </w:rPr>
              <w:t xml:space="preserve">Not tested; no intraday prices</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Chen et al. (2019)</w:t>
            </w:r>
          </w:p>
        </w:tc>
        <w:tc>
          <w:tcPr>
            <w:tcW w:type="dxa" w:w="1607"/>
            <w:tcBorders/>
          </w:tcPr>
          <w:p>
            <w:pPr>
              <w:keepNext/>
              <w:spacing w:before="10" w:after="10" w:line="240" w:lineRule="auto"/>
              <w:jc w:val="left"/>
            </w:pPr>
            <w:r>
              <w:rPr>
                <w:rFonts w:asciiTheme="minorHAnsi" w:hAnsiTheme="minorHAnsi" w:cstheme="minorHAnsi"/>
                <w:sz w:val="16"/>
                <w:szCs w:val="16"/>
              </w:rPr>
              <w:t xml:space="preserve">Shenzhen; accounts</w:t>
            </w:r>
          </w:p>
        </w:tc>
        <w:tc>
          <w:tcPr>
            <w:tcW w:type="dxa" w:w="3014"/>
            <w:tcBorders/>
          </w:tcPr>
          <w:p>
            <w:pPr>
              <w:keepNext/>
              <w:spacing w:before="10" w:after="10" w:line="240" w:lineRule="auto"/>
              <w:jc w:val="left"/>
            </w:pPr>
            <w:r>
              <w:rPr>
                <w:rFonts w:asciiTheme="minorHAnsi" w:hAnsiTheme="minorHAnsi" w:cstheme="minorHAnsi"/>
                <w:sz w:val="16"/>
                <w:szCs w:val="16"/>
              </w:rPr>
              <w:t xml:space="preserve">Large investors buy on the limit day and sell the next; their net buying predicts long-run reversal</w:t>
            </w:r>
          </w:p>
        </w:tc>
        <w:tc>
          <w:tcPr>
            <w:tcW w:type="dxa" w:w="3014"/>
            <w:tcBorders/>
          </w:tcPr>
          <w:p>
            <w:pPr>
              <w:keepNext/>
              <w:spacing w:before="10" w:after="10" w:line="240" w:lineRule="auto"/>
              <w:jc w:val="left"/>
            </w:pPr>
            <w:r>
              <w:rPr>
                <w:rFonts w:asciiTheme="minorHAnsi" w:hAnsiTheme="minorHAnsi" w:cstheme="minorHAnsi"/>
                <w:sz w:val="16"/>
                <w:szCs w:val="16"/>
              </w:rPr>
              <w:t xml:space="preserve">Consistent with our intraday reversal; no account identities</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Qi (2023)</w:t>
            </w:r>
          </w:p>
        </w:tc>
        <w:tc>
          <w:tcPr>
            <w:tcW w:type="dxa" w:w="1607"/>
            <w:tcBorders/>
          </w:tcPr>
          <w:p>
            <w:pPr>
              <w:keepNext/>
              <w:spacing w:before="10" w:after="10" w:line="240" w:lineRule="auto"/>
              <w:jc w:val="left"/>
            </w:pPr>
            <w:r>
              <w:rPr>
                <w:rFonts w:asciiTheme="minorHAnsi" w:hAnsiTheme="minorHAnsi" w:cstheme="minorHAnsi"/>
                <w:sz w:val="16"/>
                <w:szCs w:val="16"/>
              </w:rPr>
              <w:t xml:space="preserve">ChiNext; band 10% to 20%</w:t>
            </w:r>
          </w:p>
        </w:tc>
        <w:tc>
          <w:tcPr>
            <w:tcW w:type="dxa" w:w="3014"/>
            <w:tcBorders/>
          </w:tcPr>
          <w:p>
            <w:pPr>
              <w:keepNext/>
              <w:spacing w:before="10" w:after="10" w:line="240" w:lineRule="auto"/>
              <w:jc w:val="left"/>
            </w:pPr>
            <w:r>
              <w:rPr>
                <w:rFonts w:asciiTheme="minorHAnsi" w:hAnsiTheme="minorHAnsi" w:cstheme="minorHAnsi"/>
                <w:sz w:val="16"/>
                <w:szCs w:val="16"/>
              </w:rPr>
              <w:t xml:space="preserve">Delayed price discovery, spillover, and interference, stronger at the lower limit; no magnet effect</w:t>
            </w:r>
          </w:p>
        </w:tc>
        <w:tc>
          <w:tcPr>
            <w:tcW w:type="dxa" w:w="3014"/>
            <w:tcBorders/>
          </w:tcPr>
          <w:p>
            <w:pPr>
              <w:keepNext/>
              <w:spacing w:before="10" w:after="10" w:line="240" w:lineRule="auto"/>
              <w:jc w:val="left"/>
            </w:pPr>
            <w:r>
              <w:rPr>
                <w:rFonts w:asciiTheme="minorHAnsi" w:hAnsiTheme="minorHAnsi" w:cstheme="minorHAnsi"/>
                <w:sz w:val="16"/>
                <w:szCs w:val="16"/>
              </w:rPr>
              <w:t xml:space="preserve">Different outcome (market quality); here both limit closes carry a next-day return, the floor effect depending on the benchmark</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Lin et al. (2023); Zeng et al. (2024)</w:t>
            </w:r>
          </w:p>
        </w:tc>
        <w:tc>
          <w:tcPr>
            <w:tcW w:type="dxa" w:w="1607"/>
            <w:tcBorders/>
          </w:tcPr>
          <w:p>
            <w:pPr>
              <w:keepNext/>
              <w:spacing w:before="10" w:after="10" w:line="240" w:lineRule="auto"/>
              <w:jc w:val="left"/>
            </w:pPr>
            <w:r>
              <w:rPr>
                <w:rFonts w:asciiTheme="minorHAnsi" w:hAnsiTheme="minorHAnsi" w:cstheme="minorHAnsi"/>
                <w:sz w:val="16"/>
                <w:szCs w:val="16"/>
              </w:rPr>
              <w:t xml:space="preserve">China; cross-section</w:t>
            </w:r>
          </w:p>
        </w:tc>
        <w:tc>
          <w:tcPr>
            <w:tcW w:type="dxa" w:w="3014"/>
            <w:tcBorders/>
          </w:tcPr>
          <w:p>
            <w:pPr>
              <w:keepNext/>
              <w:spacing w:before="10" w:after="10" w:line="240" w:lineRule="auto"/>
              <w:jc w:val="left"/>
            </w:pPr>
            <w:r>
              <w:rPr>
                <w:rFonts w:asciiTheme="minorHAnsi" w:hAnsiTheme="minorHAnsi" w:cstheme="minorHAnsi"/>
                <w:sz w:val="16"/>
                <w:szCs w:val="16"/>
              </w:rPr>
              <w:t xml:space="preserve">Large limit exposure or frequent upper-limit hits predict lower returns</w:t>
            </w:r>
          </w:p>
        </w:tc>
        <w:tc>
          <w:tcPr>
            <w:tcW w:type="dxa" w:w="3014"/>
            <w:tcBorders/>
          </w:tcPr>
          <w:p>
            <w:pPr>
              <w:keepNext/>
              <w:spacing w:before="10" w:after="10" w:line="240" w:lineRule="auto"/>
              <w:jc w:val="left"/>
            </w:pPr>
            <w:r>
              <w:rPr>
                <w:rFonts w:asciiTheme="minorHAnsi" w:hAnsiTheme="minorHAnsi" w:cstheme="minorHAnsi"/>
                <w:sz w:val="16"/>
                <w:szCs w:val="16"/>
              </w:rPr>
              <w:t xml:space="preserve">Different horizon; a one-day gain can coexist with later reversal, which we do not measure</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Berkman et al. (2012)</w:t>
            </w:r>
          </w:p>
        </w:tc>
        <w:tc>
          <w:tcPr>
            <w:tcW w:type="dxa" w:w="1607"/>
            <w:tcBorders/>
          </w:tcPr>
          <w:p>
            <w:pPr>
              <w:keepNext/>
              <w:spacing w:before="10" w:after="10" w:line="240" w:lineRule="auto"/>
              <w:jc w:val="left"/>
            </w:pPr>
            <w:r>
              <w:rPr>
                <w:rFonts w:asciiTheme="minorHAnsi" w:hAnsiTheme="minorHAnsi" w:cstheme="minorHAnsi"/>
                <w:sz w:val="16"/>
                <w:szCs w:val="16"/>
              </w:rPr>
              <w:t xml:space="preserve">U.S.; intraday data</w:t>
            </w:r>
          </w:p>
        </w:tc>
        <w:tc>
          <w:tcPr>
            <w:tcW w:type="dxa" w:w="3014"/>
            <w:tcBorders/>
          </w:tcPr>
          <w:p>
            <w:pPr>
              <w:keepNext/>
              <w:spacing w:before="10" w:after="10" w:line="240" w:lineRule="auto"/>
              <w:jc w:val="left"/>
            </w:pPr>
            <w:r>
              <w:rPr>
                <w:rFonts w:asciiTheme="minorHAnsi" w:hAnsiTheme="minorHAnsi" w:cstheme="minorHAnsi"/>
                <w:sz w:val="16"/>
                <w:szCs w:val="16"/>
              </w:rPr>
              <w:t xml:space="preserve">Overnight gains, intraday reversals, concentrated in high-attention stocks</w:t>
            </w:r>
          </w:p>
        </w:tc>
        <w:tc>
          <w:tcPr>
            <w:tcW w:type="dxa" w:w="3014"/>
            <w:tcBorders/>
          </w:tcPr>
          <w:p>
            <w:pPr>
              <w:keepNext/>
              <w:spacing w:before="10" w:after="10" w:line="240" w:lineRule="auto"/>
              <w:jc w:val="left"/>
            </w:pPr>
            <w:r>
              <w:rPr>
                <w:rFonts w:asciiTheme="minorHAnsi" w:hAnsiTheme="minorHAnsi" w:cstheme="minorHAnsi"/>
                <w:sz w:val="16"/>
                <w:szCs w:val="16"/>
              </w:rPr>
              <w:t xml:space="preserve">Same signs; the gap also rises with volume and prior return</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Lou et al. (2019)</w:t>
            </w:r>
          </w:p>
        </w:tc>
        <w:tc>
          <w:tcPr>
            <w:tcW w:type="dxa" w:w="1607"/>
            <w:tcBorders/>
          </w:tcPr>
          <w:p>
            <w:pPr>
              <w:keepNext/>
              <w:spacing w:before="10" w:after="10" w:line="240" w:lineRule="auto"/>
              <w:jc w:val="left"/>
            </w:pPr>
            <w:r>
              <w:rPr>
                <w:rFonts w:asciiTheme="minorHAnsi" w:hAnsiTheme="minorHAnsi" w:cstheme="minorHAnsi"/>
                <w:sz w:val="16"/>
                <w:szCs w:val="16"/>
              </w:rPr>
              <w:t xml:space="preserve">U.S.; stock returns</w:t>
            </w:r>
          </w:p>
        </w:tc>
        <w:tc>
          <w:tcPr>
            <w:tcW w:type="dxa" w:w="3014"/>
            <w:tcBorders/>
          </w:tcPr>
          <w:p>
            <w:pPr>
              <w:keepNext/>
              <w:spacing w:before="10" w:after="10" w:line="240" w:lineRule="auto"/>
              <w:jc w:val="left"/>
            </w:pPr>
            <w:r>
              <w:rPr>
                <w:rFonts w:asciiTheme="minorHAnsi" w:hAnsiTheme="minorHAnsi" w:cstheme="minorHAnsi"/>
                <w:sz w:val="16"/>
                <w:szCs w:val="16"/>
              </w:rPr>
              <w:t xml:space="preserve">Overnight and intraday continuation, offsetting cross-period reversal</w:t>
            </w:r>
          </w:p>
        </w:tc>
        <w:tc>
          <w:tcPr>
            <w:tcW w:type="dxa" w:w="3014"/>
            <w:tcBorders/>
          </w:tcPr>
          <w:p>
            <w:pPr>
              <w:keepNext/>
              <w:spacing w:before="10" w:after="10" w:line="240" w:lineRule="auto"/>
              <w:jc w:val="left"/>
            </w:pPr>
            <w:r>
              <w:rPr>
                <w:rFonts w:asciiTheme="minorHAnsi" w:hAnsiTheme="minorHAnsi" w:cstheme="minorHAnsi"/>
                <w:sz w:val="16"/>
                <w:szCs w:val="16"/>
              </w:rPr>
              <w:t xml:space="preserve">Gap-then-reversal has the sign of that cross-period reversal at one day</w:t>
            </w:r>
          </w:p>
        </w:tc>
      </w:tr>
      <w:tr>
        <w:trPr>
          <w:cantSplit/>
        </w:trPr>
        <w:tc>
          <w:tcPr>
            <w:tcW w:type="dxa" w:w="2562"/>
            <w:tcBorders/>
          </w:tcPr>
          <w:p>
            <w:pPr>
              <w:keepNext/>
              <w:spacing w:before="10" w:after="10" w:line="240" w:lineRule="auto"/>
              <w:jc w:val="left"/>
            </w:pPr>
            <w:r>
              <w:rPr>
                <w:rFonts w:asciiTheme="minorHAnsi" w:hAnsiTheme="minorHAnsi" w:cstheme="minorHAnsi"/>
                <w:sz w:val="16"/>
                <w:szCs w:val="16"/>
              </w:rPr>
              <w:t xml:space="preserve">Qiao and Dam (2020)</w:t>
            </w:r>
          </w:p>
        </w:tc>
        <w:tc>
          <w:tcPr>
            <w:tcW w:type="dxa" w:w="1607"/>
            <w:tcBorders/>
          </w:tcPr>
          <w:p>
            <w:pPr>
              <w:keepNext/>
              <w:spacing w:before="10" w:after="10" w:line="240" w:lineRule="auto"/>
              <w:jc w:val="left"/>
            </w:pPr>
            <w:r>
              <w:rPr>
                <w:rFonts w:asciiTheme="minorHAnsi" w:hAnsiTheme="minorHAnsi" w:cstheme="minorHAnsi"/>
                <w:sz w:val="16"/>
                <w:szCs w:val="16"/>
              </w:rPr>
              <w:t xml:space="preserve">China A-shares</w:t>
            </w:r>
          </w:p>
        </w:tc>
        <w:tc>
          <w:tcPr>
            <w:tcW w:type="dxa" w:w="3014"/>
            <w:tcBorders/>
          </w:tcPr>
          <w:p>
            <w:pPr>
              <w:keepNext/>
              <w:spacing w:before="10" w:after="10" w:line="240" w:lineRule="auto"/>
              <w:jc w:val="left"/>
            </w:pPr>
            <w:r>
              <w:rPr>
                <w:rFonts w:asciiTheme="minorHAnsi" w:hAnsiTheme="minorHAnsi" w:cstheme="minorHAnsi"/>
                <w:sz w:val="16"/>
                <w:szCs w:val="16"/>
              </w:rPr>
              <w:t xml:space="preserve">Negative average overnight return; T+1 rule lowers opening prices</w:t>
            </w:r>
          </w:p>
        </w:tc>
        <w:tc>
          <w:tcPr>
            <w:tcW w:type="dxa" w:w="3014"/>
            <w:tcBorders/>
          </w:tcPr>
          <w:p>
            <w:pPr>
              <w:keepNext/>
              <w:spacing w:before="10" w:after="10" w:line="240" w:lineRule="auto"/>
              <w:jc w:val="left"/>
            </w:pPr>
            <w:r>
              <w:rPr>
                <w:rFonts w:asciiTheme="minorHAnsi" w:hAnsiTheme="minorHAnsi" w:cstheme="minorHAnsi"/>
                <w:sz w:val="16"/>
                <w:szCs w:val="16"/>
              </w:rPr>
              <w:t xml:space="preserve">Opposite sign: positive overnight return after ceiling closes</w:t>
            </w:r>
          </w:p>
        </w:tc>
      </w:tr>
      <w:tr>
        <w:trPr>
          <w:cantSplit/>
        </w:trPr>
        <w:tc>
          <w:tcPr>
            <w:tcW w:type="dxa" w:w="2562"/>
            <w:tcBorders>
              <w:bottom w:val="single" w:sz="8" w:space="0" w:color="000000"/>
            </w:tcBorders>
          </w:tcPr>
          <w:p>
            <w:pPr>
              <w:spacing w:before="10" w:after="10" w:line="240" w:lineRule="auto"/>
              <w:jc w:val="left"/>
            </w:pPr>
            <w:r>
              <w:rPr>
                <w:rFonts w:asciiTheme="minorHAnsi" w:hAnsiTheme="minorHAnsi" w:cstheme="minorHAnsi"/>
                <w:sz w:val="16"/>
                <w:szCs w:val="16"/>
              </w:rPr>
              <w:t xml:space="preserve">Hou et al. (2020); Harvey et al. (2016)</w:t>
            </w:r>
          </w:p>
        </w:tc>
        <w:tc>
          <w:tcPr>
            <w:tcW w:type="dxa" w:w="1607"/>
            <w:tcBorders>
              <w:bottom w:val="single" w:sz="8" w:space="0" w:color="000000"/>
            </w:tcBorders>
          </w:tcPr>
          <w:p>
            <w:pPr>
              <w:spacing w:before="10" w:after="10" w:line="240" w:lineRule="auto"/>
              <w:jc w:val="left"/>
            </w:pPr>
            <w:r>
              <w:rPr>
                <w:rFonts w:asciiTheme="minorHAnsi" w:hAnsiTheme="minorHAnsi" w:cstheme="minorHAnsi"/>
                <w:sz w:val="16"/>
                <w:szCs w:val="16"/>
              </w:rPr>
              <w:t xml:space="preserve">U.S.; anomalies</w:t>
            </w:r>
          </w:p>
        </w:tc>
        <w:tc>
          <w:tcPr>
            <w:tcW w:type="dxa" w:w="3014"/>
            <w:tcBorders>
              <w:bottom w:val="single" w:sz="8" w:space="0" w:color="000000"/>
            </w:tcBorders>
          </w:tcPr>
          <w:p>
            <w:pPr>
              <w:spacing w:before="10" w:after="10" w:line="240" w:lineRule="auto"/>
              <w:jc w:val="left"/>
            </w:pPr>
            <w:r>
              <w:rPr>
                <w:rFonts w:asciiTheme="minorHAnsi" w:hAnsiTheme="minorHAnsi" w:cstheme="minorHAnsi"/>
                <w:sz w:val="16"/>
                <w:szCs w:val="16"/>
              </w:rPr>
              <w:t xml:space="preserve">With microcaps mitigated, 65% of 452 anomalies fail the 1.96 hurdle; a new factor needs</w:t>
            </w:r>
            <w:r>
              <w:rPr>
                <w:rFonts w:asciiTheme="minorHAnsi" w:hAnsiTheme="minorHAnsi" w:cstheme="minorHAnsi"/>
                <w:sz w:val="16"/>
                <w:szCs w:val="16"/>
              </w:rPr>
              <w:t xml:space="preserve"> </w:t>
            </w:r>
            <w:r>
              <w:rPr>
                <w:rFonts w:asciiTheme="minorHAnsi" w:hAnsiTheme="minorHAnsi" w:cstheme="minorHAnsi"/>
                <w:i/>
                <w:iCs/>
                <w:sz w:val="16"/>
                <w:szCs w:val="16"/>
              </w:rPr>
              <w:t xml:space="preserve">t</w:t>
            </w:r>
            <w:r>
              <w:rPr>
                <w:rFonts w:asciiTheme="minorHAnsi" w:hAnsiTheme="minorHAnsi" w:cstheme="minorHAnsi"/>
                <w:sz w:val="16"/>
                <w:szCs w:val="16"/>
              </w:rPr>
              <w:t xml:space="preserve"> </w:t>
            </w:r>
            <w:r>
              <w:rPr>
                <w:rFonts w:asciiTheme="minorHAnsi" w:hAnsiTheme="minorHAnsi" w:cstheme="minorHAnsi"/>
                <w:sz w:val="16"/>
                <w:szCs w:val="16"/>
              </w:rPr>
              <w:t xml:space="preserve">above 3.0</w:t>
            </w:r>
          </w:p>
        </w:tc>
        <w:tc>
          <w:tcPr>
            <w:tcW w:type="dxa" w:w="3014"/>
            <w:tcBorders>
              <w:bottom w:val="single" w:sz="8" w:space="0" w:color="000000"/>
            </w:tcBorders>
          </w:tcPr>
          <w:p>
            <w:pPr>
              <w:spacing w:before="10" w:after="10" w:line="240" w:lineRule="auto"/>
              <w:jc w:val="left"/>
            </w:pPr>
            <w:r>
              <w:rPr>
                <w:rFonts w:asciiTheme="minorHAnsi" w:hAnsiTheme="minorHAnsi" w:cstheme="minorHAnsi"/>
                <w:sz w:val="16"/>
                <w:szCs w:val="16"/>
              </w:rPr>
              <w:t xml:space="preserve">None of our 22 characteristics reaches 1.96 in the full sample</w:t>
            </w:r>
          </w:p>
        </w:tc>
      </w:tr>
    </w:tbl>
    <w:p w14:paraId="601B9612" w14:textId="77777777" w:rsidR="00820C36" w:rsidRDefault="00820C36" w:rsidP="00820C36">
      <w:pPr>
        <w:autoSpaceDE w:val="0"/>
        <w:autoSpaceDN w:val="0"/>
        <w:adjustRightInd w:val="0"/>
        <w:spacing w:after="0"/>
        <w:jc w:val="both"/>
        <w:rPr>
          <w:rFonts w:asciiTheme="minorHAnsi" w:eastAsia="Georgia" w:hAnsiTheme="minorHAnsi" w:cstheme="minorHAnsi"/>
          <w:bCs/>
          <w:color w:val="000000"/>
          <w:sz w:val="18"/>
          <w:szCs w:val="18"/>
          <w:u w:color="000000"/>
          <w:bdr w:val="nil"/>
          <w:lang w:val="hr-HR" w:eastAsia="es-MX"/>
        </w:rPr>
      </w:pPr>
      <w:r>
        <w:rPr>
          <w:rFonts w:asciiTheme="minorHAnsi" w:eastAsia="Georgia" w:hAnsiTheme="minorHAnsi" w:cstheme="minorHAnsi"/>
          <w:color w:val="000000"/>
          <w:sz w:val="18"/>
          <w:szCs w:val="18"/>
          <w:bdr w:val="nil"/>
          <w:lang w:val="hr-HR" w:eastAsia="es-MX"/>
        </w:rPr>
        <w:t xml:space="preserve"/>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i/>
          <w:color w:val="000000"/>
          <w:sz w:val="18"/>
          <w:szCs w:val="18"/>
          <w:bdr w:val="nil"/>
          <w:lang w:val="hr-HR" w:eastAsia="es-MX"/>
        </w:rPr>
        <w:t xml:space="preserve">Note.</w:t>
      </w:r>
      <w:r>
        <w:rPr>
          <w:rFonts w:asciiTheme="minorHAnsi" w:eastAsia="Georgia" w:hAnsiTheme="minorHAnsi" w:cstheme="minorHAnsi"/>
          <w:color w:val="000000"/>
          <w:sz w:val="18"/>
          <w:szCs w:val="18"/>
          <w:bdr w:val="nil"/>
          <w:lang w:val="hr-HR" w:eastAsia="es-MX"/>
        </w:rPr>
        <w:t xml:space="preserve"> </w:t>
      </w:r>
      <w:r>
        <w:rPr>
          <w:rFonts w:asciiTheme="minorHAnsi" w:eastAsia="Georgia" w:hAnsiTheme="minorHAnsi" w:cstheme="minorHAnsi"/>
          <w:color w:val="000000"/>
          <w:sz w:val="18"/>
          <w:szCs w:val="18"/>
          <w:bdr w:val="nil"/>
          <w:lang w:val="hr-HR" w:eastAsia="es-MX"/>
        </w:rPr>
        <w:t xml:space="preserve">Findings as reported in each source’s abstract or in the records we could access.</w:t>
      </w:r>
    </w:p>
    <w:sectPr w:rsidR="006F2D9E" w:rsidRPr="006F2D9E" w:rsidSect="001E3F3A">
      <w:type w:val="continuous"/>
      <w:pgSz w:w="11906" w:h="16838"/>
      <w:pgMar w:top="1418" w:right="849" w:bottom="1418" w:left="851" w:header="709" w:footer="709" w:gutter="0"/>
      <w:lnNumType w:countBy="1" w:restart="continuous"/>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93B8A" w14:textId="77777777" w:rsidR="00570226" w:rsidRDefault="00570226" w:rsidP="00201BED">
      <w:pPr>
        <w:spacing w:after="0" w:line="240" w:lineRule="auto"/>
      </w:pPr>
      <w:r>
        <w:separator/>
      </w:r>
    </w:p>
  </w:endnote>
  <w:endnote w:type="continuationSeparator" w:id="0">
    <w:p w14:paraId="53D39E30" w14:textId="77777777" w:rsidR="00570226" w:rsidRDefault="00570226" w:rsidP="00201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RSKHIL+WarnockPro-Regular">
    <w:altName w:val="Times New Roman"/>
    <w:panose1 w:val="020B0604020202020204"/>
    <w:charset w:val="00"/>
    <w:family w:val="roman"/>
    <w:notTrueType/>
    <w:pitch w:val="default"/>
    <w:sig w:usb0="00000003" w:usb1="00000000" w:usb2="00000000" w:usb3="00000000" w:csb0="00000001" w:csb1="00000000"/>
  </w:font>
  <w:font w:name="DejaVu Sans">
    <w:panose1 w:val="020B0604020202020204"/>
    <w:charset w:val="00"/>
    <w:family w:val="swiss"/>
    <w:pitch w:val="variable"/>
    <w:sig w:usb0="E7000EFF" w:usb1="5200F5FF" w:usb2="0A242021" w:usb3="00000000" w:csb0="000001BF" w:csb1="00000000"/>
  </w:font>
  <w:font w:name="TimesNewRomanPSMT">
    <w:altName w:val="Times New Roman"/>
    <w:panose1 w:val="020B0604020202020204"/>
    <w:charset w:val="0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2"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Neue">
    <w:altName w:val="Arial"/>
    <w:panose1 w:val="02000503000000020004"/>
    <w:charset w:val="00"/>
    <w:family w:val="auto"/>
    <w:pitch w:val="variable"/>
    <w:sig w:usb0="E50002FF" w:usb1="500079DB" w:usb2="0000001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95B43" w14:textId="4DA9117E" w:rsidR="005705D6" w:rsidRDefault="006E7F0C" w:rsidP="0040758B">
    <w:pPr>
      <w:pStyle w:val="Rodap"/>
      <w:tabs>
        <w:tab w:val="clear" w:pos="4252"/>
        <w:tab w:val="clear" w:pos="8504"/>
        <w:tab w:val="left" w:pos="6969"/>
      </w:tabs>
    </w:pPr>
    <w:r w:rsidRPr="00047AD1">
      <w:rPr>
        <w:noProof/>
        <w:color w:val="0070C0"/>
        <w:sz w:val="20"/>
        <w:lang w:eastAsia="pt-BR"/>
      </w:rPr>
      <w:drawing>
        <wp:anchor distT="0" distB="0" distL="114300" distR="114300" simplePos="0" relativeHeight="251711488" behindDoc="1" locked="0" layoutInCell="1" allowOverlap="1" wp14:anchorId="6A10E517" wp14:editId="127DFA18">
          <wp:simplePos x="0" y="0"/>
          <wp:positionH relativeFrom="column">
            <wp:posOffset>6233491</wp:posOffset>
          </wp:positionH>
          <wp:positionV relativeFrom="paragraph">
            <wp:posOffset>-195580</wp:posOffset>
          </wp:positionV>
          <wp:extent cx="193040" cy="187325"/>
          <wp:effectExtent l="0" t="0" r="0" b="3175"/>
          <wp:wrapNone/>
          <wp:docPr id="1442428094" name="Imagem 1442428094">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ite705g3Mini\Desktop\malque logo.png"/>
                  <pic:cNvPicPr>
                    <a:picLocks noChangeAspect="1" noChangeArrowheads="1"/>
                  </pic:cNvPicPr>
                </pic:nvPicPr>
                <pic:blipFill>
                  <a:blip r:embed="rId2"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93040" cy="187325"/>
                  </a:xfrm>
                  <a:prstGeom prst="rect">
                    <a:avLst/>
                  </a:prstGeom>
                  <a:noFill/>
                  <a:ln>
                    <a:noFill/>
                  </a:ln>
                </pic:spPr>
              </pic:pic>
            </a:graphicData>
          </a:graphic>
        </wp:anchor>
      </w:drawing>
    </w:r>
    <w:r w:rsidR="005705D6">
      <w:rPr>
        <w:noProof/>
        <w:lang w:eastAsia="pt-BR"/>
      </w:rPr>
      <mc:AlternateContent>
        <mc:Choice Requires="wps">
          <w:drawing>
            <wp:anchor distT="0" distB="0" distL="114300" distR="114300" simplePos="0" relativeHeight="251707392" behindDoc="0" locked="0" layoutInCell="1" allowOverlap="1" wp14:anchorId="648CBBA5" wp14:editId="76F3EF6D">
              <wp:simplePos x="0" y="0"/>
              <wp:positionH relativeFrom="column">
                <wp:posOffset>-47404</wp:posOffset>
              </wp:positionH>
              <wp:positionV relativeFrom="paragraph">
                <wp:posOffset>-171726</wp:posOffset>
              </wp:positionV>
              <wp:extent cx="2107096" cy="238836"/>
              <wp:effectExtent l="0" t="0" r="7620" b="8890"/>
              <wp:wrapNone/>
              <wp:docPr id="2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7096" cy="2388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44C6F6" w14:textId="77777777" w:rsidR="00225D49" w:rsidRPr="00B33510" w:rsidRDefault="00570226" w:rsidP="00225D49">
                          <w:pPr>
                            <w:rPr>
                              <w:rFonts w:cs="Calibri"/>
                              <w:color w:val="A6A6A6" w:themeColor="background1" w:themeShade="A6"/>
                              <w:sz w:val="16"/>
                              <w:szCs w:val="16"/>
                            </w:rPr>
                          </w:pPr>
                          <w:hyperlink r:id="rId3" w:history="1">
                            <w:r w:rsidR="00225D49" w:rsidRPr="00B33510">
                              <w:rPr>
                                <w:rStyle w:val="Hyperlink"/>
                                <w:rFonts w:cs="Calibri"/>
                                <w:color w:val="A6A6A6" w:themeColor="background1" w:themeShade="A6"/>
                                <w:sz w:val="16"/>
                                <w:szCs w:val="16"/>
                                <w:u w:val="none"/>
                              </w:rPr>
                              <w:t>https://www.malque.pub/ojs/index.php/msj</w:t>
                            </w:r>
                          </w:hyperlink>
                        </w:p>
                        <w:p w14:paraId="68C7ACC2" w14:textId="6592D00F" w:rsidR="005705D6" w:rsidRPr="00A37526" w:rsidRDefault="005705D6" w:rsidP="0040758B">
                          <w:pPr>
                            <w:rPr>
                              <w:rFonts w:cs="Calibri"/>
                              <w:color w:val="A6A6A6" w:themeColor="background1" w:themeShade="A6"/>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48CBBA5" id="_x0000_t202" coordsize="21600,21600" o:spt="202" path="m,l,21600r21600,l21600,xe">
              <v:stroke joinstyle="miter"/>
              <v:path gradientshapeok="t" o:connecttype="rect"/>
            </v:shapetype>
            <v:shape id="_x0000_s1029" type="#_x0000_t202" style="position:absolute;margin-left:-3.75pt;margin-top:-13.5pt;width:165.9pt;height:18.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" stroked="f">
              <v:textbox>
                <w:txbxContent>
                  <w:p w14:paraId="4C44C6F6" w14:textId="77777777" w:rsidR="00225D49" w:rsidRPr="00B33510" w:rsidRDefault="00000000" w:rsidP="00225D49">
                    <w:pPr>
                      <w:rPr>
                        <w:rFonts w:cs="Calibri"/>
                        <w:color w:val="A6A6A6" w:themeColor="background1" w:themeShade="A6"/>
                        <w:sz w:val="16"/>
                        <w:szCs w:val="16"/>
                      </w:rPr>
                    </w:pPr>
                    <w:hyperlink r:id="rId4" w:history="1">
                      <w:r w:rsidR="00225D49" w:rsidRPr="00B33510">
                        <w:rPr>
                          <w:rStyle w:val="Hyperlink"/>
                          <w:rFonts w:cs="Calibri"/>
                          <w:color w:val="A6A6A6" w:themeColor="background1" w:themeShade="A6"/>
                          <w:sz w:val="16"/>
                          <w:szCs w:val="16"/>
                          <w:u w:val="none"/>
                        </w:rPr>
                        <w:t>https://www.malque.pub/ojs/index.php/msj</w:t>
                      </w:r>
                    </w:hyperlink>
                  </w:p>
                  <w:p w14:paraId="68C7ACC2" w14:textId="6592D00F" w:rsidR="005705D6" w:rsidRPr="00A37526" w:rsidRDefault="005705D6" w:rsidP="0040758B">
                    <w:pPr>
                      <w:rPr>
                        <w:rFonts w:cs="Calibri"/>
                        <w:color w:val="A6A6A6" w:themeColor="background1" w:themeShade="A6"/>
                        <w:sz w:val="16"/>
                        <w:szCs w:val="16"/>
                      </w:rPr>
                    </w:pPr>
                  </w:p>
                </w:txbxContent>
              </v:textbox>
            </v:shape>
          </w:pict>
        </mc:Fallback>
      </mc:AlternateContent>
    </w:r>
    <w:r w:rsidR="005705D6">
      <w:rPr>
        <w:noProof/>
        <w:lang w:eastAsia="pt-BR"/>
      </w:rPr>
      <mc:AlternateContent>
        <mc:Choice Requires="wps">
          <w:drawing>
            <wp:anchor distT="4294967295" distB="4294967295" distL="114300" distR="114300" simplePos="0" relativeHeight="251684864" behindDoc="0" locked="0" layoutInCell="1" allowOverlap="1" wp14:anchorId="23817E40" wp14:editId="55DB80C1">
              <wp:simplePos x="0" y="0"/>
              <wp:positionH relativeFrom="column">
                <wp:posOffset>33020</wp:posOffset>
              </wp:positionH>
              <wp:positionV relativeFrom="paragraph">
                <wp:posOffset>-220345</wp:posOffset>
              </wp:positionV>
              <wp:extent cx="6417945" cy="0"/>
              <wp:effectExtent l="0" t="0" r="8255" b="12700"/>
              <wp:wrapNone/>
              <wp:docPr id="6"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945"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94AD2D" id="_x0000_t32" coordsize="21600,21600" o:spt="32" o:oned="t" path="m,l21600,21600e" filled="f">
              <v:path arrowok="t" fillok="f" o:connecttype="none"/>
              <o:lock v:ext="edit" shapetype="t"/>
            </v:shapetype>
            <v:shape id="AutoShape 16" o:spid="_x0000_s1026" type="#_x0000_t32" style="position:absolute;margin-left:2.6pt;margin-top:-17.35pt;width:505.35pt;height:0;z-index:251684864;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" strokecolor="#83150e" strokeweight="1pt"/>
          </w:pict>
        </mc:Fallback>
      </mc:AlternateContent>
    </w:r>
    <w:r w:rsidR="005705D6">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394"/>
      <w:gridCol w:w="2747"/>
    </w:tblGrid>
    <w:tr w:rsidR="007409D7" w:rsidRPr="00A94872" w14:paraId="27DA4ED7" w14:textId="77777777" w:rsidTr="00870D6E">
      <w:trPr>
        <w:trHeight w:val="532"/>
      </w:trPr>
      <w:tc>
        <w:tcPr>
          <w:tcW w:w="3119" w:type="dxa"/>
        </w:tcPr>
        <w:p w14:paraId="37DD1B26" w14:textId="5397B12F" w:rsidR="00877B75" w:rsidRPr="007409D7" w:rsidRDefault="004C6D61" w:rsidP="00877B75">
          <w:pPr>
            <w:spacing w:after="0" w:line="240" w:lineRule="auto"/>
            <w:jc w:val="center"/>
            <w:rPr>
              <w:rFonts w:asciiTheme="minorHAnsi" w:hAnsiTheme="minorHAnsi" w:cstheme="minorHAnsi"/>
              <w:color w:val="BFBFBF" w:themeColor="background1" w:themeShade="BF"/>
              <w:sz w:val="8"/>
              <w:szCs w:val="8"/>
              <w:lang w:val="en-US"/>
            </w:rPr>
          </w:pPr>
          <w:r w:rsidRPr="007409D7">
            <w:rPr>
              <w:noProof/>
              <w:color w:val="BFBFBF" w:themeColor="background1" w:themeShade="BF"/>
              <w:lang w:eastAsia="pt-BR"/>
            </w:rPr>
            <mc:AlternateContent>
              <mc:Choice Requires="wps">
                <w:drawing>
                  <wp:anchor distT="4294967295" distB="4294967295" distL="114300" distR="114300" simplePos="0" relativeHeight="251691008" behindDoc="0" locked="0" layoutInCell="1" allowOverlap="1" wp14:anchorId="5C0D3489" wp14:editId="739CDAFE">
                    <wp:simplePos x="0" y="0"/>
                    <wp:positionH relativeFrom="column">
                      <wp:posOffset>-43815</wp:posOffset>
                    </wp:positionH>
                    <wp:positionV relativeFrom="paragraph">
                      <wp:posOffset>4752</wp:posOffset>
                    </wp:positionV>
                    <wp:extent cx="6417945" cy="0"/>
                    <wp:effectExtent l="0" t="0" r="8255" b="12700"/>
                    <wp:wrapNone/>
                    <wp:docPr id="1"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945"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E2FD8A" id="_x0000_t32" coordsize="21600,21600" o:spt="32" o:oned="t" path="m,l21600,21600e" filled="f">
                    <v:path arrowok="t" fillok="f" o:connecttype="none"/>
                    <o:lock v:ext="edit" shapetype="t"/>
                  </v:shapetype>
                  <v:shape id="AutoShape 31" o:spid="_x0000_s1026" type="#_x0000_t32" style="position:absolute;margin-left:-3.45pt;margin-top:.35pt;width:505.35pt;height:0;z-index:251691008;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" strokecolor="#83150e" strokeweight="1pt"/>
                </w:pict>
              </mc:Fallback>
            </mc:AlternateContent>
          </w:r>
        </w:p>
        <w:p w14:paraId="5C53F5FB" w14:textId="331E5FFA" w:rsidR="00877B75" w:rsidRPr="007409D7" w:rsidRDefault="00870D6E" w:rsidP="00F8581F">
          <w:pPr>
            <w:spacing w:after="0" w:line="240" w:lineRule="auto"/>
            <w:rPr>
              <w:rFonts w:asciiTheme="minorHAnsi" w:hAnsiTheme="minorHAnsi" w:cstheme="minorHAnsi"/>
              <w:color w:val="BFBFBF" w:themeColor="background1" w:themeShade="BF"/>
              <w:sz w:val="16"/>
              <w:szCs w:val="16"/>
              <w:lang w:val="en-US"/>
            </w:rPr>
          </w:pPr>
          <w:proofErr w:type="spellStart"/>
          <w:r w:rsidRPr="007409D7">
            <w:rPr>
              <w:rFonts w:asciiTheme="minorHAnsi" w:hAnsiTheme="minorHAnsi" w:cstheme="minorHAnsi"/>
              <w:color w:val="BFBFBF" w:themeColor="background1" w:themeShade="BF"/>
              <w:sz w:val="16"/>
              <w:szCs w:val="16"/>
              <w:lang w:val="en-US"/>
            </w:rPr>
            <w:t>Multidiscip</w:t>
          </w:r>
          <w:proofErr w:type="spellEnd"/>
          <w:r w:rsidRPr="007409D7">
            <w:rPr>
              <w:rFonts w:asciiTheme="minorHAnsi" w:hAnsiTheme="minorHAnsi" w:cstheme="minorHAnsi"/>
              <w:color w:val="BFBFBF" w:themeColor="background1" w:themeShade="BF"/>
              <w:sz w:val="16"/>
              <w:szCs w:val="16"/>
              <w:lang w:val="en-US"/>
            </w:rPr>
            <w:t>. Sci. J. (202</w:t>
          </w:r>
          <w:r w:rsidR="004D3017">
            <w:rPr>
              <w:rFonts w:asciiTheme="minorHAnsi" w:hAnsiTheme="minorHAnsi" w:cstheme="minorHAnsi"/>
              <w:color w:val="BFBFBF" w:themeColor="background1" w:themeShade="BF"/>
              <w:sz w:val="16"/>
              <w:szCs w:val="16"/>
              <w:lang w:val="en-US"/>
            </w:rPr>
            <w:t>6</w:t>
          </w:r>
          <w:r w:rsidRPr="007409D7">
            <w:rPr>
              <w:rFonts w:asciiTheme="minorHAnsi" w:hAnsiTheme="minorHAnsi" w:cstheme="minorHAnsi"/>
              <w:color w:val="BFBFBF" w:themeColor="background1" w:themeShade="BF"/>
              <w:sz w:val="16"/>
              <w:szCs w:val="16"/>
              <w:lang w:val="en-US"/>
            </w:rPr>
            <w:t xml:space="preserve">) </w:t>
          </w:r>
          <w:proofErr w:type="gramStart"/>
          <w:r w:rsidR="004D3017">
            <w:rPr>
              <w:rFonts w:asciiTheme="minorHAnsi" w:hAnsiTheme="minorHAnsi" w:cstheme="minorHAnsi"/>
              <w:color w:val="BFBFBF" w:themeColor="background1" w:themeShade="BF"/>
              <w:sz w:val="16"/>
              <w:szCs w:val="16"/>
              <w:lang w:val="en-US"/>
            </w:rPr>
            <w:t>1</w:t>
          </w:r>
          <w:r w:rsidRPr="007409D7">
            <w:rPr>
              <w:rFonts w:asciiTheme="minorHAnsi" w:hAnsiTheme="minorHAnsi" w:cstheme="minorHAnsi"/>
              <w:color w:val="BFBFBF" w:themeColor="background1" w:themeShade="BF"/>
              <w:sz w:val="16"/>
              <w:szCs w:val="16"/>
              <w:lang w:val="en-US"/>
            </w:rPr>
            <w:t>:e</w:t>
          </w:r>
          <w:proofErr w:type="gramEnd"/>
          <w:r w:rsidRPr="007409D7">
            <w:rPr>
              <w:rFonts w:asciiTheme="minorHAnsi" w:hAnsiTheme="minorHAnsi" w:cstheme="minorHAnsi"/>
              <w:color w:val="BFBFBF" w:themeColor="background1" w:themeShade="BF"/>
              <w:sz w:val="16"/>
              <w:szCs w:val="16"/>
              <w:lang w:val="en-US"/>
            </w:rPr>
            <w:t>202</w:t>
          </w:r>
          <w:r w:rsidR="004D3017">
            <w:rPr>
              <w:rFonts w:asciiTheme="minorHAnsi" w:hAnsiTheme="minorHAnsi" w:cstheme="minorHAnsi"/>
              <w:color w:val="BFBFBF" w:themeColor="background1" w:themeShade="BF"/>
              <w:sz w:val="16"/>
              <w:szCs w:val="16"/>
              <w:lang w:val="en-US"/>
            </w:rPr>
            <w:t>6</w:t>
          </w:r>
          <w:r w:rsidR="00157323" w:rsidRPr="007409D7">
            <w:rPr>
              <w:rFonts w:asciiTheme="minorHAnsi" w:hAnsiTheme="minorHAnsi" w:cstheme="minorHAnsi"/>
              <w:color w:val="BFBFBF" w:themeColor="background1" w:themeShade="BF"/>
              <w:sz w:val="16"/>
              <w:szCs w:val="16"/>
              <w:lang w:val="en-US"/>
            </w:rPr>
            <w:t>xxx</w:t>
          </w:r>
        </w:p>
      </w:tc>
      <w:tc>
        <w:tcPr>
          <w:tcW w:w="4394" w:type="dxa"/>
        </w:tcPr>
        <w:p w14:paraId="29D72858" w14:textId="77777777" w:rsidR="00877B75" w:rsidRPr="007409D7" w:rsidRDefault="00877B75" w:rsidP="00877B75">
          <w:pPr>
            <w:spacing w:after="0" w:line="240" w:lineRule="auto"/>
            <w:jc w:val="center"/>
            <w:rPr>
              <w:rStyle w:val="Hyperlink"/>
              <w:rFonts w:cs="Calibri"/>
              <w:color w:val="BFBFBF" w:themeColor="background1" w:themeShade="BF"/>
              <w:sz w:val="8"/>
              <w:szCs w:val="8"/>
              <w:u w:val="none"/>
              <w:lang w:val="en-US"/>
            </w:rPr>
          </w:pPr>
        </w:p>
        <w:p w14:paraId="1C107E05" w14:textId="3B13B28D" w:rsidR="00877B75" w:rsidRPr="007409D7" w:rsidRDefault="00877B75" w:rsidP="00877B75">
          <w:pPr>
            <w:spacing w:after="0" w:line="240" w:lineRule="auto"/>
            <w:jc w:val="center"/>
            <w:rPr>
              <w:rFonts w:cs="Calibri"/>
              <w:color w:val="BFBFBF" w:themeColor="background1" w:themeShade="BF"/>
              <w:sz w:val="16"/>
              <w:szCs w:val="16"/>
              <w:lang w:val="en-US"/>
            </w:rPr>
          </w:pPr>
          <w:r w:rsidRPr="007409D7">
            <w:rPr>
              <w:rStyle w:val="Hyperlink"/>
              <w:rFonts w:cs="Calibri"/>
              <w:color w:val="BFBFBF" w:themeColor="background1" w:themeShade="BF"/>
              <w:sz w:val="16"/>
              <w:szCs w:val="16"/>
              <w:u w:val="none"/>
              <w:lang w:val="en-US"/>
            </w:rPr>
            <w:t xml:space="preserve">Received: </w:t>
          </w:r>
          <w:r w:rsidR="00157323" w:rsidRPr="007409D7">
            <w:rPr>
              <w:rStyle w:val="Hyperlink"/>
              <w:rFonts w:cs="Calibri"/>
              <w:color w:val="BFBFBF" w:themeColor="background1" w:themeShade="BF"/>
              <w:sz w:val="16"/>
              <w:szCs w:val="16"/>
              <w:u w:val="none"/>
              <w:lang w:val="en-US"/>
            </w:rPr>
            <w:t>XXXX</w:t>
          </w:r>
          <w:r w:rsidRPr="007409D7">
            <w:rPr>
              <w:rStyle w:val="Hyperlink"/>
              <w:rFonts w:cs="Calibri"/>
              <w:color w:val="BFBFBF" w:themeColor="background1" w:themeShade="BF"/>
              <w:sz w:val="16"/>
              <w:szCs w:val="16"/>
              <w:u w:val="none"/>
              <w:lang w:val="en-US"/>
            </w:rPr>
            <w:t xml:space="preserve"> </w:t>
          </w:r>
          <w:r w:rsidR="00157323" w:rsidRPr="007409D7">
            <w:rPr>
              <w:rStyle w:val="Hyperlink"/>
              <w:rFonts w:cs="Calibri"/>
              <w:color w:val="BFBFBF" w:themeColor="background1" w:themeShade="BF"/>
              <w:sz w:val="16"/>
              <w:szCs w:val="16"/>
              <w:u w:val="none"/>
              <w:lang w:val="en-US"/>
            </w:rPr>
            <w:t>XX</w:t>
          </w:r>
          <w:r w:rsidRPr="007409D7">
            <w:rPr>
              <w:rStyle w:val="Hyperlink"/>
              <w:rFonts w:cs="Calibri"/>
              <w:color w:val="BFBFBF" w:themeColor="background1" w:themeShade="BF"/>
              <w:sz w:val="16"/>
              <w:szCs w:val="16"/>
              <w:u w:val="none"/>
              <w:lang w:val="en-US"/>
            </w:rPr>
            <w:t>, 202</w:t>
          </w:r>
          <w:r w:rsidR="007409D7" w:rsidRPr="007409D7">
            <w:rPr>
              <w:rStyle w:val="Hyperlink"/>
              <w:rFonts w:cs="Calibri"/>
              <w:color w:val="BFBFBF" w:themeColor="background1" w:themeShade="BF"/>
              <w:sz w:val="16"/>
              <w:szCs w:val="16"/>
              <w:u w:val="none"/>
              <w:lang w:val="en-US"/>
            </w:rPr>
            <w:t>X</w:t>
          </w:r>
          <w:r w:rsidRPr="007409D7">
            <w:rPr>
              <w:rStyle w:val="Hyperlink"/>
              <w:rFonts w:cs="Calibri"/>
              <w:color w:val="BFBFBF" w:themeColor="background1" w:themeShade="BF"/>
              <w:sz w:val="16"/>
              <w:szCs w:val="16"/>
              <w:u w:val="none"/>
              <w:lang w:val="en-US"/>
            </w:rPr>
            <w:t xml:space="preserve"> | Accepted: </w:t>
          </w:r>
          <w:r w:rsidR="00157323" w:rsidRPr="007409D7">
            <w:rPr>
              <w:rStyle w:val="Hyperlink"/>
              <w:rFonts w:cs="Calibri"/>
              <w:color w:val="BFBFBF" w:themeColor="background1" w:themeShade="BF"/>
              <w:sz w:val="16"/>
              <w:szCs w:val="16"/>
              <w:u w:val="none"/>
              <w:lang w:val="en-US"/>
            </w:rPr>
            <w:t>XXXX</w:t>
          </w:r>
          <w:r w:rsidRPr="007409D7">
            <w:rPr>
              <w:rStyle w:val="Hyperlink"/>
              <w:rFonts w:cs="Calibri"/>
              <w:color w:val="BFBFBF" w:themeColor="background1" w:themeShade="BF"/>
              <w:sz w:val="16"/>
              <w:szCs w:val="16"/>
              <w:u w:val="none"/>
              <w:lang w:val="en-US"/>
            </w:rPr>
            <w:t xml:space="preserve"> </w:t>
          </w:r>
          <w:r w:rsidR="00157323" w:rsidRPr="007409D7">
            <w:rPr>
              <w:rStyle w:val="Hyperlink"/>
              <w:rFonts w:cs="Calibri"/>
              <w:color w:val="BFBFBF" w:themeColor="background1" w:themeShade="BF"/>
              <w:sz w:val="16"/>
              <w:szCs w:val="16"/>
              <w:u w:val="none"/>
              <w:lang w:val="en-US"/>
            </w:rPr>
            <w:t>XX</w:t>
          </w:r>
          <w:r w:rsidRPr="007409D7">
            <w:rPr>
              <w:rStyle w:val="Hyperlink"/>
              <w:rFonts w:cs="Calibri"/>
              <w:color w:val="BFBFBF" w:themeColor="background1" w:themeShade="BF"/>
              <w:sz w:val="16"/>
              <w:szCs w:val="16"/>
              <w:u w:val="none"/>
              <w:lang w:val="en-US"/>
            </w:rPr>
            <w:t>, 202</w:t>
          </w:r>
          <w:r w:rsidR="007409D7" w:rsidRPr="007409D7">
            <w:rPr>
              <w:rStyle w:val="Hyperlink"/>
              <w:rFonts w:cs="Calibri"/>
              <w:color w:val="BFBFBF" w:themeColor="background1" w:themeShade="BF"/>
              <w:sz w:val="16"/>
              <w:szCs w:val="16"/>
              <w:u w:val="none"/>
              <w:lang w:val="en-US"/>
            </w:rPr>
            <w:t>X</w:t>
          </w:r>
        </w:p>
      </w:tc>
      <w:tc>
        <w:tcPr>
          <w:tcW w:w="2747" w:type="dxa"/>
        </w:tcPr>
        <w:p w14:paraId="3FBF4581" w14:textId="54EE4520" w:rsidR="00877B75" w:rsidRPr="007409D7" w:rsidRDefault="006E7F0C" w:rsidP="00877B75">
          <w:pPr>
            <w:pStyle w:val="Rodap"/>
            <w:tabs>
              <w:tab w:val="clear" w:pos="4252"/>
              <w:tab w:val="clear" w:pos="8504"/>
              <w:tab w:val="right" w:pos="8941"/>
            </w:tabs>
            <w:jc w:val="right"/>
            <w:rPr>
              <w:color w:val="BFBFBF" w:themeColor="background1" w:themeShade="BF"/>
              <w:lang w:val="en-US"/>
            </w:rPr>
          </w:pPr>
          <w:r w:rsidRPr="007409D7">
            <w:rPr>
              <w:noProof/>
              <w:color w:val="BFBFBF" w:themeColor="background1" w:themeShade="BF"/>
              <w:sz w:val="20"/>
              <w:lang w:eastAsia="pt-BR"/>
            </w:rPr>
            <w:drawing>
              <wp:anchor distT="0" distB="0" distL="114300" distR="114300" simplePos="0" relativeHeight="251709440" behindDoc="1" locked="0" layoutInCell="1" allowOverlap="1" wp14:anchorId="53DEBCD5" wp14:editId="1B6B5AB5">
                <wp:simplePos x="0" y="0"/>
                <wp:positionH relativeFrom="column">
                  <wp:posOffset>1384604</wp:posOffset>
                </wp:positionH>
                <wp:positionV relativeFrom="paragraph">
                  <wp:posOffset>26670</wp:posOffset>
                </wp:positionV>
                <wp:extent cx="193040" cy="187325"/>
                <wp:effectExtent l="0" t="0" r="0" b="3175"/>
                <wp:wrapNone/>
                <wp:docPr id="1744181391" name="Imagem 174418139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ite705g3Mini\Desktop\malque logo.png"/>
                        <pic:cNvPicPr>
                          <a:picLocks noChangeAspect="1" noChangeArrowheads="1"/>
                        </pic:cNvPicPr>
                      </pic:nvPicPr>
                      <pic:blipFill>
                        <a:blip r:embed="rId2" cstate="print">
                          <a:duotone>
                            <a:schemeClr val="accent2">
                              <a:shade val="45000"/>
                              <a:satMod val="135000"/>
                            </a:schemeClr>
                            <a:prstClr val="white"/>
                          </a:duotone>
                          <a:extLst>
                            <a:ext uri="{BEBA8EAE-BF5A-486C-A8C5-ECC9F3942E4B}">
                              <a14:imgProps xmlns:a14="http://schemas.microsoft.com/office/drawing/2010/main">
                                <a14:imgLayer r:embed="rId3">
                                  <a14:imgEffect>
                                    <a14:colorTemperature colorTemp="11200"/>
                                  </a14:imgEffect>
                                </a14:imgLayer>
                              </a14:imgProps>
                            </a:ext>
                            <a:ext uri="{28A0092B-C50C-407E-A947-70E740481C1C}">
                              <a14:useLocalDpi xmlns:a14="http://schemas.microsoft.com/office/drawing/2010/main" val="0"/>
                            </a:ext>
                          </a:extLst>
                        </a:blip>
                        <a:stretch>
                          <a:fillRect/>
                        </a:stretch>
                      </pic:blipFill>
                      <pic:spPr bwMode="auto">
                        <a:xfrm>
                          <a:off x="0" y="0"/>
                          <a:ext cx="193040" cy="187325"/>
                        </a:xfrm>
                        <a:prstGeom prst="rect">
                          <a:avLst/>
                        </a:prstGeom>
                        <a:noFill/>
                        <a:ln>
                          <a:noFill/>
                        </a:ln>
                      </pic:spPr>
                    </pic:pic>
                  </a:graphicData>
                </a:graphic>
              </wp:anchor>
            </w:drawing>
          </w:r>
        </w:p>
      </w:tc>
    </w:tr>
  </w:tbl>
  <w:p w14:paraId="2162BF73" w14:textId="2B057C6E" w:rsidR="005705D6" w:rsidRPr="00F8581F" w:rsidRDefault="005705D6" w:rsidP="00877B75">
    <w:pPr>
      <w:pStyle w:val="Rodap"/>
      <w:tabs>
        <w:tab w:val="clear" w:pos="4252"/>
        <w:tab w:val="clear" w:pos="8504"/>
        <w:tab w:val="right" w:pos="8941"/>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37784" w14:textId="77777777" w:rsidR="00570226" w:rsidRDefault="00570226" w:rsidP="00201BED">
      <w:pPr>
        <w:spacing w:after="0" w:line="240" w:lineRule="auto"/>
      </w:pPr>
      <w:r>
        <w:separator/>
      </w:r>
    </w:p>
  </w:footnote>
  <w:footnote w:type="continuationSeparator" w:id="0">
    <w:p w14:paraId="7E6754FF" w14:textId="77777777" w:rsidR="00570226" w:rsidRDefault="00570226" w:rsidP="00201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D2B7B" w14:textId="49DB1785" w:rsidR="005705D6" w:rsidRDefault="005705D6" w:rsidP="00BB4D23">
    <w:pPr>
      <w:pStyle w:val="Cabealho"/>
      <w:tabs>
        <w:tab w:val="clear" w:pos="4252"/>
        <w:tab w:val="clear" w:pos="8504"/>
        <w:tab w:val="left" w:pos="1425"/>
      </w:tabs>
    </w:pPr>
    <w:r>
      <w:rPr>
        <w:noProof/>
        <w:lang w:eastAsia="pt-BR"/>
      </w:rPr>
      <mc:AlternateContent>
        <mc:Choice Requires="wps">
          <w:drawing>
            <wp:anchor distT="0" distB="0" distL="114300" distR="114300" simplePos="0" relativeHeight="251705344" behindDoc="0" locked="0" layoutInCell="1" allowOverlap="1" wp14:anchorId="085E5375" wp14:editId="05034055">
              <wp:simplePos x="0" y="0"/>
              <wp:positionH relativeFrom="column">
                <wp:posOffset>-1080770</wp:posOffset>
              </wp:positionH>
              <wp:positionV relativeFrom="paragraph">
                <wp:posOffset>-1019649</wp:posOffset>
              </wp:positionV>
              <wp:extent cx="975360" cy="238760"/>
              <wp:effectExtent l="0" t="0" r="0" b="8890"/>
              <wp:wrapNone/>
              <wp:docPr id="2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23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8CAD5" w14:textId="77777777" w:rsidR="005705D6" w:rsidRPr="00A37526" w:rsidRDefault="00570226" w:rsidP="0040758B">
                          <w:pPr>
                            <w:rPr>
                              <w:rFonts w:cs="Calibri"/>
                              <w:color w:val="A6A6A6" w:themeColor="background1" w:themeShade="A6"/>
                              <w:sz w:val="16"/>
                              <w:szCs w:val="16"/>
                            </w:rPr>
                          </w:pPr>
                          <w:hyperlink r:id="rId1" w:history="1">
                            <w:r w:rsidR="005705D6" w:rsidRPr="00A37526">
                              <w:rPr>
                                <w:rStyle w:val="Hyperlink"/>
                                <w:rFonts w:cs="Calibri"/>
                                <w:color w:val="A6A6A6" w:themeColor="background1" w:themeShade="A6"/>
                                <w:sz w:val="16"/>
                                <w:szCs w:val="16"/>
                                <w:u w:val="none"/>
                              </w:rPr>
                              <w:t>www.jabbnet.com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85E5375" id="_x0000_t202" coordsize="21600,21600" o:spt="202" path="m,l,21600r21600,l21600,xe">
              <v:stroke joinstyle="miter"/>
              <v:path gradientshapeok="t" o:connecttype="rect"/>
            </v:shapetype>
            <v:shape id="Text Box 32" o:spid="_x0000_s1027" type="#_x0000_t202" style="position:absolute;margin-left:-85.1pt;margin-top:-80.3pt;width:76.8pt;height:18.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" stroked="f">
              <v:textbox>
                <w:txbxContent>
                  <w:p w14:paraId="2A28CAD5" w14:textId="77777777" w:rsidR="005705D6" w:rsidRPr="00A37526" w:rsidRDefault="00000000" w:rsidP="0040758B">
                    <w:pPr>
                      <w:rPr>
                        <w:rFonts w:cs="Calibri"/>
                        <w:color w:val="A6A6A6" w:themeColor="background1" w:themeShade="A6"/>
                        <w:sz w:val="16"/>
                        <w:szCs w:val="16"/>
                      </w:rPr>
                    </w:pPr>
                    <w:hyperlink r:id="rId2" w:history="1">
                      <w:r w:rsidR="005705D6" w:rsidRPr="00A37526">
                        <w:rPr>
                          <w:rStyle w:val="Hyperlink"/>
                          <w:rFonts w:cs="Calibri"/>
                          <w:color w:val="A6A6A6" w:themeColor="background1" w:themeShade="A6"/>
                          <w:sz w:val="16"/>
                          <w:szCs w:val="16"/>
                          <w:u w:val="none"/>
                        </w:rPr>
                        <w:t>www.jabbnet.com</w:t>
                      </w:r>
                    </w:hyperlink>
                  </w:p>
                </w:txbxContent>
              </v:textbox>
            </v:shape>
          </w:pict>
        </mc:Fallback>
      </mc:AlternateContent>
    </w:r>
    <w:r>
      <w:rPr>
        <w:noProof/>
        <w:lang w:eastAsia="pt-BR"/>
      </w:rPr>
      <mc:AlternateContent>
        <mc:Choice Requires="wps">
          <w:drawing>
            <wp:anchor distT="0" distB="0" distL="114300" distR="114300" simplePos="0" relativeHeight="251693056" behindDoc="0" locked="0" layoutInCell="1" allowOverlap="1" wp14:anchorId="073A3F6C" wp14:editId="609FD90A">
              <wp:simplePos x="0" y="0"/>
              <wp:positionH relativeFrom="column">
                <wp:posOffset>-80010</wp:posOffset>
              </wp:positionH>
              <wp:positionV relativeFrom="paragraph">
                <wp:posOffset>1270</wp:posOffset>
              </wp:positionV>
              <wp:extent cx="2216150" cy="367030"/>
              <wp:effectExtent l="3175" t="3810" r="0" b="635"/>
              <wp:wrapNone/>
              <wp:docPr id="9"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15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42705" w14:textId="77777777" w:rsidR="005705D6" w:rsidRDefault="005705D6" w:rsidP="00246C98">
                          <w:pPr>
                            <w:spacing w:after="0" w:line="240" w:lineRule="auto"/>
                            <w:rPr>
                              <w:rFonts w:ascii="Times New Roman" w:hAnsi="Times New Roman"/>
                              <w:color w:val="131413"/>
                              <w:sz w:val="16"/>
                              <w:szCs w:val="16"/>
                              <w:lang w:val="en-US"/>
                            </w:rPr>
                          </w:pPr>
                        </w:p>
                        <w:p w14:paraId="3B8994A1" w14:textId="04E322EB" w:rsidR="005705D6" w:rsidRPr="00885E53" w:rsidRDefault="00582B2E" w:rsidP="00246C98">
                          <w:pPr>
                            <w:spacing w:after="0" w:line="240" w:lineRule="auto"/>
                            <w:rPr>
                              <w:rFonts w:asciiTheme="minorHAnsi" w:hAnsiTheme="minorHAnsi" w:cstheme="minorHAnsi"/>
                              <w:color w:val="A6A6A6" w:themeColor="background1" w:themeShade="A6"/>
                              <w:sz w:val="20"/>
                              <w:szCs w:val="20"/>
                              <w:lang w:val="en-US"/>
                            </w:rPr>
                          </w:pPr>
                          <w:r>
                            <w:rPr>
                              <w:rFonts w:asciiTheme="minorHAnsi" w:hAnsiTheme="minorHAnsi" w:cstheme="minorHAnsi"/>
                              <w:bCs/>
                              <w:color w:val="A6A6A6" w:themeColor="background1" w:themeShade="A6"/>
                              <w:sz w:val="16"/>
                              <w:szCs w:val="16"/>
                              <w:lang w:val="hr-HR"/>
                            </w:rPr>
                            <w:t>XXXXX</w:t>
                          </w:r>
                          <w:r w:rsidR="00545EE0" w:rsidRPr="00C574FA">
                            <w:rPr>
                              <w:rFonts w:asciiTheme="minorHAnsi" w:hAnsiTheme="minorHAnsi" w:cstheme="minorHAnsi"/>
                              <w:color w:val="A6A6A6" w:themeColor="background1" w:themeShade="A6"/>
                              <w:sz w:val="16"/>
                              <w:szCs w:val="16"/>
                              <w:lang w:val="en-US"/>
                            </w:rPr>
                            <w:t xml:space="preserve"> </w:t>
                          </w:r>
                          <w:r w:rsidR="00545EE0">
                            <w:rPr>
                              <w:rFonts w:asciiTheme="minorHAnsi" w:hAnsiTheme="minorHAnsi" w:cstheme="minorHAnsi"/>
                              <w:color w:val="A6A6A6" w:themeColor="background1" w:themeShade="A6"/>
                              <w:sz w:val="16"/>
                              <w:szCs w:val="16"/>
                              <w:lang w:val="en-US"/>
                            </w:rPr>
                            <w:t>et al.</w:t>
                          </w:r>
                          <w:r w:rsidR="00CC60A2">
                            <w:rPr>
                              <w:rFonts w:asciiTheme="minorHAnsi" w:hAnsiTheme="minorHAnsi" w:cstheme="minorHAnsi"/>
                              <w:color w:val="A6A6A6" w:themeColor="background1" w:themeShade="A6"/>
                              <w:sz w:val="16"/>
                              <w:szCs w:val="16"/>
                              <w:lang w:val="en-US"/>
                            </w:rPr>
                            <w:t xml:space="preserve"> </w:t>
                          </w:r>
                          <w:r w:rsidR="005705D6" w:rsidRPr="00885E53">
                            <w:rPr>
                              <w:rFonts w:asciiTheme="minorHAnsi" w:hAnsiTheme="minorHAnsi" w:cstheme="minorHAnsi"/>
                              <w:color w:val="A6A6A6" w:themeColor="background1" w:themeShade="A6"/>
                              <w:sz w:val="16"/>
                              <w:szCs w:val="16"/>
                              <w:lang w:val="en-US"/>
                            </w:rPr>
                            <w:t>(202</w:t>
                          </w:r>
                          <w:r w:rsidR="004D3017">
                            <w:rPr>
                              <w:rFonts w:asciiTheme="minorHAnsi" w:hAnsiTheme="minorHAnsi" w:cstheme="minorHAnsi"/>
                              <w:color w:val="A6A6A6" w:themeColor="background1" w:themeShade="A6"/>
                              <w:sz w:val="16"/>
                              <w:szCs w:val="16"/>
                              <w:lang w:val="en-US"/>
                            </w:rPr>
                            <w:t>6</w:t>
                          </w:r>
                          <w:r w:rsidR="005705D6" w:rsidRPr="00885E53">
                            <w:rPr>
                              <w:rFonts w:asciiTheme="minorHAnsi" w:hAnsiTheme="minorHAnsi" w:cstheme="minorHAnsi"/>
                              <w:color w:val="A6A6A6" w:themeColor="background1" w:themeShade="A6"/>
                              <w:sz w:val="16"/>
                              <w:szCs w:val="16"/>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73A3F6C" id="Text Box 37" o:spid="_x0000_s1028" type="#_x0000_t202" style="position:absolute;margin-left:-6.3pt;margin-top:.1pt;width:174.5pt;height:28.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" filled="f" stroked="f">
              <v:textbox>
                <w:txbxContent>
                  <w:p w14:paraId="12F42705" w14:textId="77777777" w:rsidR="005705D6" w:rsidRDefault="005705D6" w:rsidP="00246C98">
                    <w:pPr>
                      <w:spacing w:after="0" w:line="240" w:lineRule="auto"/>
                      <w:rPr>
                        <w:rFonts w:ascii="Times New Roman" w:hAnsi="Times New Roman"/>
                        <w:color w:val="131413"/>
                        <w:sz w:val="16"/>
                        <w:szCs w:val="16"/>
                        <w:lang w:val="en-US"/>
                      </w:rPr>
                    </w:pPr>
                  </w:p>
                  <w:p w14:paraId="3B8994A1" w14:textId="04E322EB" w:rsidR="005705D6" w:rsidRPr="00885E53" w:rsidRDefault="00582B2E" w:rsidP="00246C98">
                    <w:pPr>
                      <w:spacing w:after="0" w:line="240" w:lineRule="auto"/>
                      <w:rPr>
                        <w:rFonts w:asciiTheme="minorHAnsi" w:hAnsiTheme="minorHAnsi" w:cstheme="minorHAnsi"/>
                        <w:color w:val="A6A6A6" w:themeColor="background1" w:themeShade="A6"/>
                        <w:sz w:val="20"/>
                        <w:szCs w:val="20"/>
                        <w:lang w:val="en-US"/>
                      </w:rPr>
                    </w:pPr>
                    <w:r>
                      <w:rPr>
                        <w:rFonts w:asciiTheme="minorHAnsi" w:hAnsiTheme="minorHAnsi" w:cstheme="minorHAnsi"/>
                        <w:bCs/>
                        <w:color w:val="A6A6A6" w:themeColor="background1" w:themeShade="A6"/>
                        <w:sz w:val="16"/>
                        <w:szCs w:val="16"/>
                        <w:lang w:val="hr-HR"/>
                      </w:rPr>
                      <w:t>XXXXX</w:t>
                    </w:r>
                    <w:r w:rsidR="00545EE0" w:rsidRPr="00C574FA">
                      <w:rPr>
                        <w:rFonts w:asciiTheme="minorHAnsi" w:hAnsiTheme="minorHAnsi" w:cstheme="minorHAnsi"/>
                        <w:color w:val="A6A6A6" w:themeColor="background1" w:themeShade="A6"/>
                        <w:sz w:val="16"/>
                        <w:szCs w:val="16"/>
                        <w:lang w:val="en-US"/>
                      </w:rPr>
                      <w:t xml:space="preserve"> </w:t>
                    </w:r>
                    <w:r w:rsidR="00545EE0">
                      <w:rPr>
                        <w:rFonts w:asciiTheme="minorHAnsi" w:hAnsiTheme="minorHAnsi" w:cstheme="minorHAnsi"/>
                        <w:color w:val="A6A6A6" w:themeColor="background1" w:themeShade="A6"/>
                        <w:sz w:val="16"/>
                        <w:szCs w:val="16"/>
                        <w:lang w:val="en-US"/>
                      </w:rPr>
                      <w:t>et al.</w:t>
                    </w:r>
                    <w:r w:rsidR="00CC60A2">
                      <w:rPr>
                        <w:rFonts w:asciiTheme="minorHAnsi" w:hAnsiTheme="minorHAnsi" w:cstheme="minorHAnsi"/>
                        <w:color w:val="A6A6A6" w:themeColor="background1" w:themeShade="A6"/>
                        <w:sz w:val="16"/>
                        <w:szCs w:val="16"/>
                        <w:lang w:val="en-US"/>
                      </w:rPr>
                      <w:t xml:space="preserve"> </w:t>
                    </w:r>
                    <w:r w:rsidR="005705D6" w:rsidRPr="00885E53">
                      <w:rPr>
                        <w:rFonts w:asciiTheme="minorHAnsi" w:hAnsiTheme="minorHAnsi" w:cstheme="minorHAnsi"/>
                        <w:color w:val="A6A6A6" w:themeColor="background1" w:themeShade="A6"/>
                        <w:sz w:val="16"/>
                        <w:szCs w:val="16"/>
                        <w:lang w:val="en-US"/>
                      </w:rPr>
                      <w:t>(202</w:t>
                    </w:r>
                    <w:r w:rsidR="004D3017">
                      <w:rPr>
                        <w:rFonts w:asciiTheme="minorHAnsi" w:hAnsiTheme="minorHAnsi" w:cstheme="minorHAnsi"/>
                        <w:color w:val="A6A6A6" w:themeColor="background1" w:themeShade="A6"/>
                        <w:sz w:val="16"/>
                        <w:szCs w:val="16"/>
                        <w:lang w:val="en-US"/>
                      </w:rPr>
                      <w:t>6</w:t>
                    </w:r>
                    <w:r w:rsidR="005705D6" w:rsidRPr="00885E53">
                      <w:rPr>
                        <w:rFonts w:asciiTheme="minorHAnsi" w:hAnsiTheme="minorHAnsi" w:cstheme="minorHAnsi"/>
                        <w:color w:val="A6A6A6" w:themeColor="background1" w:themeShade="A6"/>
                        <w:sz w:val="16"/>
                        <w:szCs w:val="16"/>
                        <w:lang w:val="en-US"/>
                      </w:rPr>
                      <w:t>)</w:t>
                    </w:r>
                  </w:p>
                </w:txbxContent>
              </v:textbox>
            </v:shape>
          </w:pict>
        </mc:Fallback>
      </mc:AlternateContent>
    </w:r>
  </w:p>
  <w:p w14:paraId="5369CDAC" w14:textId="70E62EEA" w:rsidR="005705D6" w:rsidRPr="00885E53" w:rsidRDefault="005705D6" w:rsidP="00885E53">
    <w:pPr>
      <w:pStyle w:val="Cabealho"/>
      <w:jc w:val="right"/>
      <w:rPr>
        <w:rFonts w:asciiTheme="minorHAnsi" w:hAnsiTheme="minorHAnsi" w:cstheme="minorHAnsi"/>
        <w:color w:val="A6A6A6" w:themeColor="background1" w:themeShade="A6"/>
        <w:sz w:val="16"/>
        <w:szCs w:val="16"/>
      </w:rPr>
    </w:pPr>
    <w:r w:rsidRPr="00885E53">
      <w:rPr>
        <w:rFonts w:asciiTheme="minorHAnsi" w:hAnsiTheme="minorHAnsi" w:cstheme="minorHAnsi"/>
        <w:color w:val="A6A6A6" w:themeColor="background1" w:themeShade="A6"/>
        <w:sz w:val="16"/>
        <w:szCs w:val="16"/>
      </w:rPr>
      <w:fldChar w:fldCharType="begin"/>
    </w:r>
    <w:r w:rsidRPr="00885E53">
      <w:rPr>
        <w:rFonts w:asciiTheme="minorHAnsi" w:hAnsiTheme="minorHAnsi" w:cstheme="minorHAnsi"/>
        <w:color w:val="A6A6A6" w:themeColor="background1" w:themeShade="A6"/>
        <w:sz w:val="16"/>
        <w:szCs w:val="16"/>
      </w:rPr>
      <w:instrText>PAGE   \* MERGEFORMAT</w:instrText>
    </w:r>
    <w:r w:rsidRPr="00885E53">
      <w:rPr>
        <w:rFonts w:asciiTheme="minorHAnsi" w:hAnsiTheme="minorHAnsi" w:cstheme="minorHAnsi"/>
        <w:color w:val="A6A6A6" w:themeColor="background1" w:themeShade="A6"/>
        <w:sz w:val="16"/>
        <w:szCs w:val="16"/>
      </w:rPr>
      <w:fldChar w:fldCharType="separate"/>
    </w:r>
    <w:r w:rsidR="00563845">
      <w:rPr>
        <w:rFonts w:asciiTheme="minorHAnsi" w:hAnsiTheme="minorHAnsi" w:cstheme="minorHAnsi"/>
        <w:noProof/>
        <w:color w:val="A6A6A6" w:themeColor="background1" w:themeShade="A6"/>
        <w:sz w:val="16"/>
        <w:szCs w:val="16"/>
      </w:rPr>
      <w:t>7</w:t>
    </w:r>
    <w:r w:rsidRPr="00885E53">
      <w:rPr>
        <w:rFonts w:asciiTheme="minorHAnsi" w:hAnsiTheme="minorHAnsi" w:cstheme="minorHAnsi"/>
        <w:color w:val="A6A6A6" w:themeColor="background1" w:themeShade="A6"/>
        <w:sz w:val="16"/>
        <w:szCs w:val="16"/>
      </w:rPr>
      <w:fldChar w:fldCharType="end"/>
    </w:r>
  </w:p>
  <w:p w14:paraId="1D041DF9" w14:textId="41FA98C8" w:rsidR="005705D6" w:rsidRDefault="005705D6" w:rsidP="00416E53">
    <w:pPr>
      <w:pStyle w:val="Cabealho"/>
      <w:tabs>
        <w:tab w:val="clear" w:pos="4252"/>
        <w:tab w:val="clear" w:pos="8504"/>
        <w:tab w:val="left" w:pos="1425"/>
      </w:tabs>
    </w:pPr>
    <w:r>
      <w:rPr>
        <w:noProof/>
        <w:lang w:eastAsia="pt-BR"/>
      </w:rPr>
      <mc:AlternateContent>
        <mc:Choice Requires="wps">
          <w:drawing>
            <wp:anchor distT="4294967295" distB="4294967295" distL="114300" distR="114300" simplePos="0" relativeHeight="251686912" behindDoc="0" locked="0" layoutInCell="1" allowOverlap="1" wp14:anchorId="6F56476C" wp14:editId="06D1D022">
              <wp:simplePos x="0" y="0"/>
              <wp:positionH relativeFrom="column">
                <wp:posOffset>13970</wp:posOffset>
              </wp:positionH>
              <wp:positionV relativeFrom="paragraph">
                <wp:posOffset>20320</wp:posOffset>
              </wp:positionV>
              <wp:extent cx="6443980" cy="0"/>
              <wp:effectExtent l="0" t="0" r="7620" b="12700"/>
              <wp:wrapNone/>
              <wp:docPr id="8"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3980"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57104E" id="_x0000_t32" coordsize="21600,21600" o:spt="32" o:oned="t" path="m,l21600,21600e" filled="f">
              <v:path arrowok="t" fillok="f" o:connecttype="none"/>
              <o:lock v:ext="edit" shapetype="t"/>
            </v:shapetype>
            <v:shape id="AutoShape 26" o:spid="_x0000_s1026" type="#_x0000_t32" style="position:absolute;margin-left:1.1pt;margin-top:1.6pt;width:507.4pt;height:0;z-index:251686912;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" strokecolor="#83150e"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18957" w14:textId="5FFC299D" w:rsidR="005705D6" w:rsidRDefault="005705D6" w:rsidP="004A7D25">
    <w:pPr>
      <w:pStyle w:val="Cabealho"/>
      <w:tabs>
        <w:tab w:val="clear" w:pos="4252"/>
        <w:tab w:val="clear" w:pos="8504"/>
        <w:tab w:val="left" w:pos="1425"/>
      </w:tabs>
    </w:pPr>
    <w:r>
      <w:rPr>
        <w:noProof/>
        <w:lang w:eastAsia="pt-BR"/>
      </w:rPr>
      <mc:AlternateContent>
        <mc:Choice Requires="wps">
          <w:drawing>
            <wp:anchor distT="0" distB="0" distL="114300" distR="114300" simplePos="0" relativeHeight="251697152" behindDoc="0" locked="0" layoutInCell="1" allowOverlap="1" wp14:anchorId="258D89D1" wp14:editId="603D11BC">
              <wp:simplePos x="0" y="0"/>
              <wp:positionH relativeFrom="margin">
                <wp:posOffset>2696301</wp:posOffset>
              </wp:positionH>
              <wp:positionV relativeFrom="paragraph">
                <wp:posOffset>316865</wp:posOffset>
              </wp:positionV>
              <wp:extent cx="3834130" cy="496850"/>
              <wp:effectExtent l="0" t="0" r="0" b="0"/>
              <wp:wrapNone/>
              <wp:docPr id="15"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4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3E3E8" w14:textId="3AE24303" w:rsidR="005705D6" w:rsidRPr="004A7D25" w:rsidRDefault="006A3BB7" w:rsidP="002B1AB7">
                          <w:pPr>
                            <w:spacing w:after="0" w:line="240" w:lineRule="auto"/>
                            <w:jc w:val="right"/>
                            <w:rPr>
                              <w:rFonts w:cs="Calibri"/>
                              <w:b/>
                              <w:i/>
                              <w:color w:val="808080" w:themeColor="background1" w:themeShade="80"/>
                              <w:sz w:val="20"/>
                              <w:szCs w:val="20"/>
                              <w:lang w:val="en-US"/>
                            </w:rPr>
                          </w:pPr>
                          <w:r>
                            <w:rPr>
                              <w:rFonts w:cs="Calibri"/>
                              <w:b/>
                              <w:i/>
                              <w:color w:val="808080" w:themeColor="background1" w:themeShade="80"/>
                              <w:sz w:val="20"/>
                              <w:szCs w:val="20"/>
                              <w:highlight w:val="yellow"/>
                              <w:lang w:val="en-US"/>
                            </w:rPr>
                            <w:t>TYPE OF THE PAPER</w:t>
                          </w:r>
                        </w:p>
                        <w:p w14:paraId="20FB2528" w14:textId="2B7E54A9" w:rsidR="005705D6" w:rsidRPr="004A7D25" w:rsidRDefault="005705D6" w:rsidP="002B1AB7">
                          <w:pPr>
                            <w:spacing w:after="0" w:line="240" w:lineRule="auto"/>
                            <w:jc w:val="right"/>
                            <w:rPr>
                              <w:rFonts w:cs="Calibri"/>
                              <w:color w:val="808080" w:themeColor="background1" w:themeShade="80"/>
                              <w:sz w:val="16"/>
                              <w:szCs w:val="16"/>
                              <w:lang w:val="en-US"/>
                            </w:rPr>
                          </w:pPr>
                          <w:r w:rsidRPr="00A46664">
                            <w:rPr>
                              <w:rFonts w:cs="Calibri"/>
                              <w:color w:val="808080" w:themeColor="background1" w:themeShade="80"/>
                              <w:sz w:val="16"/>
                              <w:szCs w:val="16"/>
                              <w:highlight w:val="yellow"/>
                              <w:lang w:val="en-US"/>
                            </w:rPr>
                            <w:t xml:space="preserve">Published Online: </w:t>
                          </w:r>
                          <w:r w:rsidR="00582B2E">
                            <w:rPr>
                              <w:rFonts w:cs="Calibri"/>
                              <w:color w:val="808080" w:themeColor="background1" w:themeShade="80"/>
                              <w:sz w:val="16"/>
                              <w:szCs w:val="16"/>
                              <w:highlight w:val="yellow"/>
                              <w:lang w:val="en-US"/>
                            </w:rPr>
                            <w:t>XXXX</w:t>
                          </w:r>
                          <w:r w:rsidR="0048208B" w:rsidRPr="00A46664">
                            <w:rPr>
                              <w:rFonts w:cs="Calibri"/>
                              <w:color w:val="808080" w:themeColor="background1" w:themeShade="80"/>
                              <w:sz w:val="16"/>
                              <w:szCs w:val="16"/>
                              <w:highlight w:val="yellow"/>
                              <w:lang w:val="en-US"/>
                            </w:rPr>
                            <w:t xml:space="preserve"> </w:t>
                          </w:r>
                          <w:r w:rsidR="00A46664" w:rsidRPr="00A46664">
                            <w:rPr>
                              <w:rFonts w:cs="Calibri"/>
                              <w:color w:val="808080" w:themeColor="background1" w:themeShade="80"/>
                              <w:sz w:val="16"/>
                              <w:szCs w:val="16"/>
                              <w:highlight w:val="yellow"/>
                              <w:lang w:val="en-US"/>
                            </w:rPr>
                            <w:t>xx</w:t>
                          </w:r>
                          <w:r w:rsidRPr="00A46664">
                            <w:rPr>
                              <w:rFonts w:cs="Calibri"/>
                              <w:color w:val="808080" w:themeColor="background1" w:themeShade="80"/>
                              <w:sz w:val="16"/>
                              <w:szCs w:val="16"/>
                              <w:highlight w:val="yellow"/>
                              <w:lang w:val="en-US"/>
                            </w:rPr>
                            <w:t>, 202</w:t>
                          </w:r>
                          <w:r w:rsidR="004D3017">
                            <w:rPr>
                              <w:rFonts w:cs="Calibri"/>
                              <w:color w:val="808080" w:themeColor="background1" w:themeShade="80"/>
                              <w:sz w:val="16"/>
                              <w:szCs w:val="16"/>
                              <w:lang w:val="en-US"/>
                            </w:rPr>
                            <w:t>6</w:t>
                          </w:r>
                        </w:p>
                        <w:p w14:paraId="14C29484" w14:textId="126A2B12" w:rsidR="005705D6" w:rsidRPr="00DD2D9C" w:rsidRDefault="00570226" w:rsidP="002B1AB7">
                          <w:pPr>
                            <w:spacing w:after="0" w:line="240" w:lineRule="auto"/>
                            <w:jc w:val="right"/>
                            <w:rPr>
                              <w:rFonts w:cs="Calibri"/>
                              <w:color w:val="808080" w:themeColor="background1" w:themeShade="80"/>
                              <w:sz w:val="20"/>
                              <w:szCs w:val="20"/>
                              <w:lang w:val="en-US"/>
                            </w:rPr>
                          </w:pPr>
                          <w:hyperlink r:id="rId1" w:history="1">
                            <w:r w:rsidR="004D3017">
                              <w:rPr>
                                <w:rStyle w:val="Hyperlink"/>
                                <w:rFonts w:cs="Calibri"/>
                                <w:color w:val="808080" w:themeColor="background1" w:themeShade="80"/>
                                <w:sz w:val="16"/>
                                <w:szCs w:val="16"/>
                                <w:highlight w:val="yellow"/>
                                <w:u w:val="none"/>
                                <w:lang w:val="en-US"/>
                              </w:rPr>
                              <w:t>https://doi.org/10.31893/multiscience.2026xxx</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8D89D1" id="_x0000_t202" coordsize="21600,21600" o:spt="202" path="m,l,21600r21600,l21600,xe">
              <v:stroke joinstyle="miter"/>
              <v:path gradientshapeok="t" o:connecttype="rect"/>
            </v:shapetype>
            <v:shape id="_x0000_s1030" type="#_x0000_t202" style="position:absolute;margin-left:212.3pt;margin-top:24.95pt;width:301.9pt;height:39.1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" filled="f" stroked="f">
              <v:textbox>
                <w:txbxContent>
                  <w:p w14:paraId="4873E3E8" w14:textId="3AE24303" w:rsidR="005705D6" w:rsidRPr="004A7D25" w:rsidRDefault="006A3BB7" w:rsidP="002B1AB7">
                    <w:pPr>
                      <w:spacing w:after="0" w:line="240" w:lineRule="auto"/>
                      <w:jc w:val="right"/>
                      <w:rPr>
                        <w:rFonts w:cs="Calibri"/>
                        <w:b/>
                        <w:i/>
                        <w:color w:val="808080" w:themeColor="background1" w:themeShade="80"/>
                        <w:sz w:val="20"/>
                        <w:szCs w:val="20"/>
                        <w:lang w:val="en-US"/>
                      </w:rPr>
                    </w:pPr>
                    <w:r>
                      <w:rPr>
                        <w:rFonts w:cs="Calibri"/>
                        <w:b/>
                        <w:i/>
                        <w:color w:val="808080" w:themeColor="background1" w:themeShade="80"/>
                        <w:sz w:val="20"/>
                        <w:szCs w:val="20"/>
                        <w:highlight w:val="yellow"/>
                        <w:lang w:val="en-US"/>
                      </w:rPr>
                      <w:t>TYPE OF THE PAPER</w:t>
                    </w:r>
                  </w:p>
                  <w:p w14:paraId="20FB2528" w14:textId="2B7E54A9" w:rsidR="005705D6" w:rsidRPr="004A7D25" w:rsidRDefault="005705D6" w:rsidP="002B1AB7">
                    <w:pPr>
                      <w:spacing w:after="0" w:line="240" w:lineRule="auto"/>
                      <w:jc w:val="right"/>
                      <w:rPr>
                        <w:rFonts w:cs="Calibri"/>
                        <w:color w:val="808080" w:themeColor="background1" w:themeShade="80"/>
                        <w:sz w:val="16"/>
                        <w:szCs w:val="16"/>
                        <w:lang w:val="en-US"/>
                      </w:rPr>
                    </w:pPr>
                    <w:r w:rsidRPr="00A46664">
                      <w:rPr>
                        <w:rFonts w:cs="Calibri"/>
                        <w:color w:val="808080" w:themeColor="background1" w:themeShade="80"/>
                        <w:sz w:val="16"/>
                        <w:szCs w:val="16"/>
                        <w:highlight w:val="yellow"/>
                        <w:lang w:val="en-US"/>
                      </w:rPr>
                      <w:t xml:space="preserve">Published Online: </w:t>
                    </w:r>
                    <w:r w:rsidR="00582B2E">
                      <w:rPr>
                        <w:rFonts w:cs="Calibri"/>
                        <w:color w:val="808080" w:themeColor="background1" w:themeShade="80"/>
                        <w:sz w:val="16"/>
                        <w:szCs w:val="16"/>
                        <w:highlight w:val="yellow"/>
                        <w:lang w:val="en-US"/>
                      </w:rPr>
                      <w:t>XXXX</w:t>
                    </w:r>
                    <w:r w:rsidR="0048208B" w:rsidRPr="00A46664">
                      <w:rPr>
                        <w:rFonts w:cs="Calibri"/>
                        <w:color w:val="808080" w:themeColor="background1" w:themeShade="80"/>
                        <w:sz w:val="16"/>
                        <w:szCs w:val="16"/>
                        <w:highlight w:val="yellow"/>
                        <w:lang w:val="en-US"/>
                      </w:rPr>
                      <w:t xml:space="preserve"> </w:t>
                    </w:r>
                    <w:r w:rsidR="00A46664" w:rsidRPr="00A46664">
                      <w:rPr>
                        <w:rFonts w:cs="Calibri"/>
                        <w:color w:val="808080" w:themeColor="background1" w:themeShade="80"/>
                        <w:sz w:val="16"/>
                        <w:szCs w:val="16"/>
                        <w:highlight w:val="yellow"/>
                        <w:lang w:val="en-US"/>
                      </w:rPr>
                      <w:t>xx</w:t>
                    </w:r>
                    <w:r w:rsidRPr="00A46664">
                      <w:rPr>
                        <w:rFonts w:cs="Calibri"/>
                        <w:color w:val="808080" w:themeColor="background1" w:themeShade="80"/>
                        <w:sz w:val="16"/>
                        <w:szCs w:val="16"/>
                        <w:highlight w:val="yellow"/>
                        <w:lang w:val="en-US"/>
                      </w:rPr>
                      <w:t>, 202</w:t>
                    </w:r>
                    <w:r w:rsidR="004D3017">
                      <w:rPr>
                        <w:rFonts w:cs="Calibri"/>
                        <w:color w:val="808080" w:themeColor="background1" w:themeShade="80"/>
                        <w:sz w:val="16"/>
                        <w:szCs w:val="16"/>
                        <w:lang w:val="en-US"/>
                      </w:rPr>
                      <w:t>6</w:t>
                    </w:r>
                  </w:p>
                  <w:p w14:paraId="14C29484" w14:textId="126A2B12" w:rsidR="005705D6" w:rsidRPr="00DD2D9C" w:rsidRDefault="00570226" w:rsidP="002B1AB7">
                    <w:pPr>
                      <w:spacing w:after="0" w:line="240" w:lineRule="auto"/>
                      <w:jc w:val="right"/>
                      <w:rPr>
                        <w:rFonts w:cs="Calibri"/>
                        <w:color w:val="808080" w:themeColor="background1" w:themeShade="80"/>
                        <w:sz w:val="20"/>
                        <w:szCs w:val="20"/>
                        <w:lang w:val="en-US"/>
                      </w:rPr>
                    </w:pPr>
                    <w:hyperlink r:id="rId2" w:history="1">
                      <w:r w:rsidR="004D3017">
                        <w:rPr>
                          <w:rStyle w:val="Hyperlink"/>
                          <w:rFonts w:cs="Calibri"/>
                          <w:color w:val="808080" w:themeColor="background1" w:themeShade="80"/>
                          <w:sz w:val="16"/>
                          <w:szCs w:val="16"/>
                          <w:highlight w:val="yellow"/>
                          <w:u w:val="none"/>
                          <w:lang w:val="en-US"/>
                        </w:rPr>
                        <w:t>https://doi.org/10.31893/multiscience.2026xxx</w:t>
                      </w:r>
                    </w:hyperlink>
                  </w:p>
                </w:txbxContent>
              </v:textbox>
              <w10:wrap anchorx="margin"/>
            </v:shape>
          </w:pict>
        </mc:Fallback>
      </mc:AlternateContent>
    </w:r>
    <w:r w:rsidR="00A94872">
      <w:rPr>
        <w:noProof/>
      </w:rPr>
      <w:drawing>
        <wp:inline distT="0" distB="0" distL="0" distR="0" wp14:anchorId="67D55E13" wp14:editId="57142FE4">
          <wp:extent cx="2660015" cy="783569"/>
          <wp:effectExtent l="0" t="0" r="0" b="4445"/>
          <wp:docPr id="2" name="Imagem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a:hlinkClick r:id="rId3"/>
                  </pic:cNvPr>
                  <pic:cNvPicPr/>
                </pic:nvPicPr>
                <pic:blipFill rotWithShape="1">
                  <a:blip r:embed="rId4">
                    <a:extLst>
                      <a:ext uri="{28A0092B-C50C-407E-A947-70E740481C1C}">
                        <a14:useLocalDpi xmlns:a14="http://schemas.microsoft.com/office/drawing/2010/main" val="0"/>
                      </a:ext>
                    </a:extLst>
                  </a:blip>
                  <a:srcRect t="14871" b="23077"/>
                  <a:stretch/>
                </pic:blipFill>
                <pic:spPr bwMode="auto">
                  <a:xfrm>
                    <a:off x="0" y="0"/>
                    <a:ext cx="2698928" cy="795032"/>
                  </a:xfrm>
                  <a:prstGeom prst="rect">
                    <a:avLst/>
                  </a:prstGeom>
                  <a:ln>
                    <a:noFill/>
                  </a:ln>
                  <a:extLst>
                    <a:ext uri="{53640926-AAD7-44D8-BBD7-CCE9431645EC}">
                      <a14:shadowObscured xmlns:a14="http://schemas.microsoft.com/office/drawing/2010/main"/>
                    </a:ext>
                  </a:extLst>
                </pic:spPr>
              </pic:pic>
            </a:graphicData>
          </a:graphic>
        </wp:inline>
      </w:drawing>
    </w:r>
  </w:p>
  <w:p w14:paraId="0EEE8F0C" w14:textId="150244FB" w:rsidR="005705D6" w:rsidRDefault="005705D6">
    <w:pPr>
      <w:pStyle w:val="Cabealho"/>
    </w:pPr>
    <w:r w:rsidRPr="00A94872">
      <w:rPr>
        <w:noProof/>
        <w:highlight w:val="darkRed"/>
        <w:lang w:eastAsia="pt-BR"/>
      </w:rPr>
      <mc:AlternateContent>
        <mc:Choice Requires="wps">
          <w:drawing>
            <wp:anchor distT="4294967295" distB="4294967295" distL="114300" distR="114300" simplePos="0" relativeHeight="251695104" behindDoc="0" locked="0" layoutInCell="1" allowOverlap="1" wp14:anchorId="650D6A51" wp14:editId="45D652DF">
              <wp:simplePos x="0" y="0"/>
              <wp:positionH relativeFrom="column">
                <wp:posOffset>23072</wp:posOffset>
              </wp:positionH>
              <wp:positionV relativeFrom="paragraph">
                <wp:posOffset>52070</wp:posOffset>
              </wp:positionV>
              <wp:extent cx="6417945" cy="0"/>
              <wp:effectExtent l="0" t="0" r="8255" b="12700"/>
              <wp:wrapNone/>
              <wp:docPr id="3"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945"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B81E20" id="_x0000_t32" coordsize="21600,21600" o:spt="32" o:oned="t" path="m,l21600,21600e" filled="f">
              <v:path arrowok="t" fillok="f" o:connecttype="none"/>
              <o:lock v:ext="edit" shapetype="t"/>
            </v:shapetype>
            <v:shape id="AutoShape 29" o:spid="_x0000_s1026" type="#_x0000_t32" style="position:absolute;margin-left:1.8pt;margin-top:4.1pt;width:505.35pt;height:0;z-index:251695104;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" strokecolor="#83150e"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DDA8D8E"/>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3863477"/>
    <w:multiLevelType w:val="multilevel"/>
    <w:tmpl w:val="06788DA6"/>
    <w:lvl w:ilvl="0">
      <w:start w:val="3"/>
      <w:numFmt w:val="decimal"/>
      <w:lvlText w:val="%1."/>
      <w:lvlJc w:val="left"/>
      <w:pPr>
        <w:ind w:left="360" w:hanging="360"/>
      </w:pPr>
      <w:rPr>
        <w:rFonts w:hint="default"/>
        <w:sz w:val="20"/>
      </w:rPr>
    </w:lvl>
    <w:lvl w:ilvl="1">
      <w:start w:val="9"/>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abstractNum w:abstractNumId="2" w15:restartNumberingAfterBreak="0">
    <w:nsid w:val="22635DC2"/>
    <w:multiLevelType w:val="multilevel"/>
    <w:tmpl w:val="3426270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6D278B4"/>
    <w:multiLevelType w:val="hybridMultilevel"/>
    <w:tmpl w:val="D274517A"/>
    <w:styleLink w:val="Nmero"/>
    <w:lvl w:ilvl="0" w:tplc="4D08BDBC">
      <w:start w:val="1"/>
      <w:numFmt w:val="decimal"/>
      <w:lvlText w:val="%1."/>
      <w:lvlJc w:val="left"/>
      <w:pPr>
        <w:ind w:left="327" w:hanging="327"/>
      </w:pPr>
      <w:rPr>
        <w:rFonts w:hAnsi="Arial Unicode MS"/>
        <w:caps w:val="0"/>
        <w:smallCaps w:val="0"/>
        <w:strike w:val="0"/>
        <w:dstrike w:val="0"/>
        <w:spacing w:val="0"/>
        <w:w w:val="100"/>
        <w:kern w:val="0"/>
        <w:position w:val="0"/>
        <w:highlight w:val="none"/>
        <w:vertAlign w:val="baseline"/>
      </w:rPr>
    </w:lvl>
    <w:lvl w:ilvl="1" w:tplc="5EEE58DA">
      <w:start w:val="1"/>
      <w:numFmt w:val="decimal"/>
      <w:lvlText w:val="%2."/>
      <w:lvlJc w:val="left"/>
      <w:pPr>
        <w:ind w:left="627" w:hanging="327"/>
      </w:pPr>
      <w:rPr>
        <w:rFonts w:hAnsi="Arial Unicode MS"/>
        <w:caps w:val="0"/>
        <w:smallCaps w:val="0"/>
        <w:strike w:val="0"/>
        <w:dstrike w:val="0"/>
        <w:spacing w:val="0"/>
        <w:w w:val="100"/>
        <w:kern w:val="0"/>
        <w:position w:val="0"/>
        <w:highlight w:val="none"/>
        <w:vertAlign w:val="baseline"/>
      </w:rPr>
    </w:lvl>
    <w:lvl w:ilvl="2" w:tplc="3CA02042">
      <w:start w:val="1"/>
      <w:numFmt w:val="decimal"/>
      <w:lvlText w:val="%3."/>
      <w:lvlJc w:val="left"/>
      <w:pPr>
        <w:ind w:left="898" w:hanging="298"/>
      </w:pPr>
      <w:rPr>
        <w:rFonts w:hAnsi="Arial Unicode MS"/>
        <w:caps w:val="0"/>
        <w:smallCaps w:val="0"/>
        <w:strike w:val="0"/>
        <w:dstrike w:val="0"/>
        <w:color w:val="000000"/>
        <w:spacing w:val="0"/>
        <w:w w:val="100"/>
        <w:kern w:val="0"/>
        <w:position w:val="0"/>
        <w:highlight w:val="none"/>
        <w:vertAlign w:val="baseline"/>
      </w:rPr>
    </w:lvl>
    <w:lvl w:ilvl="3" w:tplc="103874C6">
      <w:start w:val="1"/>
      <w:numFmt w:val="decimal"/>
      <w:lvlText w:val="%4."/>
      <w:lvlJc w:val="left"/>
      <w:pPr>
        <w:ind w:left="1227" w:hanging="327"/>
      </w:pPr>
      <w:rPr>
        <w:rFonts w:hAnsi="Arial Unicode MS"/>
        <w:caps w:val="0"/>
        <w:smallCaps w:val="0"/>
        <w:strike w:val="0"/>
        <w:dstrike w:val="0"/>
        <w:color w:val="000000"/>
        <w:spacing w:val="0"/>
        <w:w w:val="100"/>
        <w:kern w:val="0"/>
        <w:position w:val="0"/>
        <w:highlight w:val="none"/>
        <w:vertAlign w:val="baseline"/>
      </w:rPr>
    </w:lvl>
    <w:lvl w:ilvl="4" w:tplc="4D7616C0">
      <w:start w:val="1"/>
      <w:numFmt w:val="decimal"/>
      <w:lvlText w:val="%5."/>
      <w:lvlJc w:val="left"/>
      <w:pPr>
        <w:ind w:left="1527" w:hanging="327"/>
      </w:pPr>
      <w:rPr>
        <w:rFonts w:hAnsi="Arial Unicode MS"/>
        <w:caps w:val="0"/>
        <w:smallCaps w:val="0"/>
        <w:strike w:val="0"/>
        <w:dstrike w:val="0"/>
        <w:color w:val="000000"/>
        <w:spacing w:val="0"/>
        <w:w w:val="100"/>
        <w:kern w:val="0"/>
        <w:position w:val="0"/>
        <w:highlight w:val="none"/>
        <w:vertAlign w:val="baseline"/>
      </w:rPr>
    </w:lvl>
    <w:lvl w:ilvl="5" w:tplc="2E6C7344">
      <w:start w:val="1"/>
      <w:numFmt w:val="decimal"/>
      <w:lvlText w:val="%6."/>
      <w:lvlJc w:val="left"/>
      <w:pPr>
        <w:ind w:left="1827" w:hanging="327"/>
      </w:pPr>
      <w:rPr>
        <w:rFonts w:hAnsi="Arial Unicode MS"/>
        <w:caps w:val="0"/>
        <w:smallCaps w:val="0"/>
        <w:strike w:val="0"/>
        <w:dstrike w:val="0"/>
        <w:color w:val="000000"/>
        <w:spacing w:val="0"/>
        <w:w w:val="100"/>
        <w:kern w:val="0"/>
        <w:position w:val="0"/>
        <w:highlight w:val="none"/>
        <w:vertAlign w:val="baseline"/>
      </w:rPr>
    </w:lvl>
    <w:lvl w:ilvl="6" w:tplc="908E3280">
      <w:start w:val="1"/>
      <w:numFmt w:val="decimal"/>
      <w:lvlText w:val="%7."/>
      <w:lvlJc w:val="left"/>
      <w:pPr>
        <w:ind w:left="2127" w:hanging="327"/>
      </w:pPr>
      <w:rPr>
        <w:rFonts w:hAnsi="Arial Unicode MS"/>
        <w:caps w:val="0"/>
        <w:smallCaps w:val="0"/>
        <w:strike w:val="0"/>
        <w:dstrike w:val="0"/>
        <w:color w:val="000000"/>
        <w:spacing w:val="0"/>
        <w:w w:val="100"/>
        <w:kern w:val="0"/>
        <w:position w:val="0"/>
        <w:highlight w:val="none"/>
        <w:vertAlign w:val="baseline"/>
      </w:rPr>
    </w:lvl>
    <w:lvl w:ilvl="7" w:tplc="AC74834C">
      <w:start w:val="1"/>
      <w:numFmt w:val="decimal"/>
      <w:lvlText w:val="%8."/>
      <w:lvlJc w:val="left"/>
      <w:pPr>
        <w:ind w:left="2427" w:hanging="327"/>
      </w:pPr>
      <w:rPr>
        <w:rFonts w:hAnsi="Arial Unicode MS"/>
        <w:caps w:val="0"/>
        <w:smallCaps w:val="0"/>
        <w:strike w:val="0"/>
        <w:dstrike w:val="0"/>
        <w:color w:val="000000"/>
        <w:spacing w:val="0"/>
        <w:w w:val="100"/>
        <w:kern w:val="0"/>
        <w:position w:val="0"/>
        <w:highlight w:val="none"/>
        <w:vertAlign w:val="baseline"/>
      </w:rPr>
    </w:lvl>
    <w:lvl w:ilvl="8" w:tplc="A0D246A2">
      <w:start w:val="1"/>
      <w:numFmt w:val="decimal"/>
      <w:lvlText w:val="%9."/>
      <w:lvlJc w:val="left"/>
      <w:pPr>
        <w:ind w:left="2727" w:hanging="327"/>
      </w:pPr>
      <w:rPr>
        <w:rFonts w:hAnsi="Arial Unicode MS"/>
        <w:caps w:val="0"/>
        <w:smallCaps w:val="0"/>
        <w:strike w:val="0"/>
        <w:dstrike w:val="0"/>
        <w:color w:val="000000"/>
        <w:spacing w:val="0"/>
        <w:w w:val="100"/>
        <w:kern w:val="0"/>
        <w:position w:val="0"/>
        <w:highlight w:val="none"/>
        <w:vertAlign w:val="baseline"/>
      </w:rPr>
    </w:lvl>
  </w:abstractNum>
  <w:abstractNum w:abstractNumId="4" w15:restartNumberingAfterBreak="0">
    <w:nsid w:val="56E60C97"/>
    <w:multiLevelType w:val="multilevel"/>
    <w:tmpl w:val="5C7EA836"/>
    <w:lvl w:ilvl="0">
      <w:start w:val="4"/>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abstractNum w:abstractNumId="5" w15:restartNumberingAfterBreak="0">
    <w:nsid w:val="63EC2FBB"/>
    <w:multiLevelType w:val="multilevel"/>
    <w:tmpl w:val="C2163D8A"/>
    <w:lvl w:ilvl="0">
      <w:start w:val="1"/>
      <w:numFmt w:val="decimal"/>
      <w:suff w:val="space"/>
      <w:lvlText w:val="%1."/>
      <w:lvlJc w:val="left"/>
      <w:pPr>
        <w:ind w:left="-247" w:firstLine="247"/>
      </w:pPr>
      <w:rPr>
        <w:rFonts w:hint="default"/>
        <w:b/>
      </w:rPr>
    </w:lvl>
    <w:lvl w:ilvl="1">
      <w:start w:val="1"/>
      <w:numFmt w:val="decimal"/>
      <w:isLgl/>
      <w:lvlText w:val="%1.%2."/>
      <w:lvlJc w:val="left"/>
      <w:pPr>
        <w:ind w:left="360" w:hanging="360"/>
      </w:pPr>
      <w:rPr>
        <w:rFonts w:hint="default"/>
        <w:sz w:val="20"/>
      </w:rPr>
    </w:lvl>
    <w:lvl w:ilvl="2">
      <w:start w:val="1"/>
      <w:numFmt w:val="decimal"/>
      <w:isLgl/>
      <w:lvlText w:val="%1.%2.%3."/>
      <w:lvlJc w:val="left"/>
      <w:pPr>
        <w:ind w:left="0" w:firstLine="0"/>
      </w:pPr>
      <w:rPr>
        <w:rFonts w:hint="default"/>
        <w:sz w:val="20"/>
      </w:rPr>
    </w:lvl>
    <w:lvl w:ilvl="3">
      <w:start w:val="1"/>
      <w:numFmt w:val="decimal"/>
      <w:isLgl/>
      <w:lvlText w:val="%1.%2.%3.%4."/>
      <w:lvlJc w:val="left"/>
      <w:pPr>
        <w:ind w:left="360" w:hanging="360"/>
      </w:pPr>
      <w:rPr>
        <w:rFonts w:hint="default"/>
        <w:sz w:val="20"/>
      </w:rPr>
    </w:lvl>
    <w:lvl w:ilvl="4">
      <w:start w:val="1"/>
      <w:numFmt w:val="decimal"/>
      <w:isLgl/>
      <w:lvlText w:val="%1.%2.%3.%4.%5."/>
      <w:lvlJc w:val="left"/>
      <w:pPr>
        <w:ind w:left="720" w:hanging="720"/>
      </w:pPr>
      <w:rPr>
        <w:rFonts w:hint="default"/>
        <w:sz w:val="20"/>
      </w:rPr>
    </w:lvl>
    <w:lvl w:ilvl="5">
      <w:start w:val="1"/>
      <w:numFmt w:val="decimal"/>
      <w:isLgl/>
      <w:lvlText w:val="%1.%2.%3.%4.%5.%6."/>
      <w:lvlJc w:val="left"/>
      <w:pPr>
        <w:ind w:left="720" w:hanging="720"/>
      </w:pPr>
      <w:rPr>
        <w:rFonts w:hint="default"/>
        <w:sz w:val="20"/>
      </w:rPr>
    </w:lvl>
    <w:lvl w:ilvl="6">
      <w:start w:val="1"/>
      <w:numFmt w:val="decimal"/>
      <w:isLgl/>
      <w:lvlText w:val="%1.%2.%3.%4.%5.%6.%7."/>
      <w:lvlJc w:val="left"/>
      <w:pPr>
        <w:ind w:left="720" w:hanging="720"/>
      </w:pPr>
      <w:rPr>
        <w:rFonts w:hint="default"/>
        <w:sz w:val="20"/>
      </w:rPr>
    </w:lvl>
    <w:lvl w:ilvl="7">
      <w:start w:val="1"/>
      <w:numFmt w:val="decimal"/>
      <w:isLgl/>
      <w:lvlText w:val="%1.%2.%3.%4.%5.%6.%7.%8."/>
      <w:lvlJc w:val="left"/>
      <w:pPr>
        <w:ind w:left="720" w:hanging="720"/>
      </w:pPr>
      <w:rPr>
        <w:rFonts w:hint="default"/>
        <w:sz w:val="20"/>
      </w:rPr>
    </w:lvl>
    <w:lvl w:ilvl="8">
      <w:start w:val="1"/>
      <w:numFmt w:val="decimal"/>
      <w:isLgl/>
      <w:lvlText w:val="%1.%2.%3.%4.%5.%6.%7.%8.%9."/>
      <w:lvlJc w:val="left"/>
      <w:pPr>
        <w:ind w:left="1080" w:hanging="1080"/>
      </w:pPr>
      <w:rPr>
        <w:rFonts w:hint="default"/>
        <w:sz w:val="20"/>
      </w:rPr>
    </w:lvl>
  </w:abstractNum>
  <w:abstractNum w:abstractNumId="6" w15:restartNumberingAfterBreak="0">
    <w:nsid w:val="7A2653C9"/>
    <w:multiLevelType w:val="multilevel"/>
    <w:tmpl w:val="04DAA218"/>
    <w:lvl w:ilvl="0">
      <w:start w:val="3"/>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abstractNum w:abstractNumId="7" w15:restartNumberingAfterBreak="0">
    <w:nsid w:val="7D7F5595"/>
    <w:multiLevelType w:val="multilevel"/>
    <w:tmpl w:val="04DAA218"/>
    <w:lvl w:ilvl="0">
      <w:start w:val="4"/>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num w:numId="1">
    <w:abstractNumId w:val="0"/>
  </w:num>
  <w:num w:numId="2">
    <w:abstractNumId w:val="3"/>
  </w:num>
  <w:num w:numId="3">
    <w:abstractNumId w:val="5"/>
  </w:num>
  <w:num w:numId="4">
    <w:abstractNumId w:val="2"/>
  </w:num>
  <w:num w:numId="5">
    <w:abstractNumId w:val="6"/>
  </w:num>
  <w:num w:numId="6">
    <w:abstractNumId w:val="7"/>
  </w:num>
  <w:num w:numId="7">
    <w:abstractNumId w:val="1"/>
  </w:num>
  <w:num w:numId="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hideSpellingErrors/>
  <w:hideGrammaticalErrors/>
  <w:activeWritingStyle w:appName="MSWord" w:lang="pt-BR" w:vendorID="64" w:dllVersion="6" w:nlCheck="1" w:checkStyle="0"/>
  <w:activeWritingStyle w:appName="MSWord" w:lang="en-US" w:vendorID="64" w:dllVersion="6" w:nlCheck="1" w:checkStyle="0"/>
  <w:activeWritingStyle w:appName="MSWord" w:lang="es-MX" w:vendorID="64" w:dllVersion="6" w:nlCheck="1" w:checkStyle="1"/>
  <w:activeWritingStyle w:appName="MSWord" w:lang="en-GB" w:vendorID="64" w:dllVersion="6" w:nlCheck="1" w:checkStyle="1"/>
  <w:activeWritingStyle w:appName="MSWord" w:lang="es-ES_tradnl" w:vendorID="64" w:dllVersion="6" w:nlCheck="1" w:checkStyle="1"/>
  <w:activeWritingStyle w:appName="MSWord" w:lang="en-AU" w:vendorID="64" w:dllVersion="6" w:nlCheck="1" w:checkStyle="1"/>
  <w:activeWritingStyle w:appName="MSWord" w:lang="es-ES" w:vendorID="64" w:dllVersion="6" w:nlCheck="1" w:checkStyle="0"/>
  <w:activeWritingStyle w:appName="MSWord" w:lang="es-CO" w:vendorID="64" w:dllVersion="6" w:nlCheck="1" w:checkStyle="1"/>
  <w:activeWritingStyle w:appName="MSWord" w:lang="es-US" w:vendorID="64" w:dllVersion="6" w:nlCheck="1" w:checkStyle="1"/>
  <w:activeWritingStyle w:appName="MSWord" w:lang="en-US" w:vendorID="64" w:dllVersion="4096" w:nlCheck="1" w:checkStyle="0"/>
  <w:activeWritingStyle w:appName="MSWord" w:lang="pt-BR" w:vendorID="64" w:dllVersion="4096" w:nlCheck="1" w:checkStyle="0"/>
  <w:activeWritingStyle w:appName="MSWord" w:lang="fr-FR" w:vendorID="64" w:dllVersion="4096" w:nlCheck="1" w:checkStyle="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I2s7Q0MDUyMLIwNjFS0lEKTi0uzszPAymwMKkFAOKdTBktAAAA"/>
  </w:docVars>
  <w:rsids>
    <w:rsidRoot w:val="00201BED"/>
    <w:rsid w:val="00001560"/>
    <w:rsid w:val="000031B2"/>
    <w:rsid w:val="0000330C"/>
    <w:rsid w:val="00005553"/>
    <w:rsid w:val="00005DA8"/>
    <w:rsid w:val="00010A33"/>
    <w:rsid w:val="000117F0"/>
    <w:rsid w:val="00014A0E"/>
    <w:rsid w:val="00020586"/>
    <w:rsid w:val="00021882"/>
    <w:rsid w:val="00021FFC"/>
    <w:rsid w:val="00022010"/>
    <w:rsid w:val="00024BF1"/>
    <w:rsid w:val="00026648"/>
    <w:rsid w:val="00026B8C"/>
    <w:rsid w:val="00026E37"/>
    <w:rsid w:val="00026EDA"/>
    <w:rsid w:val="0002797B"/>
    <w:rsid w:val="00027F65"/>
    <w:rsid w:val="00030052"/>
    <w:rsid w:val="00031152"/>
    <w:rsid w:val="000318AC"/>
    <w:rsid w:val="000331A8"/>
    <w:rsid w:val="00034898"/>
    <w:rsid w:val="00034F23"/>
    <w:rsid w:val="00036646"/>
    <w:rsid w:val="00036CAE"/>
    <w:rsid w:val="0003730A"/>
    <w:rsid w:val="00040216"/>
    <w:rsid w:val="00040996"/>
    <w:rsid w:val="00040B36"/>
    <w:rsid w:val="000422EC"/>
    <w:rsid w:val="00043F77"/>
    <w:rsid w:val="00044590"/>
    <w:rsid w:val="000459F8"/>
    <w:rsid w:val="00045B9B"/>
    <w:rsid w:val="00046EE9"/>
    <w:rsid w:val="00052EFC"/>
    <w:rsid w:val="0005471C"/>
    <w:rsid w:val="00056F4A"/>
    <w:rsid w:val="00057676"/>
    <w:rsid w:val="00057ABC"/>
    <w:rsid w:val="00066E3F"/>
    <w:rsid w:val="0007201D"/>
    <w:rsid w:val="000724C7"/>
    <w:rsid w:val="00075AF0"/>
    <w:rsid w:val="00076189"/>
    <w:rsid w:val="00076309"/>
    <w:rsid w:val="0007634A"/>
    <w:rsid w:val="000773D2"/>
    <w:rsid w:val="0008129C"/>
    <w:rsid w:val="0008314D"/>
    <w:rsid w:val="000842F8"/>
    <w:rsid w:val="00084A41"/>
    <w:rsid w:val="00085C92"/>
    <w:rsid w:val="00086464"/>
    <w:rsid w:val="000865E6"/>
    <w:rsid w:val="00086DAD"/>
    <w:rsid w:val="00090DCF"/>
    <w:rsid w:val="00090FD1"/>
    <w:rsid w:val="00091C2E"/>
    <w:rsid w:val="00094A4A"/>
    <w:rsid w:val="00096044"/>
    <w:rsid w:val="00097296"/>
    <w:rsid w:val="000A0D73"/>
    <w:rsid w:val="000A1FDE"/>
    <w:rsid w:val="000A25C2"/>
    <w:rsid w:val="000A2658"/>
    <w:rsid w:val="000A370F"/>
    <w:rsid w:val="000A4AED"/>
    <w:rsid w:val="000A72E4"/>
    <w:rsid w:val="000B02B8"/>
    <w:rsid w:val="000B1093"/>
    <w:rsid w:val="000B14C3"/>
    <w:rsid w:val="000B2C92"/>
    <w:rsid w:val="000B4572"/>
    <w:rsid w:val="000B4586"/>
    <w:rsid w:val="000B4CF7"/>
    <w:rsid w:val="000B5984"/>
    <w:rsid w:val="000B5C4C"/>
    <w:rsid w:val="000B6D88"/>
    <w:rsid w:val="000C050E"/>
    <w:rsid w:val="000C1A39"/>
    <w:rsid w:val="000C3046"/>
    <w:rsid w:val="000C310B"/>
    <w:rsid w:val="000C31E2"/>
    <w:rsid w:val="000C4809"/>
    <w:rsid w:val="000C4A0A"/>
    <w:rsid w:val="000C4FF5"/>
    <w:rsid w:val="000C70C9"/>
    <w:rsid w:val="000D04A1"/>
    <w:rsid w:val="000D0560"/>
    <w:rsid w:val="000D0E1F"/>
    <w:rsid w:val="000D1097"/>
    <w:rsid w:val="000D1B93"/>
    <w:rsid w:val="000D32FC"/>
    <w:rsid w:val="000D3709"/>
    <w:rsid w:val="000D582F"/>
    <w:rsid w:val="000D7827"/>
    <w:rsid w:val="000E05AF"/>
    <w:rsid w:val="000E11E1"/>
    <w:rsid w:val="000E19F6"/>
    <w:rsid w:val="000E2DDE"/>
    <w:rsid w:val="000F1A86"/>
    <w:rsid w:val="000F599B"/>
    <w:rsid w:val="000F602E"/>
    <w:rsid w:val="000F66D9"/>
    <w:rsid w:val="000F7387"/>
    <w:rsid w:val="00105426"/>
    <w:rsid w:val="001058F0"/>
    <w:rsid w:val="001062B5"/>
    <w:rsid w:val="00106CB7"/>
    <w:rsid w:val="00106E9F"/>
    <w:rsid w:val="00111FC2"/>
    <w:rsid w:val="001139E4"/>
    <w:rsid w:val="0011430C"/>
    <w:rsid w:val="00115EAE"/>
    <w:rsid w:val="001200F5"/>
    <w:rsid w:val="0012216C"/>
    <w:rsid w:val="00122B3A"/>
    <w:rsid w:val="00123610"/>
    <w:rsid w:val="00124C89"/>
    <w:rsid w:val="00125253"/>
    <w:rsid w:val="001307B0"/>
    <w:rsid w:val="00130C93"/>
    <w:rsid w:val="0013598B"/>
    <w:rsid w:val="0013727C"/>
    <w:rsid w:val="00137AF0"/>
    <w:rsid w:val="00140599"/>
    <w:rsid w:val="00141260"/>
    <w:rsid w:val="001422DC"/>
    <w:rsid w:val="001464A6"/>
    <w:rsid w:val="00146B0C"/>
    <w:rsid w:val="001473A2"/>
    <w:rsid w:val="00147EE2"/>
    <w:rsid w:val="001516A9"/>
    <w:rsid w:val="00151BEC"/>
    <w:rsid w:val="0015320F"/>
    <w:rsid w:val="001536C0"/>
    <w:rsid w:val="00153DFC"/>
    <w:rsid w:val="00154AB0"/>
    <w:rsid w:val="00156265"/>
    <w:rsid w:val="001564E1"/>
    <w:rsid w:val="0015723E"/>
    <w:rsid w:val="00157323"/>
    <w:rsid w:val="0016025A"/>
    <w:rsid w:val="001603A7"/>
    <w:rsid w:val="00160467"/>
    <w:rsid w:val="00160C29"/>
    <w:rsid w:val="001622C6"/>
    <w:rsid w:val="00164DFD"/>
    <w:rsid w:val="00165953"/>
    <w:rsid w:val="001675D4"/>
    <w:rsid w:val="00172135"/>
    <w:rsid w:val="001721C8"/>
    <w:rsid w:val="00173790"/>
    <w:rsid w:val="00174912"/>
    <w:rsid w:val="001808D1"/>
    <w:rsid w:val="00187BB4"/>
    <w:rsid w:val="001904AB"/>
    <w:rsid w:val="0019442B"/>
    <w:rsid w:val="0019449F"/>
    <w:rsid w:val="00195634"/>
    <w:rsid w:val="001A20AE"/>
    <w:rsid w:val="001A2274"/>
    <w:rsid w:val="001A23CB"/>
    <w:rsid w:val="001A3BA4"/>
    <w:rsid w:val="001B01F5"/>
    <w:rsid w:val="001B22B2"/>
    <w:rsid w:val="001B3901"/>
    <w:rsid w:val="001B64EC"/>
    <w:rsid w:val="001C0742"/>
    <w:rsid w:val="001C08CB"/>
    <w:rsid w:val="001C1191"/>
    <w:rsid w:val="001C2527"/>
    <w:rsid w:val="001C4C40"/>
    <w:rsid w:val="001C6A81"/>
    <w:rsid w:val="001D3457"/>
    <w:rsid w:val="001D429C"/>
    <w:rsid w:val="001D6C29"/>
    <w:rsid w:val="001D6FC9"/>
    <w:rsid w:val="001E0A20"/>
    <w:rsid w:val="001E3F3A"/>
    <w:rsid w:val="001E40BC"/>
    <w:rsid w:val="001E47C8"/>
    <w:rsid w:val="001E5327"/>
    <w:rsid w:val="001E535C"/>
    <w:rsid w:val="001E602A"/>
    <w:rsid w:val="001F0982"/>
    <w:rsid w:val="001F2033"/>
    <w:rsid w:val="001F29B6"/>
    <w:rsid w:val="001F6327"/>
    <w:rsid w:val="002017B1"/>
    <w:rsid w:val="00201BED"/>
    <w:rsid w:val="00201E24"/>
    <w:rsid w:val="002058EF"/>
    <w:rsid w:val="00206983"/>
    <w:rsid w:val="002077A5"/>
    <w:rsid w:val="002130F4"/>
    <w:rsid w:val="002148FB"/>
    <w:rsid w:val="002227DA"/>
    <w:rsid w:val="00223204"/>
    <w:rsid w:val="00224188"/>
    <w:rsid w:val="00224E59"/>
    <w:rsid w:val="00225D49"/>
    <w:rsid w:val="0023032D"/>
    <w:rsid w:val="002306EC"/>
    <w:rsid w:val="00231B7F"/>
    <w:rsid w:val="00232419"/>
    <w:rsid w:val="00236DA3"/>
    <w:rsid w:val="0024070C"/>
    <w:rsid w:val="002434F9"/>
    <w:rsid w:val="002453A7"/>
    <w:rsid w:val="00246349"/>
    <w:rsid w:val="00246C98"/>
    <w:rsid w:val="00247A1B"/>
    <w:rsid w:val="002504A6"/>
    <w:rsid w:val="0025078A"/>
    <w:rsid w:val="0025117E"/>
    <w:rsid w:val="002513C7"/>
    <w:rsid w:val="00251715"/>
    <w:rsid w:val="00251AD6"/>
    <w:rsid w:val="0025319F"/>
    <w:rsid w:val="00254538"/>
    <w:rsid w:val="002549E2"/>
    <w:rsid w:val="00257286"/>
    <w:rsid w:val="00257D49"/>
    <w:rsid w:val="00260F64"/>
    <w:rsid w:val="00261939"/>
    <w:rsid w:val="0026238E"/>
    <w:rsid w:val="00262BBA"/>
    <w:rsid w:val="00266105"/>
    <w:rsid w:val="002675E1"/>
    <w:rsid w:val="00270847"/>
    <w:rsid w:val="00271E2A"/>
    <w:rsid w:val="00272400"/>
    <w:rsid w:val="00273197"/>
    <w:rsid w:val="00273838"/>
    <w:rsid w:val="0027441B"/>
    <w:rsid w:val="00276E93"/>
    <w:rsid w:val="00286728"/>
    <w:rsid w:val="00294166"/>
    <w:rsid w:val="00295695"/>
    <w:rsid w:val="00297C80"/>
    <w:rsid w:val="00297FBB"/>
    <w:rsid w:val="002A0A1C"/>
    <w:rsid w:val="002A23DF"/>
    <w:rsid w:val="002A3A56"/>
    <w:rsid w:val="002A43B8"/>
    <w:rsid w:val="002A4644"/>
    <w:rsid w:val="002B1AB7"/>
    <w:rsid w:val="002B2670"/>
    <w:rsid w:val="002B3191"/>
    <w:rsid w:val="002B46D6"/>
    <w:rsid w:val="002B58D0"/>
    <w:rsid w:val="002B598F"/>
    <w:rsid w:val="002C0C53"/>
    <w:rsid w:val="002C15DB"/>
    <w:rsid w:val="002C1686"/>
    <w:rsid w:val="002C462E"/>
    <w:rsid w:val="002C5A9F"/>
    <w:rsid w:val="002C6973"/>
    <w:rsid w:val="002C701E"/>
    <w:rsid w:val="002C7621"/>
    <w:rsid w:val="002C7E10"/>
    <w:rsid w:val="002D0616"/>
    <w:rsid w:val="002D2143"/>
    <w:rsid w:val="002D4D69"/>
    <w:rsid w:val="002D4FB1"/>
    <w:rsid w:val="002E088C"/>
    <w:rsid w:val="002E1F2D"/>
    <w:rsid w:val="002E42A8"/>
    <w:rsid w:val="002E5740"/>
    <w:rsid w:val="002E7C58"/>
    <w:rsid w:val="002F104E"/>
    <w:rsid w:val="002F252D"/>
    <w:rsid w:val="002F29A3"/>
    <w:rsid w:val="002F4159"/>
    <w:rsid w:val="002F6369"/>
    <w:rsid w:val="002F7CC5"/>
    <w:rsid w:val="0030043E"/>
    <w:rsid w:val="003021F4"/>
    <w:rsid w:val="0030492B"/>
    <w:rsid w:val="003071C3"/>
    <w:rsid w:val="003072B1"/>
    <w:rsid w:val="0031040D"/>
    <w:rsid w:val="00311FD8"/>
    <w:rsid w:val="00312FEC"/>
    <w:rsid w:val="00313A36"/>
    <w:rsid w:val="003141A0"/>
    <w:rsid w:val="00314C3A"/>
    <w:rsid w:val="00317F0D"/>
    <w:rsid w:val="00321470"/>
    <w:rsid w:val="003226BB"/>
    <w:rsid w:val="00323949"/>
    <w:rsid w:val="00323BDE"/>
    <w:rsid w:val="003255FE"/>
    <w:rsid w:val="00326401"/>
    <w:rsid w:val="003273C7"/>
    <w:rsid w:val="00327DDC"/>
    <w:rsid w:val="0033075B"/>
    <w:rsid w:val="00331576"/>
    <w:rsid w:val="003318ED"/>
    <w:rsid w:val="003322B0"/>
    <w:rsid w:val="003335B4"/>
    <w:rsid w:val="00333F04"/>
    <w:rsid w:val="00334CAE"/>
    <w:rsid w:val="00340D90"/>
    <w:rsid w:val="00340FBB"/>
    <w:rsid w:val="00341EF1"/>
    <w:rsid w:val="00342013"/>
    <w:rsid w:val="00342ACC"/>
    <w:rsid w:val="0034322B"/>
    <w:rsid w:val="00343A8F"/>
    <w:rsid w:val="00343B16"/>
    <w:rsid w:val="00343C8A"/>
    <w:rsid w:val="00343D05"/>
    <w:rsid w:val="00344541"/>
    <w:rsid w:val="003458E8"/>
    <w:rsid w:val="0034715E"/>
    <w:rsid w:val="00347A8D"/>
    <w:rsid w:val="00350707"/>
    <w:rsid w:val="003513FB"/>
    <w:rsid w:val="00351673"/>
    <w:rsid w:val="0035281F"/>
    <w:rsid w:val="003529A3"/>
    <w:rsid w:val="00354B0D"/>
    <w:rsid w:val="003564AB"/>
    <w:rsid w:val="00365D50"/>
    <w:rsid w:val="003679F1"/>
    <w:rsid w:val="0037020D"/>
    <w:rsid w:val="00374E89"/>
    <w:rsid w:val="003750BA"/>
    <w:rsid w:val="003772B4"/>
    <w:rsid w:val="003778F5"/>
    <w:rsid w:val="00381E95"/>
    <w:rsid w:val="003836E4"/>
    <w:rsid w:val="00383DCE"/>
    <w:rsid w:val="00384B9E"/>
    <w:rsid w:val="0038517F"/>
    <w:rsid w:val="00387708"/>
    <w:rsid w:val="00390E03"/>
    <w:rsid w:val="00392B41"/>
    <w:rsid w:val="003948D7"/>
    <w:rsid w:val="00394A99"/>
    <w:rsid w:val="003952A7"/>
    <w:rsid w:val="00395A06"/>
    <w:rsid w:val="00396654"/>
    <w:rsid w:val="00396931"/>
    <w:rsid w:val="003A15A1"/>
    <w:rsid w:val="003A1A25"/>
    <w:rsid w:val="003A36D0"/>
    <w:rsid w:val="003A37C3"/>
    <w:rsid w:val="003A6601"/>
    <w:rsid w:val="003A6FF0"/>
    <w:rsid w:val="003A7B7D"/>
    <w:rsid w:val="003A7ECC"/>
    <w:rsid w:val="003B03EE"/>
    <w:rsid w:val="003B276E"/>
    <w:rsid w:val="003B2A8F"/>
    <w:rsid w:val="003B34DB"/>
    <w:rsid w:val="003B4AAA"/>
    <w:rsid w:val="003B5711"/>
    <w:rsid w:val="003B5FF7"/>
    <w:rsid w:val="003B61FD"/>
    <w:rsid w:val="003B6C63"/>
    <w:rsid w:val="003C08F8"/>
    <w:rsid w:val="003C1F77"/>
    <w:rsid w:val="003C3143"/>
    <w:rsid w:val="003C335F"/>
    <w:rsid w:val="003C6413"/>
    <w:rsid w:val="003D0F96"/>
    <w:rsid w:val="003D102A"/>
    <w:rsid w:val="003D1677"/>
    <w:rsid w:val="003D293B"/>
    <w:rsid w:val="003D632A"/>
    <w:rsid w:val="003E5316"/>
    <w:rsid w:val="003E7A47"/>
    <w:rsid w:val="003F0E67"/>
    <w:rsid w:val="003F252C"/>
    <w:rsid w:val="003F5102"/>
    <w:rsid w:val="003F7EC0"/>
    <w:rsid w:val="00400BCD"/>
    <w:rsid w:val="00403102"/>
    <w:rsid w:val="0040686F"/>
    <w:rsid w:val="0040758B"/>
    <w:rsid w:val="00407599"/>
    <w:rsid w:val="00413ED7"/>
    <w:rsid w:val="00414471"/>
    <w:rsid w:val="004151F9"/>
    <w:rsid w:val="00415B66"/>
    <w:rsid w:val="004166E6"/>
    <w:rsid w:val="00416E53"/>
    <w:rsid w:val="00420FB1"/>
    <w:rsid w:val="00426437"/>
    <w:rsid w:val="00426470"/>
    <w:rsid w:val="00431E93"/>
    <w:rsid w:val="004328C4"/>
    <w:rsid w:val="00433AFC"/>
    <w:rsid w:val="00435E56"/>
    <w:rsid w:val="00436532"/>
    <w:rsid w:val="00440ADD"/>
    <w:rsid w:val="00441C85"/>
    <w:rsid w:val="0044221A"/>
    <w:rsid w:val="00442F55"/>
    <w:rsid w:val="004446BC"/>
    <w:rsid w:val="00446251"/>
    <w:rsid w:val="0045185D"/>
    <w:rsid w:val="00451DD2"/>
    <w:rsid w:val="00452C3F"/>
    <w:rsid w:val="00454601"/>
    <w:rsid w:val="00454FE9"/>
    <w:rsid w:val="0045518C"/>
    <w:rsid w:val="00455AAF"/>
    <w:rsid w:val="0045666E"/>
    <w:rsid w:val="0045696C"/>
    <w:rsid w:val="004569DE"/>
    <w:rsid w:val="00460A84"/>
    <w:rsid w:val="00461012"/>
    <w:rsid w:val="004610AF"/>
    <w:rsid w:val="00463779"/>
    <w:rsid w:val="00463AEF"/>
    <w:rsid w:val="00465526"/>
    <w:rsid w:val="004660EB"/>
    <w:rsid w:val="0047022C"/>
    <w:rsid w:val="00473215"/>
    <w:rsid w:val="00474EF0"/>
    <w:rsid w:val="00477921"/>
    <w:rsid w:val="00481184"/>
    <w:rsid w:val="0048175C"/>
    <w:rsid w:val="0048208B"/>
    <w:rsid w:val="00486A0D"/>
    <w:rsid w:val="00486ED6"/>
    <w:rsid w:val="00487DCC"/>
    <w:rsid w:val="00487F9B"/>
    <w:rsid w:val="00491063"/>
    <w:rsid w:val="00491235"/>
    <w:rsid w:val="0049130D"/>
    <w:rsid w:val="00491A65"/>
    <w:rsid w:val="00494445"/>
    <w:rsid w:val="00494C20"/>
    <w:rsid w:val="00494EFA"/>
    <w:rsid w:val="00494F6B"/>
    <w:rsid w:val="00497946"/>
    <w:rsid w:val="004A1595"/>
    <w:rsid w:val="004A168B"/>
    <w:rsid w:val="004A18C1"/>
    <w:rsid w:val="004A2296"/>
    <w:rsid w:val="004A3672"/>
    <w:rsid w:val="004A3A64"/>
    <w:rsid w:val="004A7242"/>
    <w:rsid w:val="004A7D25"/>
    <w:rsid w:val="004B1CC9"/>
    <w:rsid w:val="004B25E9"/>
    <w:rsid w:val="004B28D9"/>
    <w:rsid w:val="004B35A5"/>
    <w:rsid w:val="004B4378"/>
    <w:rsid w:val="004B6B51"/>
    <w:rsid w:val="004C0CDA"/>
    <w:rsid w:val="004C1AEA"/>
    <w:rsid w:val="004C60A8"/>
    <w:rsid w:val="004C6C56"/>
    <w:rsid w:val="004C6D61"/>
    <w:rsid w:val="004C6E60"/>
    <w:rsid w:val="004C7747"/>
    <w:rsid w:val="004C7BE0"/>
    <w:rsid w:val="004D09E5"/>
    <w:rsid w:val="004D14C7"/>
    <w:rsid w:val="004D1886"/>
    <w:rsid w:val="004D266D"/>
    <w:rsid w:val="004D3017"/>
    <w:rsid w:val="004D3534"/>
    <w:rsid w:val="004D461E"/>
    <w:rsid w:val="004D5421"/>
    <w:rsid w:val="004D5493"/>
    <w:rsid w:val="004D5CB0"/>
    <w:rsid w:val="004D652E"/>
    <w:rsid w:val="004D6DB8"/>
    <w:rsid w:val="004D71AF"/>
    <w:rsid w:val="004E1ADA"/>
    <w:rsid w:val="004E3633"/>
    <w:rsid w:val="004E38D5"/>
    <w:rsid w:val="004E4F07"/>
    <w:rsid w:val="004F2754"/>
    <w:rsid w:val="004F6597"/>
    <w:rsid w:val="0050170C"/>
    <w:rsid w:val="005017C1"/>
    <w:rsid w:val="00502275"/>
    <w:rsid w:val="00507195"/>
    <w:rsid w:val="00507A6B"/>
    <w:rsid w:val="00511B45"/>
    <w:rsid w:val="0051326B"/>
    <w:rsid w:val="00513B4B"/>
    <w:rsid w:val="0051686F"/>
    <w:rsid w:val="00520E91"/>
    <w:rsid w:val="00520FFF"/>
    <w:rsid w:val="005260BB"/>
    <w:rsid w:val="005266D3"/>
    <w:rsid w:val="005273AE"/>
    <w:rsid w:val="00527C91"/>
    <w:rsid w:val="00530010"/>
    <w:rsid w:val="005313DE"/>
    <w:rsid w:val="00533721"/>
    <w:rsid w:val="005352B2"/>
    <w:rsid w:val="00536225"/>
    <w:rsid w:val="00536EC9"/>
    <w:rsid w:val="00537105"/>
    <w:rsid w:val="00540B05"/>
    <w:rsid w:val="00540D32"/>
    <w:rsid w:val="00541B5F"/>
    <w:rsid w:val="005420AA"/>
    <w:rsid w:val="00545EE0"/>
    <w:rsid w:val="0054658D"/>
    <w:rsid w:val="00546790"/>
    <w:rsid w:val="005478C0"/>
    <w:rsid w:val="0055021E"/>
    <w:rsid w:val="00551F03"/>
    <w:rsid w:val="00552359"/>
    <w:rsid w:val="00552DD5"/>
    <w:rsid w:val="005558B0"/>
    <w:rsid w:val="005576C6"/>
    <w:rsid w:val="005603B3"/>
    <w:rsid w:val="00561694"/>
    <w:rsid w:val="00563845"/>
    <w:rsid w:val="0056740C"/>
    <w:rsid w:val="00567A13"/>
    <w:rsid w:val="00570226"/>
    <w:rsid w:val="005705D6"/>
    <w:rsid w:val="00570666"/>
    <w:rsid w:val="00571157"/>
    <w:rsid w:val="005733CA"/>
    <w:rsid w:val="00576A78"/>
    <w:rsid w:val="0057746E"/>
    <w:rsid w:val="005807B3"/>
    <w:rsid w:val="00580C89"/>
    <w:rsid w:val="00580FF5"/>
    <w:rsid w:val="00582B2E"/>
    <w:rsid w:val="00582C07"/>
    <w:rsid w:val="005847DE"/>
    <w:rsid w:val="00587587"/>
    <w:rsid w:val="005929AB"/>
    <w:rsid w:val="00593776"/>
    <w:rsid w:val="00594A6D"/>
    <w:rsid w:val="0059649B"/>
    <w:rsid w:val="005A104D"/>
    <w:rsid w:val="005A315D"/>
    <w:rsid w:val="005A37C7"/>
    <w:rsid w:val="005B1A09"/>
    <w:rsid w:val="005B3FE5"/>
    <w:rsid w:val="005B527E"/>
    <w:rsid w:val="005B5C1C"/>
    <w:rsid w:val="005C0030"/>
    <w:rsid w:val="005C0E66"/>
    <w:rsid w:val="005C1450"/>
    <w:rsid w:val="005C4157"/>
    <w:rsid w:val="005C4DED"/>
    <w:rsid w:val="005C5430"/>
    <w:rsid w:val="005C58B6"/>
    <w:rsid w:val="005C5B23"/>
    <w:rsid w:val="005C6487"/>
    <w:rsid w:val="005D24D6"/>
    <w:rsid w:val="005D30CC"/>
    <w:rsid w:val="005D316D"/>
    <w:rsid w:val="005D3939"/>
    <w:rsid w:val="005D46A9"/>
    <w:rsid w:val="005D7A2B"/>
    <w:rsid w:val="005D7D44"/>
    <w:rsid w:val="005E2612"/>
    <w:rsid w:val="005E5697"/>
    <w:rsid w:val="005E6BFD"/>
    <w:rsid w:val="005E6FC1"/>
    <w:rsid w:val="005E7FDB"/>
    <w:rsid w:val="005E7FF5"/>
    <w:rsid w:val="005F22D9"/>
    <w:rsid w:val="005F28DE"/>
    <w:rsid w:val="005F4098"/>
    <w:rsid w:val="00600DBC"/>
    <w:rsid w:val="006019FE"/>
    <w:rsid w:val="00603406"/>
    <w:rsid w:val="00606AFE"/>
    <w:rsid w:val="00607033"/>
    <w:rsid w:val="00610694"/>
    <w:rsid w:val="00615B38"/>
    <w:rsid w:val="00616066"/>
    <w:rsid w:val="00617E5A"/>
    <w:rsid w:val="00621CD1"/>
    <w:rsid w:val="00622008"/>
    <w:rsid w:val="006221DF"/>
    <w:rsid w:val="006223B4"/>
    <w:rsid w:val="00623484"/>
    <w:rsid w:val="006237D2"/>
    <w:rsid w:val="00623C5E"/>
    <w:rsid w:val="00623C63"/>
    <w:rsid w:val="00624044"/>
    <w:rsid w:val="006338B5"/>
    <w:rsid w:val="006349EE"/>
    <w:rsid w:val="00635E33"/>
    <w:rsid w:val="00637E16"/>
    <w:rsid w:val="006440E7"/>
    <w:rsid w:val="00645136"/>
    <w:rsid w:val="006451A4"/>
    <w:rsid w:val="00646B5D"/>
    <w:rsid w:val="00652D22"/>
    <w:rsid w:val="0065474E"/>
    <w:rsid w:val="00654811"/>
    <w:rsid w:val="0065570C"/>
    <w:rsid w:val="006562C9"/>
    <w:rsid w:val="00657D6A"/>
    <w:rsid w:val="00664D06"/>
    <w:rsid w:val="00666189"/>
    <w:rsid w:val="00666195"/>
    <w:rsid w:val="00666777"/>
    <w:rsid w:val="00673128"/>
    <w:rsid w:val="0067457B"/>
    <w:rsid w:val="00674A42"/>
    <w:rsid w:val="00675F47"/>
    <w:rsid w:val="00680605"/>
    <w:rsid w:val="00680BF7"/>
    <w:rsid w:val="006834C1"/>
    <w:rsid w:val="00684194"/>
    <w:rsid w:val="00686248"/>
    <w:rsid w:val="00691210"/>
    <w:rsid w:val="006928DE"/>
    <w:rsid w:val="00693D55"/>
    <w:rsid w:val="00694C6E"/>
    <w:rsid w:val="00694DE0"/>
    <w:rsid w:val="00695A29"/>
    <w:rsid w:val="00695DA0"/>
    <w:rsid w:val="00695F1A"/>
    <w:rsid w:val="00697AF8"/>
    <w:rsid w:val="006A0DE2"/>
    <w:rsid w:val="006A124A"/>
    <w:rsid w:val="006A15D8"/>
    <w:rsid w:val="006A2322"/>
    <w:rsid w:val="006A3BB7"/>
    <w:rsid w:val="006A3BC3"/>
    <w:rsid w:val="006A74BA"/>
    <w:rsid w:val="006A781A"/>
    <w:rsid w:val="006B05B1"/>
    <w:rsid w:val="006B081F"/>
    <w:rsid w:val="006B09CB"/>
    <w:rsid w:val="006B102D"/>
    <w:rsid w:val="006B28BC"/>
    <w:rsid w:val="006B2FE6"/>
    <w:rsid w:val="006B48E1"/>
    <w:rsid w:val="006C0F7D"/>
    <w:rsid w:val="006C4C88"/>
    <w:rsid w:val="006C4CEB"/>
    <w:rsid w:val="006C51BF"/>
    <w:rsid w:val="006C7C79"/>
    <w:rsid w:val="006D071B"/>
    <w:rsid w:val="006D13CB"/>
    <w:rsid w:val="006D1C7B"/>
    <w:rsid w:val="006E1419"/>
    <w:rsid w:val="006E22ED"/>
    <w:rsid w:val="006E259D"/>
    <w:rsid w:val="006E41C0"/>
    <w:rsid w:val="006E52B5"/>
    <w:rsid w:val="006E6E0F"/>
    <w:rsid w:val="006E6F00"/>
    <w:rsid w:val="006E757F"/>
    <w:rsid w:val="006E7F0C"/>
    <w:rsid w:val="006F0CF9"/>
    <w:rsid w:val="006F1546"/>
    <w:rsid w:val="006F1C88"/>
    <w:rsid w:val="006F2D9E"/>
    <w:rsid w:val="006F496E"/>
    <w:rsid w:val="006F4BE3"/>
    <w:rsid w:val="006F4D83"/>
    <w:rsid w:val="006F5E66"/>
    <w:rsid w:val="007010C3"/>
    <w:rsid w:val="00703169"/>
    <w:rsid w:val="00704BCA"/>
    <w:rsid w:val="007105BE"/>
    <w:rsid w:val="00710831"/>
    <w:rsid w:val="00712C14"/>
    <w:rsid w:val="007139DC"/>
    <w:rsid w:val="0071521A"/>
    <w:rsid w:val="00715390"/>
    <w:rsid w:val="00716902"/>
    <w:rsid w:val="00720304"/>
    <w:rsid w:val="0072579B"/>
    <w:rsid w:val="007264B2"/>
    <w:rsid w:val="0072726C"/>
    <w:rsid w:val="00730B2F"/>
    <w:rsid w:val="00730C18"/>
    <w:rsid w:val="007324DF"/>
    <w:rsid w:val="00736B42"/>
    <w:rsid w:val="00737086"/>
    <w:rsid w:val="00737893"/>
    <w:rsid w:val="0074047C"/>
    <w:rsid w:val="00740672"/>
    <w:rsid w:val="007409D7"/>
    <w:rsid w:val="00740CB6"/>
    <w:rsid w:val="00741235"/>
    <w:rsid w:val="00741F59"/>
    <w:rsid w:val="00742D27"/>
    <w:rsid w:val="00743211"/>
    <w:rsid w:val="00747E88"/>
    <w:rsid w:val="00751C98"/>
    <w:rsid w:val="00752F7B"/>
    <w:rsid w:val="0075775E"/>
    <w:rsid w:val="0075785F"/>
    <w:rsid w:val="00760B12"/>
    <w:rsid w:val="00762627"/>
    <w:rsid w:val="0076541A"/>
    <w:rsid w:val="00765852"/>
    <w:rsid w:val="00770D50"/>
    <w:rsid w:val="00770DD9"/>
    <w:rsid w:val="00771F0C"/>
    <w:rsid w:val="00773245"/>
    <w:rsid w:val="007736B1"/>
    <w:rsid w:val="007749AA"/>
    <w:rsid w:val="007756A2"/>
    <w:rsid w:val="00775CDE"/>
    <w:rsid w:val="00776869"/>
    <w:rsid w:val="00776ED5"/>
    <w:rsid w:val="007773B3"/>
    <w:rsid w:val="0078120D"/>
    <w:rsid w:val="007822EB"/>
    <w:rsid w:val="00785D24"/>
    <w:rsid w:val="00786850"/>
    <w:rsid w:val="007869D7"/>
    <w:rsid w:val="007907C7"/>
    <w:rsid w:val="00791BC9"/>
    <w:rsid w:val="00791F5F"/>
    <w:rsid w:val="00793259"/>
    <w:rsid w:val="007934FD"/>
    <w:rsid w:val="0079538A"/>
    <w:rsid w:val="007973FF"/>
    <w:rsid w:val="00797C90"/>
    <w:rsid w:val="007A033C"/>
    <w:rsid w:val="007A36EE"/>
    <w:rsid w:val="007A4A2D"/>
    <w:rsid w:val="007A60A5"/>
    <w:rsid w:val="007B0C4D"/>
    <w:rsid w:val="007B16E1"/>
    <w:rsid w:val="007B1AAD"/>
    <w:rsid w:val="007B1F89"/>
    <w:rsid w:val="007B2E86"/>
    <w:rsid w:val="007B76F0"/>
    <w:rsid w:val="007C0999"/>
    <w:rsid w:val="007C29C8"/>
    <w:rsid w:val="007C39E5"/>
    <w:rsid w:val="007C47B1"/>
    <w:rsid w:val="007C4BCA"/>
    <w:rsid w:val="007C5533"/>
    <w:rsid w:val="007D0472"/>
    <w:rsid w:val="007D047C"/>
    <w:rsid w:val="007D0A02"/>
    <w:rsid w:val="007D1ED4"/>
    <w:rsid w:val="007D2E0A"/>
    <w:rsid w:val="007D326C"/>
    <w:rsid w:val="007D4D8F"/>
    <w:rsid w:val="007E052B"/>
    <w:rsid w:val="007E1190"/>
    <w:rsid w:val="007E1D4C"/>
    <w:rsid w:val="007E381C"/>
    <w:rsid w:val="007E4769"/>
    <w:rsid w:val="007E4900"/>
    <w:rsid w:val="007E5451"/>
    <w:rsid w:val="007E5B3E"/>
    <w:rsid w:val="007F0E83"/>
    <w:rsid w:val="007F14AD"/>
    <w:rsid w:val="007F2F6B"/>
    <w:rsid w:val="007F74A3"/>
    <w:rsid w:val="00800BC7"/>
    <w:rsid w:val="00800CA3"/>
    <w:rsid w:val="0080160A"/>
    <w:rsid w:val="00801FD4"/>
    <w:rsid w:val="00804323"/>
    <w:rsid w:val="00804AF4"/>
    <w:rsid w:val="00807405"/>
    <w:rsid w:val="00812951"/>
    <w:rsid w:val="00813332"/>
    <w:rsid w:val="0081531A"/>
    <w:rsid w:val="00815F9D"/>
    <w:rsid w:val="008162B4"/>
    <w:rsid w:val="00816C57"/>
    <w:rsid w:val="00817AE6"/>
    <w:rsid w:val="00820C36"/>
    <w:rsid w:val="00820D0E"/>
    <w:rsid w:val="00820EFC"/>
    <w:rsid w:val="008221F9"/>
    <w:rsid w:val="00822972"/>
    <w:rsid w:val="00823E90"/>
    <w:rsid w:val="00824612"/>
    <w:rsid w:val="0082635D"/>
    <w:rsid w:val="00830C34"/>
    <w:rsid w:val="00830DBD"/>
    <w:rsid w:val="008310C6"/>
    <w:rsid w:val="008313B0"/>
    <w:rsid w:val="00832151"/>
    <w:rsid w:val="00834DE9"/>
    <w:rsid w:val="008354D7"/>
    <w:rsid w:val="00840E53"/>
    <w:rsid w:val="0084203C"/>
    <w:rsid w:val="008433C8"/>
    <w:rsid w:val="00843909"/>
    <w:rsid w:val="00845110"/>
    <w:rsid w:val="00845181"/>
    <w:rsid w:val="008462D3"/>
    <w:rsid w:val="00846A41"/>
    <w:rsid w:val="0085047E"/>
    <w:rsid w:val="0085091F"/>
    <w:rsid w:val="00850CBE"/>
    <w:rsid w:val="008515BC"/>
    <w:rsid w:val="0085527A"/>
    <w:rsid w:val="008560A5"/>
    <w:rsid w:val="008578E4"/>
    <w:rsid w:val="00857F20"/>
    <w:rsid w:val="0086033F"/>
    <w:rsid w:val="00860B64"/>
    <w:rsid w:val="0086307F"/>
    <w:rsid w:val="00867574"/>
    <w:rsid w:val="00867B65"/>
    <w:rsid w:val="008707D6"/>
    <w:rsid w:val="00870D6E"/>
    <w:rsid w:val="00875425"/>
    <w:rsid w:val="00877AFE"/>
    <w:rsid w:val="00877B75"/>
    <w:rsid w:val="0088016B"/>
    <w:rsid w:val="00883B8A"/>
    <w:rsid w:val="00885210"/>
    <w:rsid w:val="00885E53"/>
    <w:rsid w:val="008863BB"/>
    <w:rsid w:val="00887ED8"/>
    <w:rsid w:val="008940F9"/>
    <w:rsid w:val="0089608C"/>
    <w:rsid w:val="00897F29"/>
    <w:rsid w:val="008A08FB"/>
    <w:rsid w:val="008A183C"/>
    <w:rsid w:val="008A1E0D"/>
    <w:rsid w:val="008A2AEF"/>
    <w:rsid w:val="008A2DDE"/>
    <w:rsid w:val="008A41C6"/>
    <w:rsid w:val="008A50DB"/>
    <w:rsid w:val="008A512B"/>
    <w:rsid w:val="008A5916"/>
    <w:rsid w:val="008A7D22"/>
    <w:rsid w:val="008B4D75"/>
    <w:rsid w:val="008B53D3"/>
    <w:rsid w:val="008C2C7D"/>
    <w:rsid w:val="008C4A7D"/>
    <w:rsid w:val="008D072A"/>
    <w:rsid w:val="008D49DA"/>
    <w:rsid w:val="008D4A28"/>
    <w:rsid w:val="008D5680"/>
    <w:rsid w:val="008D69A5"/>
    <w:rsid w:val="008E1154"/>
    <w:rsid w:val="008E3506"/>
    <w:rsid w:val="008E469B"/>
    <w:rsid w:val="008E6DF6"/>
    <w:rsid w:val="008E6E79"/>
    <w:rsid w:val="008F15F9"/>
    <w:rsid w:val="008F19E9"/>
    <w:rsid w:val="008F1C85"/>
    <w:rsid w:val="008F270B"/>
    <w:rsid w:val="008F69DC"/>
    <w:rsid w:val="008F6C23"/>
    <w:rsid w:val="00900FE8"/>
    <w:rsid w:val="00901610"/>
    <w:rsid w:val="00903F2E"/>
    <w:rsid w:val="009041C0"/>
    <w:rsid w:val="009054E1"/>
    <w:rsid w:val="00906DBA"/>
    <w:rsid w:val="0091039C"/>
    <w:rsid w:val="00912590"/>
    <w:rsid w:val="009125CB"/>
    <w:rsid w:val="00912628"/>
    <w:rsid w:val="00912AD6"/>
    <w:rsid w:val="00913E7A"/>
    <w:rsid w:val="009141F7"/>
    <w:rsid w:val="00914794"/>
    <w:rsid w:val="00914EC3"/>
    <w:rsid w:val="0091593E"/>
    <w:rsid w:val="009200DE"/>
    <w:rsid w:val="009233B4"/>
    <w:rsid w:val="0092535C"/>
    <w:rsid w:val="00926052"/>
    <w:rsid w:val="00927C43"/>
    <w:rsid w:val="009361C3"/>
    <w:rsid w:val="009426F5"/>
    <w:rsid w:val="009434C4"/>
    <w:rsid w:val="00943CF8"/>
    <w:rsid w:val="009452AB"/>
    <w:rsid w:val="00945FE2"/>
    <w:rsid w:val="009469C8"/>
    <w:rsid w:val="00946C4E"/>
    <w:rsid w:val="00947B8A"/>
    <w:rsid w:val="0095177A"/>
    <w:rsid w:val="0095249C"/>
    <w:rsid w:val="00952C65"/>
    <w:rsid w:val="00952CBD"/>
    <w:rsid w:val="009537B4"/>
    <w:rsid w:val="00953F54"/>
    <w:rsid w:val="009542B7"/>
    <w:rsid w:val="00954364"/>
    <w:rsid w:val="0095696E"/>
    <w:rsid w:val="00956DC3"/>
    <w:rsid w:val="0096196B"/>
    <w:rsid w:val="00962D8D"/>
    <w:rsid w:val="00963466"/>
    <w:rsid w:val="00963728"/>
    <w:rsid w:val="00963AC0"/>
    <w:rsid w:val="009643A9"/>
    <w:rsid w:val="00964ADC"/>
    <w:rsid w:val="009659FD"/>
    <w:rsid w:val="00965AAC"/>
    <w:rsid w:val="009712BD"/>
    <w:rsid w:val="0097270C"/>
    <w:rsid w:val="00972843"/>
    <w:rsid w:val="009744FE"/>
    <w:rsid w:val="009777F6"/>
    <w:rsid w:val="00980005"/>
    <w:rsid w:val="009802D6"/>
    <w:rsid w:val="009810E4"/>
    <w:rsid w:val="009817DD"/>
    <w:rsid w:val="00981AC9"/>
    <w:rsid w:val="0098464A"/>
    <w:rsid w:val="00984BB4"/>
    <w:rsid w:val="00986FD3"/>
    <w:rsid w:val="00987ADE"/>
    <w:rsid w:val="0099011E"/>
    <w:rsid w:val="009907E8"/>
    <w:rsid w:val="00991D0D"/>
    <w:rsid w:val="00995D1B"/>
    <w:rsid w:val="00996BC0"/>
    <w:rsid w:val="009A01F9"/>
    <w:rsid w:val="009A0343"/>
    <w:rsid w:val="009A55B5"/>
    <w:rsid w:val="009A566B"/>
    <w:rsid w:val="009A5FE9"/>
    <w:rsid w:val="009A60AE"/>
    <w:rsid w:val="009A7640"/>
    <w:rsid w:val="009B0500"/>
    <w:rsid w:val="009B0EA8"/>
    <w:rsid w:val="009B3448"/>
    <w:rsid w:val="009B35F6"/>
    <w:rsid w:val="009B4A86"/>
    <w:rsid w:val="009B5665"/>
    <w:rsid w:val="009B6195"/>
    <w:rsid w:val="009B6FA7"/>
    <w:rsid w:val="009C01D7"/>
    <w:rsid w:val="009C0C06"/>
    <w:rsid w:val="009C23B4"/>
    <w:rsid w:val="009C3E3C"/>
    <w:rsid w:val="009C4AC4"/>
    <w:rsid w:val="009C505A"/>
    <w:rsid w:val="009C5A48"/>
    <w:rsid w:val="009C6CCF"/>
    <w:rsid w:val="009C7A89"/>
    <w:rsid w:val="009C7D29"/>
    <w:rsid w:val="009D3450"/>
    <w:rsid w:val="009D369F"/>
    <w:rsid w:val="009D3A25"/>
    <w:rsid w:val="009D496C"/>
    <w:rsid w:val="009D4ED2"/>
    <w:rsid w:val="009D6B3C"/>
    <w:rsid w:val="009E0F4A"/>
    <w:rsid w:val="009E134E"/>
    <w:rsid w:val="009E24AE"/>
    <w:rsid w:val="009E6B60"/>
    <w:rsid w:val="009F1D75"/>
    <w:rsid w:val="009F22AC"/>
    <w:rsid w:val="009F4A85"/>
    <w:rsid w:val="009F4F03"/>
    <w:rsid w:val="009F618E"/>
    <w:rsid w:val="009F75C6"/>
    <w:rsid w:val="009F77BE"/>
    <w:rsid w:val="00A00F89"/>
    <w:rsid w:val="00A01104"/>
    <w:rsid w:val="00A029C8"/>
    <w:rsid w:val="00A0334E"/>
    <w:rsid w:val="00A0607A"/>
    <w:rsid w:val="00A0633A"/>
    <w:rsid w:val="00A12640"/>
    <w:rsid w:val="00A13492"/>
    <w:rsid w:val="00A15C25"/>
    <w:rsid w:val="00A17610"/>
    <w:rsid w:val="00A21D66"/>
    <w:rsid w:val="00A22186"/>
    <w:rsid w:val="00A225A7"/>
    <w:rsid w:val="00A22C7E"/>
    <w:rsid w:val="00A257DE"/>
    <w:rsid w:val="00A25DD4"/>
    <w:rsid w:val="00A27C93"/>
    <w:rsid w:val="00A305D9"/>
    <w:rsid w:val="00A321ED"/>
    <w:rsid w:val="00A32C6E"/>
    <w:rsid w:val="00A337E2"/>
    <w:rsid w:val="00A33EAB"/>
    <w:rsid w:val="00A3552C"/>
    <w:rsid w:val="00A36490"/>
    <w:rsid w:val="00A37526"/>
    <w:rsid w:val="00A37592"/>
    <w:rsid w:val="00A37E5D"/>
    <w:rsid w:val="00A40643"/>
    <w:rsid w:val="00A41291"/>
    <w:rsid w:val="00A41425"/>
    <w:rsid w:val="00A42680"/>
    <w:rsid w:val="00A431F4"/>
    <w:rsid w:val="00A432FF"/>
    <w:rsid w:val="00A43414"/>
    <w:rsid w:val="00A44083"/>
    <w:rsid w:val="00A4528D"/>
    <w:rsid w:val="00A454A2"/>
    <w:rsid w:val="00A46664"/>
    <w:rsid w:val="00A466BC"/>
    <w:rsid w:val="00A46FF3"/>
    <w:rsid w:val="00A506B1"/>
    <w:rsid w:val="00A52AEA"/>
    <w:rsid w:val="00A55084"/>
    <w:rsid w:val="00A57999"/>
    <w:rsid w:val="00A60119"/>
    <w:rsid w:val="00A60BBA"/>
    <w:rsid w:val="00A62538"/>
    <w:rsid w:val="00A633A5"/>
    <w:rsid w:val="00A63CAC"/>
    <w:rsid w:val="00A64412"/>
    <w:rsid w:val="00A65162"/>
    <w:rsid w:val="00A654B9"/>
    <w:rsid w:val="00A668B5"/>
    <w:rsid w:val="00A676CB"/>
    <w:rsid w:val="00A74120"/>
    <w:rsid w:val="00A7696F"/>
    <w:rsid w:val="00A76B4D"/>
    <w:rsid w:val="00A81358"/>
    <w:rsid w:val="00A81B67"/>
    <w:rsid w:val="00A83290"/>
    <w:rsid w:val="00A84985"/>
    <w:rsid w:val="00A86172"/>
    <w:rsid w:val="00A8626B"/>
    <w:rsid w:val="00A90F06"/>
    <w:rsid w:val="00A91394"/>
    <w:rsid w:val="00A94379"/>
    <w:rsid w:val="00A94872"/>
    <w:rsid w:val="00A955C6"/>
    <w:rsid w:val="00A97985"/>
    <w:rsid w:val="00AA07A7"/>
    <w:rsid w:val="00AA6342"/>
    <w:rsid w:val="00AA7136"/>
    <w:rsid w:val="00AA7E6A"/>
    <w:rsid w:val="00AB09E7"/>
    <w:rsid w:val="00AB23F0"/>
    <w:rsid w:val="00AB2691"/>
    <w:rsid w:val="00AB2E92"/>
    <w:rsid w:val="00AB3074"/>
    <w:rsid w:val="00AB64B7"/>
    <w:rsid w:val="00AB784D"/>
    <w:rsid w:val="00AC0232"/>
    <w:rsid w:val="00AC21B9"/>
    <w:rsid w:val="00AC3586"/>
    <w:rsid w:val="00AC37B4"/>
    <w:rsid w:val="00AC3A45"/>
    <w:rsid w:val="00AC665A"/>
    <w:rsid w:val="00AD1D95"/>
    <w:rsid w:val="00AD356D"/>
    <w:rsid w:val="00AE07E2"/>
    <w:rsid w:val="00AE75B0"/>
    <w:rsid w:val="00AF061A"/>
    <w:rsid w:val="00AF298A"/>
    <w:rsid w:val="00AF2DB9"/>
    <w:rsid w:val="00AF45B4"/>
    <w:rsid w:val="00AF4F97"/>
    <w:rsid w:val="00AF6C58"/>
    <w:rsid w:val="00AF726D"/>
    <w:rsid w:val="00B001EA"/>
    <w:rsid w:val="00B01A8C"/>
    <w:rsid w:val="00B01E1F"/>
    <w:rsid w:val="00B038DD"/>
    <w:rsid w:val="00B0445B"/>
    <w:rsid w:val="00B0680F"/>
    <w:rsid w:val="00B0682F"/>
    <w:rsid w:val="00B07535"/>
    <w:rsid w:val="00B07E26"/>
    <w:rsid w:val="00B10D62"/>
    <w:rsid w:val="00B13CBE"/>
    <w:rsid w:val="00B13FB1"/>
    <w:rsid w:val="00B14E0D"/>
    <w:rsid w:val="00B16CE1"/>
    <w:rsid w:val="00B1777B"/>
    <w:rsid w:val="00B17B29"/>
    <w:rsid w:val="00B21803"/>
    <w:rsid w:val="00B2664F"/>
    <w:rsid w:val="00B27145"/>
    <w:rsid w:val="00B27DE6"/>
    <w:rsid w:val="00B3385B"/>
    <w:rsid w:val="00B35A8D"/>
    <w:rsid w:val="00B36558"/>
    <w:rsid w:val="00B36BE4"/>
    <w:rsid w:val="00B37D28"/>
    <w:rsid w:val="00B42E5F"/>
    <w:rsid w:val="00B51BE1"/>
    <w:rsid w:val="00B5219C"/>
    <w:rsid w:val="00B529A0"/>
    <w:rsid w:val="00B52C7C"/>
    <w:rsid w:val="00B540CD"/>
    <w:rsid w:val="00B56126"/>
    <w:rsid w:val="00B57F6B"/>
    <w:rsid w:val="00B60E76"/>
    <w:rsid w:val="00B610B6"/>
    <w:rsid w:val="00B61AE8"/>
    <w:rsid w:val="00B62A63"/>
    <w:rsid w:val="00B634B0"/>
    <w:rsid w:val="00B6368C"/>
    <w:rsid w:val="00B65338"/>
    <w:rsid w:val="00B6689D"/>
    <w:rsid w:val="00B71B43"/>
    <w:rsid w:val="00B7201B"/>
    <w:rsid w:val="00B74F68"/>
    <w:rsid w:val="00B77B4F"/>
    <w:rsid w:val="00B80858"/>
    <w:rsid w:val="00B816F1"/>
    <w:rsid w:val="00B83478"/>
    <w:rsid w:val="00B874F8"/>
    <w:rsid w:val="00B87B86"/>
    <w:rsid w:val="00B915A2"/>
    <w:rsid w:val="00B91943"/>
    <w:rsid w:val="00B91DF8"/>
    <w:rsid w:val="00B92CA6"/>
    <w:rsid w:val="00B9303D"/>
    <w:rsid w:val="00B941E6"/>
    <w:rsid w:val="00B944F2"/>
    <w:rsid w:val="00B9460C"/>
    <w:rsid w:val="00B94BD6"/>
    <w:rsid w:val="00B965EE"/>
    <w:rsid w:val="00B96A05"/>
    <w:rsid w:val="00B97CB4"/>
    <w:rsid w:val="00BA0D26"/>
    <w:rsid w:val="00BA2306"/>
    <w:rsid w:val="00BA385E"/>
    <w:rsid w:val="00BA38A0"/>
    <w:rsid w:val="00BA6DE2"/>
    <w:rsid w:val="00BA7E8D"/>
    <w:rsid w:val="00BB2256"/>
    <w:rsid w:val="00BB346D"/>
    <w:rsid w:val="00BB4D23"/>
    <w:rsid w:val="00BB7FF5"/>
    <w:rsid w:val="00BC02D8"/>
    <w:rsid w:val="00BC0341"/>
    <w:rsid w:val="00BC1916"/>
    <w:rsid w:val="00BC25CC"/>
    <w:rsid w:val="00BC7322"/>
    <w:rsid w:val="00BD1F38"/>
    <w:rsid w:val="00BD3377"/>
    <w:rsid w:val="00BD4BDF"/>
    <w:rsid w:val="00BD7FDD"/>
    <w:rsid w:val="00BE26E9"/>
    <w:rsid w:val="00BE27C5"/>
    <w:rsid w:val="00BE5FA6"/>
    <w:rsid w:val="00BF27CD"/>
    <w:rsid w:val="00BF33DF"/>
    <w:rsid w:val="00BF4104"/>
    <w:rsid w:val="00BF55BC"/>
    <w:rsid w:val="00BF5C77"/>
    <w:rsid w:val="00BF63A9"/>
    <w:rsid w:val="00BF73AA"/>
    <w:rsid w:val="00C005E9"/>
    <w:rsid w:val="00C00D04"/>
    <w:rsid w:val="00C00F85"/>
    <w:rsid w:val="00C01721"/>
    <w:rsid w:val="00C01A3D"/>
    <w:rsid w:val="00C03870"/>
    <w:rsid w:val="00C04718"/>
    <w:rsid w:val="00C1236B"/>
    <w:rsid w:val="00C12A14"/>
    <w:rsid w:val="00C138F7"/>
    <w:rsid w:val="00C14F3C"/>
    <w:rsid w:val="00C169A2"/>
    <w:rsid w:val="00C16F30"/>
    <w:rsid w:val="00C17FF1"/>
    <w:rsid w:val="00C213E3"/>
    <w:rsid w:val="00C224B1"/>
    <w:rsid w:val="00C23B5D"/>
    <w:rsid w:val="00C24789"/>
    <w:rsid w:val="00C26843"/>
    <w:rsid w:val="00C26B71"/>
    <w:rsid w:val="00C30C3C"/>
    <w:rsid w:val="00C32DDB"/>
    <w:rsid w:val="00C37417"/>
    <w:rsid w:val="00C40859"/>
    <w:rsid w:val="00C41905"/>
    <w:rsid w:val="00C42D23"/>
    <w:rsid w:val="00C44AD3"/>
    <w:rsid w:val="00C45046"/>
    <w:rsid w:val="00C50D4F"/>
    <w:rsid w:val="00C538E4"/>
    <w:rsid w:val="00C53A47"/>
    <w:rsid w:val="00C561F1"/>
    <w:rsid w:val="00C57253"/>
    <w:rsid w:val="00C574FA"/>
    <w:rsid w:val="00C62A8F"/>
    <w:rsid w:val="00C62D98"/>
    <w:rsid w:val="00C6408D"/>
    <w:rsid w:val="00C6448B"/>
    <w:rsid w:val="00C646A4"/>
    <w:rsid w:val="00C650C1"/>
    <w:rsid w:val="00C66C1D"/>
    <w:rsid w:val="00C66FA1"/>
    <w:rsid w:val="00C711A5"/>
    <w:rsid w:val="00C7657D"/>
    <w:rsid w:val="00C80935"/>
    <w:rsid w:val="00C82504"/>
    <w:rsid w:val="00C82B3B"/>
    <w:rsid w:val="00C82BB1"/>
    <w:rsid w:val="00C8327D"/>
    <w:rsid w:val="00C83E31"/>
    <w:rsid w:val="00C85EFE"/>
    <w:rsid w:val="00C86194"/>
    <w:rsid w:val="00C8653C"/>
    <w:rsid w:val="00C86574"/>
    <w:rsid w:val="00C87DD3"/>
    <w:rsid w:val="00C9073E"/>
    <w:rsid w:val="00C91B50"/>
    <w:rsid w:val="00C94469"/>
    <w:rsid w:val="00C95828"/>
    <w:rsid w:val="00C97449"/>
    <w:rsid w:val="00C97C5E"/>
    <w:rsid w:val="00CA26B4"/>
    <w:rsid w:val="00CA2DBE"/>
    <w:rsid w:val="00CA3EB9"/>
    <w:rsid w:val="00CA52E8"/>
    <w:rsid w:val="00CA70DC"/>
    <w:rsid w:val="00CA72C8"/>
    <w:rsid w:val="00CA75BF"/>
    <w:rsid w:val="00CA765F"/>
    <w:rsid w:val="00CA7AF6"/>
    <w:rsid w:val="00CB01A8"/>
    <w:rsid w:val="00CB04B4"/>
    <w:rsid w:val="00CB0D84"/>
    <w:rsid w:val="00CB0FFC"/>
    <w:rsid w:val="00CB3DA9"/>
    <w:rsid w:val="00CB4907"/>
    <w:rsid w:val="00CB5F40"/>
    <w:rsid w:val="00CC00EC"/>
    <w:rsid w:val="00CC0D85"/>
    <w:rsid w:val="00CC3FF4"/>
    <w:rsid w:val="00CC4124"/>
    <w:rsid w:val="00CC4396"/>
    <w:rsid w:val="00CC4F39"/>
    <w:rsid w:val="00CC60A2"/>
    <w:rsid w:val="00CC793B"/>
    <w:rsid w:val="00CD1FC2"/>
    <w:rsid w:val="00CD3D3F"/>
    <w:rsid w:val="00CD525F"/>
    <w:rsid w:val="00CD5E6C"/>
    <w:rsid w:val="00CD6A04"/>
    <w:rsid w:val="00CD741E"/>
    <w:rsid w:val="00CE12CB"/>
    <w:rsid w:val="00CE24DC"/>
    <w:rsid w:val="00CE3AEA"/>
    <w:rsid w:val="00CE3D63"/>
    <w:rsid w:val="00CE463D"/>
    <w:rsid w:val="00CE7CAA"/>
    <w:rsid w:val="00CF276F"/>
    <w:rsid w:val="00CF27DB"/>
    <w:rsid w:val="00CF3535"/>
    <w:rsid w:val="00CF5B64"/>
    <w:rsid w:val="00CF6157"/>
    <w:rsid w:val="00CF6CE8"/>
    <w:rsid w:val="00CF7DCB"/>
    <w:rsid w:val="00D00D79"/>
    <w:rsid w:val="00D01EE6"/>
    <w:rsid w:val="00D0558A"/>
    <w:rsid w:val="00D05F7D"/>
    <w:rsid w:val="00D07672"/>
    <w:rsid w:val="00D07B69"/>
    <w:rsid w:val="00D1039A"/>
    <w:rsid w:val="00D10C6A"/>
    <w:rsid w:val="00D15571"/>
    <w:rsid w:val="00D15A8F"/>
    <w:rsid w:val="00D17E4E"/>
    <w:rsid w:val="00D22821"/>
    <w:rsid w:val="00D25121"/>
    <w:rsid w:val="00D301B6"/>
    <w:rsid w:val="00D32C12"/>
    <w:rsid w:val="00D340F2"/>
    <w:rsid w:val="00D34ED0"/>
    <w:rsid w:val="00D35310"/>
    <w:rsid w:val="00D35471"/>
    <w:rsid w:val="00D3684C"/>
    <w:rsid w:val="00D368C9"/>
    <w:rsid w:val="00D3721D"/>
    <w:rsid w:val="00D41007"/>
    <w:rsid w:val="00D42C05"/>
    <w:rsid w:val="00D43552"/>
    <w:rsid w:val="00D45835"/>
    <w:rsid w:val="00D471BB"/>
    <w:rsid w:val="00D50D88"/>
    <w:rsid w:val="00D530FC"/>
    <w:rsid w:val="00D537DB"/>
    <w:rsid w:val="00D54D03"/>
    <w:rsid w:val="00D54E47"/>
    <w:rsid w:val="00D6330F"/>
    <w:rsid w:val="00D63F5E"/>
    <w:rsid w:val="00D65560"/>
    <w:rsid w:val="00D65BB7"/>
    <w:rsid w:val="00D66D54"/>
    <w:rsid w:val="00D67367"/>
    <w:rsid w:val="00D677D8"/>
    <w:rsid w:val="00D748DE"/>
    <w:rsid w:val="00D74A6B"/>
    <w:rsid w:val="00D80DEE"/>
    <w:rsid w:val="00D82AC5"/>
    <w:rsid w:val="00D83714"/>
    <w:rsid w:val="00D8418F"/>
    <w:rsid w:val="00D85F88"/>
    <w:rsid w:val="00D8615A"/>
    <w:rsid w:val="00D86781"/>
    <w:rsid w:val="00D8683D"/>
    <w:rsid w:val="00D90441"/>
    <w:rsid w:val="00D906D3"/>
    <w:rsid w:val="00D94AE3"/>
    <w:rsid w:val="00D961A0"/>
    <w:rsid w:val="00D972FD"/>
    <w:rsid w:val="00D97B51"/>
    <w:rsid w:val="00DA32A6"/>
    <w:rsid w:val="00DA3F25"/>
    <w:rsid w:val="00DA6537"/>
    <w:rsid w:val="00DB07D2"/>
    <w:rsid w:val="00DB2A2C"/>
    <w:rsid w:val="00DB41DD"/>
    <w:rsid w:val="00DB58B4"/>
    <w:rsid w:val="00DB5B77"/>
    <w:rsid w:val="00DB6E1E"/>
    <w:rsid w:val="00DC01EE"/>
    <w:rsid w:val="00DC0E1D"/>
    <w:rsid w:val="00DC0F47"/>
    <w:rsid w:val="00DD23A6"/>
    <w:rsid w:val="00DD27B1"/>
    <w:rsid w:val="00DD28C8"/>
    <w:rsid w:val="00DD2D9C"/>
    <w:rsid w:val="00DE21FF"/>
    <w:rsid w:val="00DE4A36"/>
    <w:rsid w:val="00DF17ED"/>
    <w:rsid w:val="00DF4541"/>
    <w:rsid w:val="00E011B3"/>
    <w:rsid w:val="00E0389A"/>
    <w:rsid w:val="00E03ED5"/>
    <w:rsid w:val="00E04457"/>
    <w:rsid w:val="00E04665"/>
    <w:rsid w:val="00E0708B"/>
    <w:rsid w:val="00E125F6"/>
    <w:rsid w:val="00E13785"/>
    <w:rsid w:val="00E13976"/>
    <w:rsid w:val="00E1486E"/>
    <w:rsid w:val="00E14C5C"/>
    <w:rsid w:val="00E166E6"/>
    <w:rsid w:val="00E244D9"/>
    <w:rsid w:val="00E24763"/>
    <w:rsid w:val="00E25E27"/>
    <w:rsid w:val="00E265CD"/>
    <w:rsid w:val="00E26B23"/>
    <w:rsid w:val="00E318B5"/>
    <w:rsid w:val="00E328C3"/>
    <w:rsid w:val="00E332E5"/>
    <w:rsid w:val="00E33405"/>
    <w:rsid w:val="00E33B32"/>
    <w:rsid w:val="00E40D15"/>
    <w:rsid w:val="00E415E6"/>
    <w:rsid w:val="00E4169C"/>
    <w:rsid w:val="00E42C62"/>
    <w:rsid w:val="00E44E19"/>
    <w:rsid w:val="00E472FE"/>
    <w:rsid w:val="00E47794"/>
    <w:rsid w:val="00E47E9C"/>
    <w:rsid w:val="00E53FB8"/>
    <w:rsid w:val="00E54546"/>
    <w:rsid w:val="00E5632E"/>
    <w:rsid w:val="00E56E54"/>
    <w:rsid w:val="00E6054C"/>
    <w:rsid w:val="00E619B9"/>
    <w:rsid w:val="00E61FE7"/>
    <w:rsid w:val="00E62A46"/>
    <w:rsid w:val="00E62C08"/>
    <w:rsid w:val="00E63133"/>
    <w:rsid w:val="00E639CF"/>
    <w:rsid w:val="00E652BF"/>
    <w:rsid w:val="00E66416"/>
    <w:rsid w:val="00E70ECE"/>
    <w:rsid w:val="00E71B27"/>
    <w:rsid w:val="00E728EB"/>
    <w:rsid w:val="00E73C0C"/>
    <w:rsid w:val="00E77544"/>
    <w:rsid w:val="00E82674"/>
    <w:rsid w:val="00E85AD6"/>
    <w:rsid w:val="00E86EE8"/>
    <w:rsid w:val="00E90ED9"/>
    <w:rsid w:val="00E91CB1"/>
    <w:rsid w:val="00E951AD"/>
    <w:rsid w:val="00E957D5"/>
    <w:rsid w:val="00E95B29"/>
    <w:rsid w:val="00E967D4"/>
    <w:rsid w:val="00E97D55"/>
    <w:rsid w:val="00EA03CF"/>
    <w:rsid w:val="00EA066E"/>
    <w:rsid w:val="00EA1328"/>
    <w:rsid w:val="00EA1666"/>
    <w:rsid w:val="00EA2432"/>
    <w:rsid w:val="00EA2603"/>
    <w:rsid w:val="00EA2EE4"/>
    <w:rsid w:val="00EA4F84"/>
    <w:rsid w:val="00EA5BB4"/>
    <w:rsid w:val="00EA62E9"/>
    <w:rsid w:val="00EB2D85"/>
    <w:rsid w:val="00EB3367"/>
    <w:rsid w:val="00EB4B30"/>
    <w:rsid w:val="00EB4DDD"/>
    <w:rsid w:val="00EB65F8"/>
    <w:rsid w:val="00EB67CF"/>
    <w:rsid w:val="00EB69AC"/>
    <w:rsid w:val="00EB6B76"/>
    <w:rsid w:val="00EB74C3"/>
    <w:rsid w:val="00EC0FF1"/>
    <w:rsid w:val="00EC20A6"/>
    <w:rsid w:val="00EC2907"/>
    <w:rsid w:val="00EC3EA7"/>
    <w:rsid w:val="00EC416F"/>
    <w:rsid w:val="00EC5766"/>
    <w:rsid w:val="00EC5E42"/>
    <w:rsid w:val="00ED0DB7"/>
    <w:rsid w:val="00ED4D5C"/>
    <w:rsid w:val="00ED7E32"/>
    <w:rsid w:val="00EE0510"/>
    <w:rsid w:val="00EE28C4"/>
    <w:rsid w:val="00EE4925"/>
    <w:rsid w:val="00EE4C5C"/>
    <w:rsid w:val="00EE5A74"/>
    <w:rsid w:val="00EE6868"/>
    <w:rsid w:val="00EF1C43"/>
    <w:rsid w:val="00EF1C6D"/>
    <w:rsid w:val="00EF27DD"/>
    <w:rsid w:val="00EF2B15"/>
    <w:rsid w:val="00EF47C3"/>
    <w:rsid w:val="00EF4AB9"/>
    <w:rsid w:val="00EF4BB9"/>
    <w:rsid w:val="00EF6AF2"/>
    <w:rsid w:val="00F03660"/>
    <w:rsid w:val="00F036C7"/>
    <w:rsid w:val="00F03D7C"/>
    <w:rsid w:val="00F05D02"/>
    <w:rsid w:val="00F05F22"/>
    <w:rsid w:val="00F06337"/>
    <w:rsid w:val="00F0634F"/>
    <w:rsid w:val="00F06EE9"/>
    <w:rsid w:val="00F11973"/>
    <w:rsid w:val="00F12FEE"/>
    <w:rsid w:val="00F132EF"/>
    <w:rsid w:val="00F14E2F"/>
    <w:rsid w:val="00F15CEB"/>
    <w:rsid w:val="00F20A88"/>
    <w:rsid w:val="00F228F0"/>
    <w:rsid w:val="00F23C89"/>
    <w:rsid w:val="00F25316"/>
    <w:rsid w:val="00F26415"/>
    <w:rsid w:val="00F2735B"/>
    <w:rsid w:val="00F3056D"/>
    <w:rsid w:val="00F30F8C"/>
    <w:rsid w:val="00F3102B"/>
    <w:rsid w:val="00F34BCD"/>
    <w:rsid w:val="00F36A46"/>
    <w:rsid w:val="00F36C0D"/>
    <w:rsid w:val="00F36D0B"/>
    <w:rsid w:val="00F36EC8"/>
    <w:rsid w:val="00F37BCB"/>
    <w:rsid w:val="00F40561"/>
    <w:rsid w:val="00F405DF"/>
    <w:rsid w:val="00F409D7"/>
    <w:rsid w:val="00F425C5"/>
    <w:rsid w:val="00F42C5E"/>
    <w:rsid w:val="00F43E1A"/>
    <w:rsid w:val="00F43F3D"/>
    <w:rsid w:val="00F45298"/>
    <w:rsid w:val="00F456FB"/>
    <w:rsid w:val="00F4705C"/>
    <w:rsid w:val="00F47150"/>
    <w:rsid w:val="00F50CA7"/>
    <w:rsid w:val="00F5184A"/>
    <w:rsid w:val="00F54639"/>
    <w:rsid w:val="00F54721"/>
    <w:rsid w:val="00F570A5"/>
    <w:rsid w:val="00F60982"/>
    <w:rsid w:val="00F62AE5"/>
    <w:rsid w:val="00F62B49"/>
    <w:rsid w:val="00F66B6B"/>
    <w:rsid w:val="00F71C25"/>
    <w:rsid w:val="00F7379E"/>
    <w:rsid w:val="00F739DB"/>
    <w:rsid w:val="00F74D93"/>
    <w:rsid w:val="00F77B16"/>
    <w:rsid w:val="00F802DD"/>
    <w:rsid w:val="00F808EC"/>
    <w:rsid w:val="00F83242"/>
    <w:rsid w:val="00F839F9"/>
    <w:rsid w:val="00F85210"/>
    <w:rsid w:val="00F85283"/>
    <w:rsid w:val="00F8581F"/>
    <w:rsid w:val="00F85C13"/>
    <w:rsid w:val="00F86204"/>
    <w:rsid w:val="00F8785B"/>
    <w:rsid w:val="00F904E8"/>
    <w:rsid w:val="00F91980"/>
    <w:rsid w:val="00F92399"/>
    <w:rsid w:val="00F923DA"/>
    <w:rsid w:val="00F9267D"/>
    <w:rsid w:val="00F926CF"/>
    <w:rsid w:val="00FA020C"/>
    <w:rsid w:val="00FA1FD8"/>
    <w:rsid w:val="00FA363B"/>
    <w:rsid w:val="00FA38EA"/>
    <w:rsid w:val="00FA3D0F"/>
    <w:rsid w:val="00FA452D"/>
    <w:rsid w:val="00FA50E8"/>
    <w:rsid w:val="00FA5835"/>
    <w:rsid w:val="00FA59F5"/>
    <w:rsid w:val="00FA6B41"/>
    <w:rsid w:val="00FB2D34"/>
    <w:rsid w:val="00FB376B"/>
    <w:rsid w:val="00FB3B44"/>
    <w:rsid w:val="00FB3F5F"/>
    <w:rsid w:val="00FB585F"/>
    <w:rsid w:val="00FB5CF0"/>
    <w:rsid w:val="00FB6CC1"/>
    <w:rsid w:val="00FB75A1"/>
    <w:rsid w:val="00FB7B18"/>
    <w:rsid w:val="00FC0BF6"/>
    <w:rsid w:val="00FC10DA"/>
    <w:rsid w:val="00FC2403"/>
    <w:rsid w:val="00FC5346"/>
    <w:rsid w:val="00FC61E6"/>
    <w:rsid w:val="00FC77AA"/>
    <w:rsid w:val="00FD3BF7"/>
    <w:rsid w:val="00FD5604"/>
    <w:rsid w:val="00FE051B"/>
    <w:rsid w:val="00FE1DF3"/>
    <w:rsid w:val="00FE60CF"/>
    <w:rsid w:val="00FE664D"/>
    <w:rsid w:val="00FF0B6F"/>
    <w:rsid w:val="00FF0F96"/>
    <w:rsid w:val="00FF1520"/>
    <w:rsid w:val="00FF28DD"/>
    <w:rsid w:val="00FF3B30"/>
    <w:rsid w:val="00FF4193"/>
    <w:rsid w:val="00FF46DC"/>
    <w:rsid w:val="00FF5190"/>
    <w:rsid w:val="00FF613F"/>
    <w:rsid w:val="3313B0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F81CD"/>
  <w15:docId w15:val="{C3E5D7ED-E198-4D72-B6E7-569D7E1C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4A2"/>
    <w:pPr>
      <w:spacing w:after="200" w:line="276" w:lineRule="auto"/>
    </w:pPr>
    <w:rPr>
      <w:sz w:val="22"/>
      <w:szCs w:val="22"/>
      <w:lang w:eastAsia="en-US"/>
    </w:rPr>
  </w:style>
  <w:style w:type="paragraph" w:styleId="Ttulo1">
    <w:name w:val="heading 1"/>
    <w:basedOn w:val="Normal"/>
    <w:link w:val="Ttulo1Char"/>
    <w:uiPriority w:val="9"/>
    <w:qFormat/>
    <w:rsid w:val="00CE463D"/>
    <w:pPr>
      <w:spacing w:before="100" w:beforeAutospacing="1" w:after="100" w:afterAutospacing="1" w:line="240" w:lineRule="auto"/>
      <w:outlineLvl w:val="0"/>
    </w:pPr>
    <w:rPr>
      <w:rFonts w:ascii="Times New Roman" w:eastAsia="Times New Roman" w:hAnsi="Times New Roman"/>
      <w:b/>
      <w:bCs/>
      <w:kern w:val="36"/>
      <w:sz w:val="48"/>
      <w:szCs w:val="48"/>
      <w:lang w:eastAsia="pt-BR"/>
    </w:rPr>
  </w:style>
  <w:style w:type="paragraph" w:styleId="Ttulo2">
    <w:name w:val="heading 2"/>
    <w:basedOn w:val="Normal"/>
    <w:next w:val="Normal"/>
    <w:link w:val="Ttulo2Char"/>
    <w:uiPriority w:val="9"/>
    <w:unhideWhenUsed/>
    <w:qFormat/>
    <w:rsid w:val="004C60A8"/>
    <w:pPr>
      <w:keepNext/>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har"/>
    <w:uiPriority w:val="9"/>
    <w:unhideWhenUsed/>
    <w:qFormat/>
    <w:rsid w:val="00F60982"/>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har"/>
    <w:uiPriority w:val="9"/>
    <w:unhideWhenUsed/>
    <w:qFormat/>
    <w:rsid w:val="00F60982"/>
    <w:pPr>
      <w:keepNext/>
      <w:keepLines/>
      <w:spacing w:before="200" w:after="0"/>
      <w:jc w:val="both"/>
      <w:outlineLvl w:val="3"/>
    </w:pPr>
    <w:rPr>
      <w:rFonts w:ascii="Cambria" w:eastAsia="Times New Roman" w:hAnsi="Cambria"/>
      <w:b/>
      <w:bCs/>
      <w:i/>
      <w:iCs/>
      <w:color w:val="4F81BD"/>
    </w:rPr>
  </w:style>
  <w:style w:type="paragraph" w:styleId="Ttulo5">
    <w:name w:val="heading 5"/>
    <w:basedOn w:val="Normal"/>
    <w:next w:val="Normal"/>
    <w:link w:val="Ttulo5Char"/>
    <w:semiHidden/>
    <w:unhideWhenUsed/>
    <w:qFormat/>
    <w:rsid w:val="002453A7"/>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01B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01BED"/>
  </w:style>
  <w:style w:type="paragraph" w:styleId="Rodap">
    <w:name w:val="footer"/>
    <w:basedOn w:val="Normal"/>
    <w:link w:val="RodapChar"/>
    <w:uiPriority w:val="99"/>
    <w:unhideWhenUsed/>
    <w:rsid w:val="00201BED"/>
    <w:pPr>
      <w:tabs>
        <w:tab w:val="center" w:pos="4252"/>
        <w:tab w:val="right" w:pos="8504"/>
      </w:tabs>
      <w:spacing w:after="0" w:line="240" w:lineRule="auto"/>
    </w:pPr>
  </w:style>
  <w:style w:type="character" w:customStyle="1" w:styleId="RodapChar">
    <w:name w:val="Rodapé Char"/>
    <w:basedOn w:val="Fontepargpadro"/>
    <w:link w:val="Rodap"/>
    <w:uiPriority w:val="99"/>
    <w:rsid w:val="00201BED"/>
  </w:style>
  <w:style w:type="paragraph" w:styleId="Textodebalo">
    <w:name w:val="Balloon Text"/>
    <w:basedOn w:val="Normal"/>
    <w:link w:val="TextodebaloChar"/>
    <w:uiPriority w:val="99"/>
    <w:semiHidden/>
    <w:unhideWhenUsed/>
    <w:rsid w:val="00201BED"/>
    <w:pPr>
      <w:spacing w:after="0" w:line="240" w:lineRule="auto"/>
    </w:pPr>
    <w:rPr>
      <w:rFonts w:ascii="Tahoma" w:hAnsi="Tahoma"/>
      <w:sz w:val="16"/>
      <w:szCs w:val="16"/>
    </w:rPr>
  </w:style>
  <w:style w:type="character" w:customStyle="1" w:styleId="TextodebaloChar">
    <w:name w:val="Texto de balão Char"/>
    <w:link w:val="Textodebalo"/>
    <w:uiPriority w:val="99"/>
    <w:semiHidden/>
    <w:rsid w:val="00201BED"/>
    <w:rPr>
      <w:rFonts w:ascii="Tahoma" w:hAnsi="Tahoma" w:cs="Tahoma"/>
      <w:sz w:val="16"/>
      <w:szCs w:val="16"/>
    </w:rPr>
  </w:style>
  <w:style w:type="character" w:customStyle="1" w:styleId="hps">
    <w:name w:val="hps"/>
    <w:basedOn w:val="Fontepargpadro"/>
    <w:uiPriority w:val="99"/>
    <w:rsid w:val="00F30F8C"/>
  </w:style>
  <w:style w:type="character" w:customStyle="1" w:styleId="Ttulo1Char">
    <w:name w:val="Título 1 Char"/>
    <w:link w:val="Ttulo1"/>
    <w:uiPriority w:val="9"/>
    <w:rsid w:val="00CE463D"/>
    <w:rPr>
      <w:rFonts w:ascii="Times New Roman" w:eastAsia="Times New Roman" w:hAnsi="Times New Roman" w:cs="Times New Roman"/>
      <w:b/>
      <w:bCs/>
      <w:kern w:val="36"/>
      <w:sz w:val="48"/>
      <w:szCs w:val="48"/>
      <w:lang w:eastAsia="pt-BR"/>
    </w:rPr>
  </w:style>
  <w:style w:type="character" w:styleId="Hyperlink">
    <w:name w:val="Hyperlink"/>
    <w:uiPriority w:val="99"/>
    <w:unhideWhenUsed/>
    <w:rsid w:val="003A15A1"/>
    <w:rPr>
      <w:color w:val="0000FF"/>
      <w:u w:val="single"/>
    </w:rPr>
  </w:style>
  <w:style w:type="table" w:styleId="Tabelacomgrade">
    <w:name w:val="Table Grid"/>
    <w:basedOn w:val="Tabelanormal"/>
    <w:uiPriority w:val="39"/>
    <w:rsid w:val="00FF613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mentoClaro1">
    <w:name w:val="Sombreamento Claro1"/>
    <w:basedOn w:val="Tabelanormal"/>
    <w:uiPriority w:val="60"/>
    <w:rsid w:val="00FF61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Refdecomentrio">
    <w:name w:val="annotation reference"/>
    <w:uiPriority w:val="99"/>
    <w:semiHidden/>
    <w:unhideWhenUsed/>
    <w:rsid w:val="00DA3F25"/>
    <w:rPr>
      <w:sz w:val="16"/>
      <w:szCs w:val="16"/>
    </w:rPr>
  </w:style>
  <w:style w:type="paragraph" w:styleId="Textodecomentrio">
    <w:name w:val="annotation text"/>
    <w:basedOn w:val="Normal"/>
    <w:link w:val="TextodecomentrioChar"/>
    <w:uiPriority w:val="99"/>
    <w:unhideWhenUsed/>
    <w:rsid w:val="00DA3F25"/>
    <w:pPr>
      <w:spacing w:line="240" w:lineRule="auto"/>
    </w:pPr>
    <w:rPr>
      <w:sz w:val="20"/>
      <w:szCs w:val="20"/>
    </w:rPr>
  </w:style>
  <w:style w:type="character" w:customStyle="1" w:styleId="TextodecomentrioChar">
    <w:name w:val="Texto de comentário Char"/>
    <w:link w:val="Textodecomentrio"/>
    <w:uiPriority w:val="99"/>
    <w:rsid w:val="00DA3F25"/>
    <w:rPr>
      <w:sz w:val="20"/>
      <w:szCs w:val="20"/>
    </w:rPr>
  </w:style>
  <w:style w:type="paragraph" w:styleId="Assuntodocomentrio">
    <w:name w:val="annotation subject"/>
    <w:basedOn w:val="Textodecomentrio"/>
    <w:next w:val="Textodecomentrio"/>
    <w:link w:val="AssuntodocomentrioChar"/>
    <w:uiPriority w:val="99"/>
    <w:semiHidden/>
    <w:unhideWhenUsed/>
    <w:rsid w:val="00DA3F25"/>
    <w:rPr>
      <w:b/>
      <w:bCs/>
    </w:rPr>
  </w:style>
  <w:style w:type="character" w:customStyle="1" w:styleId="AssuntodocomentrioChar">
    <w:name w:val="Assunto do comentário Char"/>
    <w:link w:val="Assuntodocomentrio"/>
    <w:uiPriority w:val="99"/>
    <w:semiHidden/>
    <w:rsid w:val="00DA3F25"/>
    <w:rPr>
      <w:b/>
      <w:bCs/>
      <w:sz w:val="20"/>
      <w:szCs w:val="20"/>
    </w:rPr>
  </w:style>
  <w:style w:type="table" w:customStyle="1" w:styleId="SombreamentoClaro2">
    <w:name w:val="Sombreamento Claro2"/>
    <w:basedOn w:val="Tabelanormal"/>
    <w:uiPriority w:val="60"/>
    <w:rsid w:val="00A81358"/>
    <w:rPr>
      <w:rFonts w:ascii="Times New Roman" w:eastAsia="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uthors">
    <w:name w:val="authors"/>
    <w:basedOn w:val="Fontepargpadro"/>
    <w:rsid w:val="000C31E2"/>
  </w:style>
  <w:style w:type="paragraph" w:styleId="Legenda">
    <w:name w:val="caption"/>
    <w:basedOn w:val="Normal"/>
    <w:next w:val="Normal"/>
    <w:uiPriority w:val="35"/>
    <w:unhideWhenUsed/>
    <w:qFormat/>
    <w:rsid w:val="009141F7"/>
    <w:pPr>
      <w:spacing w:line="240" w:lineRule="auto"/>
    </w:pPr>
    <w:rPr>
      <w:rFonts w:eastAsia="Times New Roman"/>
      <w:b/>
      <w:bCs/>
      <w:color w:val="4F81BD"/>
      <w:sz w:val="18"/>
      <w:szCs w:val="18"/>
      <w:lang w:eastAsia="pt-BR"/>
    </w:rPr>
  </w:style>
  <w:style w:type="table" w:customStyle="1" w:styleId="SombreamentoClaro21">
    <w:name w:val="Sombreamento Claro21"/>
    <w:basedOn w:val="Tabelanormal"/>
    <w:uiPriority w:val="60"/>
    <w:rsid w:val="009141F7"/>
    <w:rPr>
      <w:rFonts w:eastAsia="Times New Roman"/>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PargrafodaLista">
    <w:name w:val="List Paragraph"/>
    <w:basedOn w:val="Normal"/>
    <w:link w:val="PargrafodaListaChar"/>
    <w:uiPriority w:val="34"/>
    <w:qFormat/>
    <w:rsid w:val="00FC5346"/>
    <w:pPr>
      <w:ind w:left="720"/>
      <w:contextualSpacing/>
    </w:pPr>
  </w:style>
  <w:style w:type="character" w:customStyle="1" w:styleId="A2">
    <w:name w:val="A2"/>
    <w:uiPriority w:val="99"/>
    <w:rsid w:val="00C8327D"/>
    <w:rPr>
      <w:color w:val="000000"/>
    </w:rPr>
  </w:style>
  <w:style w:type="paragraph" w:styleId="NormalWeb">
    <w:name w:val="Normal (Web)"/>
    <w:basedOn w:val="Normal"/>
    <w:uiPriority w:val="99"/>
    <w:rsid w:val="00C12A14"/>
    <w:pPr>
      <w:spacing w:before="100" w:beforeAutospacing="1" w:after="100" w:afterAutospacing="1" w:line="240" w:lineRule="auto"/>
    </w:pPr>
    <w:rPr>
      <w:rFonts w:ascii="Times New Roman" w:eastAsia="Times New Roman" w:hAnsi="Times New Roman"/>
      <w:sz w:val="24"/>
      <w:szCs w:val="24"/>
      <w:lang w:eastAsia="pt-BR"/>
    </w:rPr>
  </w:style>
  <w:style w:type="paragraph" w:styleId="Corpodetexto">
    <w:name w:val="Body Text"/>
    <w:basedOn w:val="Normal"/>
    <w:link w:val="CorpodetextoChar"/>
    <w:uiPriority w:val="99"/>
    <w:unhideWhenUsed/>
    <w:rsid w:val="001564E1"/>
    <w:pPr>
      <w:spacing w:after="120"/>
    </w:pPr>
    <w:rPr>
      <w:sz w:val="20"/>
      <w:szCs w:val="20"/>
    </w:rPr>
  </w:style>
  <w:style w:type="character" w:customStyle="1" w:styleId="CorpodetextoChar">
    <w:name w:val="Corpo de texto Char"/>
    <w:link w:val="Corpodetexto"/>
    <w:uiPriority w:val="99"/>
    <w:rsid w:val="001564E1"/>
  </w:style>
  <w:style w:type="paragraph" w:customStyle="1" w:styleId="Default">
    <w:name w:val="Default"/>
    <w:rsid w:val="00A8626B"/>
    <w:pPr>
      <w:autoSpaceDE w:val="0"/>
      <w:autoSpaceDN w:val="0"/>
      <w:adjustRightInd w:val="0"/>
    </w:pPr>
    <w:rPr>
      <w:rFonts w:ascii="Times New Roman" w:hAnsi="Times New Roman"/>
      <w:color w:val="000000"/>
      <w:sz w:val="24"/>
      <w:szCs w:val="24"/>
      <w:u w:val="single"/>
      <w:lang w:eastAsia="en-US"/>
    </w:rPr>
  </w:style>
  <w:style w:type="paragraph" w:customStyle="1" w:styleId="Anattexto">
    <w:name w:val="Anat texto"/>
    <w:rsid w:val="00A8626B"/>
    <w:pPr>
      <w:spacing w:before="120" w:after="120"/>
      <w:ind w:firstLine="709"/>
      <w:jc w:val="both"/>
    </w:pPr>
    <w:rPr>
      <w:rFonts w:ascii="Tahoma" w:eastAsia="Arial Unicode MS" w:hAnsi="Tahoma" w:cs="Arial Unicode MS"/>
      <w:sz w:val="24"/>
      <w:szCs w:val="24"/>
    </w:rPr>
  </w:style>
  <w:style w:type="character" w:customStyle="1" w:styleId="A5">
    <w:name w:val="A5"/>
    <w:uiPriority w:val="99"/>
    <w:rsid w:val="00A8626B"/>
    <w:rPr>
      <w:color w:val="000000"/>
      <w:sz w:val="20"/>
      <w:szCs w:val="20"/>
    </w:rPr>
  </w:style>
  <w:style w:type="character" w:customStyle="1" w:styleId="apple-converted-space">
    <w:name w:val="apple-converted-space"/>
    <w:basedOn w:val="Fontepargpadro"/>
    <w:rsid w:val="00FD3BF7"/>
  </w:style>
  <w:style w:type="character" w:styleId="Nmerodelinha">
    <w:name w:val="line number"/>
    <w:basedOn w:val="Fontepargpadro"/>
    <w:uiPriority w:val="99"/>
    <w:semiHidden/>
    <w:unhideWhenUsed/>
    <w:rsid w:val="0057746E"/>
  </w:style>
  <w:style w:type="paragraph" w:styleId="SemEspaamento">
    <w:name w:val="No Spacing"/>
    <w:link w:val="SemEspaamentoChar"/>
    <w:uiPriority w:val="1"/>
    <w:qFormat/>
    <w:rsid w:val="00E472FE"/>
    <w:rPr>
      <w:rFonts w:ascii="Arial" w:hAnsi="Arial"/>
      <w:sz w:val="24"/>
      <w:szCs w:val="22"/>
      <w:lang w:eastAsia="en-US"/>
    </w:rPr>
  </w:style>
  <w:style w:type="character" w:customStyle="1" w:styleId="apple-style-span">
    <w:name w:val="apple-style-span"/>
    <w:basedOn w:val="Fontepargpadro"/>
    <w:rsid w:val="00A668B5"/>
  </w:style>
  <w:style w:type="character" w:customStyle="1" w:styleId="A3">
    <w:name w:val="A3"/>
    <w:uiPriority w:val="99"/>
    <w:rsid w:val="00981AC9"/>
    <w:rPr>
      <w:color w:val="000000"/>
      <w:sz w:val="20"/>
      <w:szCs w:val="20"/>
    </w:rPr>
  </w:style>
  <w:style w:type="paragraph" w:styleId="Ttulo">
    <w:name w:val="Title"/>
    <w:basedOn w:val="Normal"/>
    <w:link w:val="TtuloChar"/>
    <w:qFormat/>
    <w:rsid w:val="00E244D9"/>
    <w:pPr>
      <w:tabs>
        <w:tab w:val="left" w:pos="720"/>
      </w:tabs>
      <w:spacing w:before="240" w:after="0" w:line="240" w:lineRule="auto"/>
      <w:ind w:firstLine="397"/>
      <w:jc w:val="center"/>
    </w:pPr>
    <w:rPr>
      <w:rFonts w:ascii="Times" w:eastAsia="Times New Roman" w:hAnsi="Times"/>
      <w:b/>
      <w:bCs/>
      <w:sz w:val="32"/>
      <w:szCs w:val="32"/>
      <w:lang w:val="en-US"/>
    </w:rPr>
  </w:style>
  <w:style w:type="character" w:customStyle="1" w:styleId="TtuloChar">
    <w:name w:val="Título Char"/>
    <w:link w:val="Ttulo"/>
    <w:rsid w:val="00E244D9"/>
    <w:rPr>
      <w:rFonts w:ascii="Times" w:eastAsia="Times New Roman" w:hAnsi="Times" w:cs="Arial"/>
      <w:b/>
      <w:bCs/>
      <w:sz w:val="32"/>
      <w:szCs w:val="32"/>
      <w:lang w:val="en-US"/>
    </w:rPr>
  </w:style>
  <w:style w:type="paragraph" w:customStyle="1" w:styleId="Figure">
    <w:name w:val="Figure"/>
    <w:basedOn w:val="Normal"/>
    <w:rsid w:val="00115EAE"/>
    <w:pPr>
      <w:tabs>
        <w:tab w:val="left" w:pos="720"/>
      </w:tabs>
      <w:spacing w:before="120" w:after="0" w:line="240" w:lineRule="auto"/>
      <w:jc w:val="center"/>
    </w:pPr>
    <w:rPr>
      <w:rFonts w:ascii="Times" w:eastAsia="Times New Roman" w:hAnsi="Times"/>
      <w:noProof/>
      <w:sz w:val="24"/>
      <w:szCs w:val="20"/>
      <w:lang w:val="en-US" w:eastAsia="pt-BR"/>
    </w:rPr>
  </w:style>
  <w:style w:type="paragraph" w:customStyle="1" w:styleId="Abstract">
    <w:name w:val="Abstract"/>
    <w:basedOn w:val="Normal"/>
    <w:rsid w:val="00537105"/>
    <w:pPr>
      <w:tabs>
        <w:tab w:val="left" w:pos="720"/>
      </w:tabs>
      <w:spacing w:before="120" w:after="120" w:line="240" w:lineRule="auto"/>
      <w:ind w:left="454" w:right="454"/>
      <w:jc w:val="both"/>
    </w:pPr>
    <w:rPr>
      <w:rFonts w:ascii="Times" w:eastAsia="Times New Roman" w:hAnsi="Times"/>
      <w:i/>
      <w:sz w:val="24"/>
      <w:szCs w:val="24"/>
      <w:lang w:eastAsia="pt-BR"/>
    </w:rPr>
  </w:style>
  <w:style w:type="paragraph" w:styleId="Corpodetexto2">
    <w:name w:val="Body Text 2"/>
    <w:basedOn w:val="Normal"/>
    <w:link w:val="Corpodetexto2Char"/>
    <w:uiPriority w:val="99"/>
    <w:unhideWhenUsed/>
    <w:rsid w:val="00201E24"/>
    <w:pPr>
      <w:spacing w:after="120" w:line="480" w:lineRule="auto"/>
    </w:pPr>
  </w:style>
  <w:style w:type="character" w:customStyle="1" w:styleId="Corpodetexto2Char">
    <w:name w:val="Corpo de texto 2 Char"/>
    <w:link w:val="Corpodetexto2"/>
    <w:uiPriority w:val="99"/>
    <w:rsid w:val="00201E24"/>
    <w:rPr>
      <w:sz w:val="22"/>
      <w:szCs w:val="22"/>
      <w:lang w:eastAsia="en-US"/>
    </w:rPr>
  </w:style>
  <w:style w:type="character" w:styleId="Forte">
    <w:name w:val="Strong"/>
    <w:uiPriority w:val="22"/>
    <w:qFormat/>
    <w:rsid w:val="0097270C"/>
    <w:rPr>
      <w:rFonts w:cs="Times New Roman"/>
      <w:b/>
      <w:bCs/>
    </w:rPr>
  </w:style>
  <w:style w:type="paragraph" w:styleId="Recuodecorpodetexto2">
    <w:name w:val="Body Text Indent 2"/>
    <w:basedOn w:val="Normal"/>
    <w:link w:val="Recuodecorpodetexto2Char"/>
    <w:uiPriority w:val="99"/>
    <w:unhideWhenUsed/>
    <w:rsid w:val="0097270C"/>
    <w:pPr>
      <w:spacing w:before="240" w:after="120" w:line="480" w:lineRule="auto"/>
      <w:ind w:left="283"/>
      <w:jc w:val="both"/>
    </w:pPr>
    <w:rPr>
      <w:rFonts w:eastAsia="Times New Roman"/>
    </w:rPr>
  </w:style>
  <w:style w:type="character" w:customStyle="1" w:styleId="Recuodecorpodetexto2Char">
    <w:name w:val="Recuo de corpo de texto 2 Char"/>
    <w:link w:val="Recuodecorpodetexto2"/>
    <w:uiPriority w:val="99"/>
    <w:rsid w:val="0097270C"/>
    <w:rPr>
      <w:rFonts w:ascii="Calibri" w:eastAsia="Times New Roman" w:hAnsi="Calibri" w:cs="Times New Roman"/>
      <w:sz w:val="22"/>
      <w:szCs w:val="22"/>
    </w:rPr>
  </w:style>
  <w:style w:type="paragraph" w:customStyle="1" w:styleId="Pa9">
    <w:name w:val="Pa9"/>
    <w:basedOn w:val="Default"/>
    <w:next w:val="Default"/>
    <w:uiPriority w:val="99"/>
    <w:rsid w:val="0097270C"/>
    <w:pPr>
      <w:spacing w:line="241" w:lineRule="atLeast"/>
    </w:pPr>
    <w:rPr>
      <w:rFonts w:eastAsia="Times New Roman"/>
      <w:color w:val="auto"/>
      <w:u w:val="none"/>
      <w:lang w:eastAsia="pt-BR"/>
    </w:rPr>
  </w:style>
  <w:style w:type="paragraph" w:styleId="Corpodetexto3">
    <w:name w:val="Body Text 3"/>
    <w:basedOn w:val="Normal"/>
    <w:link w:val="Corpodetexto3Char"/>
    <w:uiPriority w:val="99"/>
    <w:unhideWhenUsed/>
    <w:rsid w:val="00AC3A45"/>
    <w:pPr>
      <w:spacing w:before="240" w:after="120" w:line="480" w:lineRule="auto"/>
      <w:jc w:val="both"/>
    </w:pPr>
    <w:rPr>
      <w:rFonts w:ascii="Times New Roman" w:eastAsia="Times New Roman" w:hAnsi="Times New Roman"/>
      <w:sz w:val="16"/>
      <w:szCs w:val="16"/>
    </w:rPr>
  </w:style>
  <w:style w:type="character" w:customStyle="1" w:styleId="Corpodetexto3Char">
    <w:name w:val="Corpo de texto 3 Char"/>
    <w:link w:val="Corpodetexto3"/>
    <w:uiPriority w:val="99"/>
    <w:rsid w:val="00AC3A45"/>
    <w:rPr>
      <w:rFonts w:ascii="Times New Roman" w:eastAsia="Times New Roman" w:hAnsi="Times New Roman"/>
      <w:sz w:val="16"/>
      <w:szCs w:val="16"/>
    </w:rPr>
  </w:style>
  <w:style w:type="character" w:customStyle="1" w:styleId="Ttulo2Char">
    <w:name w:val="Título 2 Char"/>
    <w:link w:val="Ttulo2"/>
    <w:uiPriority w:val="9"/>
    <w:rsid w:val="004C60A8"/>
    <w:rPr>
      <w:rFonts w:ascii="Cambria" w:eastAsia="Times New Roman" w:hAnsi="Cambria" w:cs="Times New Roman"/>
      <w:b/>
      <w:bCs/>
      <w:i/>
      <w:iCs/>
      <w:sz w:val="28"/>
      <w:szCs w:val="28"/>
      <w:lang w:eastAsia="en-US"/>
    </w:rPr>
  </w:style>
  <w:style w:type="character" w:customStyle="1" w:styleId="Ttulo3Char">
    <w:name w:val="Título 3 Char"/>
    <w:link w:val="Ttulo3"/>
    <w:uiPriority w:val="9"/>
    <w:rsid w:val="00F60982"/>
    <w:rPr>
      <w:rFonts w:ascii="Cambria" w:eastAsia="Times New Roman" w:hAnsi="Cambria" w:cs="Times New Roman"/>
      <w:b/>
      <w:bCs/>
      <w:sz w:val="26"/>
      <w:szCs w:val="26"/>
      <w:lang w:eastAsia="en-US"/>
    </w:rPr>
  </w:style>
  <w:style w:type="character" w:customStyle="1" w:styleId="Ttulo4Char">
    <w:name w:val="Título 4 Char"/>
    <w:link w:val="Ttulo4"/>
    <w:uiPriority w:val="9"/>
    <w:rsid w:val="00F60982"/>
    <w:rPr>
      <w:rFonts w:ascii="Cambria" w:eastAsia="Times New Roman" w:hAnsi="Cambria" w:cs="Times New Roman"/>
      <w:b/>
      <w:bCs/>
      <w:i/>
      <w:iCs/>
      <w:color w:val="4F81BD"/>
      <w:sz w:val="22"/>
      <w:szCs w:val="22"/>
    </w:rPr>
  </w:style>
  <w:style w:type="paragraph" w:customStyle="1" w:styleId="Padro">
    <w:name w:val="Padrão"/>
    <w:rsid w:val="00DF17ED"/>
    <w:pPr>
      <w:tabs>
        <w:tab w:val="left" w:pos="708"/>
      </w:tabs>
      <w:suppressAutoHyphens/>
      <w:spacing w:line="100" w:lineRule="atLeast"/>
    </w:pPr>
    <w:rPr>
      <w:rFonts w:ascii="Times New Roman" w:eastAsia="Times New Roman" w:hAnsi="Times New Roman"/>
      <w:sz w:val="24"/>
      <w:szCs w:val="24"/>
    </w:rPr>
  </w:style>
  <w:style w:type="paragraph" w:styleId="Commarcadores">
    <w:name w:val="List Bullet"/>
    <w:basedOn w:val="Normal"/>
    <w:uiPriority w:val="99"/>
    <w:unhideWhenUsed/>
    <w:rsid w:val="00E61FE7"/>
    <w:pPr>
      <w:numPr>
        <w:numId w:val="1"/>
      </w:numPr>
      <w:spacing w:after="160" w:line="259" w:lineRule="auto"/>
      <w:contextualSpacing/>
    </w:pPr>
  </w:style>
  <w:style w:type="paragraph" w:styleId="Pr-formataoHTML">
    <w:name w:val="HTML Preformatted"/>
    <w:basedOn w:val="Normal"/>
    <w:link w:val="Pr-formataoHTMLChar"/>
    <w:uiPriority w:val="99"/>
    <w:unhideWhenUsed/>
    <w:rsid w:val="000D3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rsid w:val="000D32FC"/>
    <w:rPr>
      <w:rFonts w:ascii="Courier New" w:eastAsia="Times New Roman" w:hAnsi="Courier New"/>
    </w:rPr>
  </w:style>
  <w:style w:type="paragraph" w:customStyle="1" w:styleId="normal-revista">
    <w:name w:val="normal-revista"/>
    <w:basedOn w:val="Normal"/>
    <w:qFormat/>
    <w:rsid w:val="00224188"/>
    <w:pPr>
      <w:spacing w:after="0" w:line="360" w:lineRule="auto"/>
      <w:ind w:firstLine="284"/>
      <w:jc w:val="both"/>
    </w:pPr>
    <w:rPr>
      <w:rFonts w:ascii="Times New Roman" w:eastAsia="Arial Unicode MS" w:hAnsi="Times New Roman"/>
      <w:sz w:val="24"/>
      <w:szCs w:val="24"/>
    </w:rPr>
  </w:style>
  <w:style w:type="character" w:styleId="nfase">
    <w:name w:val="Emphasis"/>
    <w:uiPriority w:val="20"/>
    <w:qFormat/>
    <w:rsid w:val="00CD6A04"/>
    <w:rPr>
      <w:i/>
      <w:iCs/>
    </w:rPr>
  </w:style>
  <w:style w:type="character" w:customStyle="1" w:styleId="shorttext">
    <w:name w:val="short_text"/>
    <w:basedOn w:val="Fontepargpadro"/>
    <w:rsid w:val="00343D05"/>
  </w:style>
  <w:style w:type="paragraph" w:customStyle="1" w:styleId="Pa7">
    <w:name w:val="Pa7"/>
    <w:basedOn w:val="Normal"/>
    <w:next w:val="Normal"/>
    <w:uiPriority w:val="99"/>
    <w:rsid w:val="00343D05"/>
    <w:pPr>
      <w:autoSpaceDE w:val="0"/>
      <w:autoSpaceDN w:val="0"/>
      <w:adjustRightInd w:val="0"/>
      <w:spacing w:after="0" w:line="211" w:lineRule="atLeast"/>
    </w:pPr>
    <w:rPr>
      <w:rFonts w:ascii="RSKHIL+WarnockPro-Regular" w:hAnsi="RSKHIL+WarnockPro-Regular"/>
      <w:sz w:val="24"/>
      <w:szCs w:val="24"/>
      <w:lang w:val="sk-SK" w:eastAsia="sk-SK"/>
    </w:rPr>
  </w:style>
  <w:style w:type="character" w:customStyle="1" w:styleId="longtext">
    <w:name w:val="long_text"/>
    <w:basedOn w:val="Fontepargpadro"/>
    <w:rsid w:val="005C0030"/>
  </w:style>
  <w:style w:type="paragraph" w:customStyle="1" w:styleId="Diplnormlntext">
    <w:name w:val="Dipl normální text"/>
    <w:qFormat/>
    <w:rsid w:val="005C0030"/>
    <w:pPr>
      <w:spacing w:line="360" w:lineRule="auto"/>
      <w:ind w:firstLine="709"/>
      <w:jc w:val="both"/>
    </w:pPr>
    <w:rPr>
      <w:rFonts w:ascii="Times New Roman" w:eastAsia="Times New Roman" w:hAnsi="Times New Roman"/>
      <w:sz w:val="24"/>
      <w:szCs w:val="24"/>
      <w:lang w:val="cs-CZ" w:eastAsia="cs-CZ"/>
    </w:rPr>
  </w:style>
  <w:style w:type="paragraph" w:customStyle="1" w:styleId="Zkladntext31">
    <w:name w:val="Základný text 31"/>
    <w:basedOn w:val="Normal"/>
    <w:rsid w:val="005C0030"/>
    <w:pPr>
      <w:widowControl w:val="0"/>
      <w:spacing w:after="0" w:line="240" w:lineRule="auto"/>
      <w:jc w:val="both"/>
    </w:pPr>
    <w:rPr>
      <w:rFonts w:ascii="Times New Roman" w:eastAsia="Times New Roman" w:hAnsi="Times New Roman"/>
      <w:sz w:val="24"/>
      <w:szCs w:val="24"/>
      <w:lang w:val="cs-CZ" w:eastAsia="cs-CZ"/>
    </w:rPr>
  </w:style>
  <w:style w:type="character" w:customStyle="1" w:styleId="looklikelinkauthornameaqslistener">
    <w:name w:val="looklikelink authorname aqslistener"/>
    <w:rsid w:val="005C0030"/>
  </w:style>
  <w:style w:type="paragraph" w:styleId="Recuodecorpodetexto">
    <w:name w:val="Body Text Indent"/>
    <w:basedOn w:val="Normal"/>
    <w:link w:val="RecuodecorpodetextoChar"/>
    <w:uiPriority w:val="99"/>
    <w:semiHidden/>
    <w:unhideWhenUsed/>
    <w:rsid w:val="005C0030"/>
    <w:pPr>
      <w:spacing w:after="120"/>
      <w:ind w:left="283"/>
    </w:pPr>
  </w:style>
  <w:style w:type="character" w:customStyle="1" w:styleId="RecuodecorpodetextoChar">
    <w:name w:val="Recuo de corpo de texto Char"/>
    <w:link w:val="Recuodecorpodetexto"/>
    <w:uiPriority w:val="99"/>
    <w:semiHidden/>
    <w:rsid w:val="005C0030"/>
    <w:rPr>
      <w:sz w:val="22"/>
      <w:szCs w:val="22"/>
      <w:lang w:eastAsia="en-US"/>
    </w:rPr>
  </w:style>
  <w:style w:type="paragraph" w:customStyle="1" w:styleId="Index">
    <w:name w:val="Index"/>
    <w:basedOn w:val="Normal"/>
    <w:rsid w:val="005C0030"/>
    <w:pPr>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sz w:val="24"/>
      <w:szCs w:val="20"/>
      <w:lang w:val="sk-SK"/>
    </w:rPr>
  </w:style>
  <w:style w:type="character" w:customStyle="1" w:styleId="smalltext">
    <w:name w:val="smalltext"/>
    <w:basedOn w:val="Fontepargpadro"/>
    <w:rsid w:val="00C95828"/>
  </w:style>
  <w:style w:type="table" w:customStyle="1" w:styleId="SombreamentoClaro3">
    <w:name w:val="Sombreamento Claro3"/>
    <w:basedOn w:val="Tabelanormal"/>
    <w:uiPriority w:val="60"/>
    <w:rsid w:val="00C95828"/>
    <w:rPr>
      <w:color w:val="000000"/>
      <w:lang w:val="tr-TR"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font8">
    <w:name w:val="font_8"/>
    <w:basedOn w:val="Normal"/>
    <w:rsid w:val="00E70ECE"/>
    <w:pPr>
      <w:spacing w:before="100" w:beforeAutospacing="1" w:after="100" w:afterAutospacing="1" w:line="240" w:lineRule="auto"/>
    </w:pPr>
    <w:rPr>
      <w:rFonts w:ascii="Times New Roman" w:eastAsia="Times New Roman" w:hAnsi="Times New Roman"/>
      <w:sz w:val="24"/>
      <w:szCs w:val="24"/>
      <w:lang w:eastAsia="pt-BR"/>
    </w:rPr>
  </w:style>
  <w:style w:type="table" w:customStyle="1" w:styleId="ListaClara1">
    <w:name w:val="Lista Clara1"/>
    <w:basedOn w:val="Tabelanormal"/>
    <w:uiPriority w:val="61"/>
    <w:rsid w:val="00C66FA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Standard">
    <w:name w:val="Standard"/>
    <w:rsid w:val="00AB23F0"/>
    <w:pPr>
      <w:suppressAutoHyphens/>
      <w:autoSpaceDN w:val="0"/>
      <w:spacing w:after="200" w:line="276" w:lineRule="auto"/>
      <w:textAlignment w:val="baseline"/>
    </w:pPr>
    <w:rPr>
      <w:rFonts w:eastAsia="DejaVu Sans" w:cs="DejaVu Sans"/>
      <w:kern w:val="3"/>
      <w:sz w:val="22"/>
      <w:szCs w:val="22"/>
    </w:rPr>
  </w:style>
  <w:style w:type="character" w:customStyle="1" w:styleId="fontstyle01">
    <w:name w:val="fontstyle01"/>
    <w:basedOn w:val="Fontepargpadro"/>
    <w:rsid w:val="004D5493"/>
    <w:rPr>
      <w:rFonts w:ascii="TimesNewRomanPSMT" w:hAnsi="TimesNewRomanPSMT" w:hint="default"/>
      <w:b w:val="0"/>
      <w:bCs w:val="0"/>
      <w:i w:val="0"/>
      <w:iCs w:val="0"/>
      <w:color w:val="231F20"/>
      <w:sz w:val="22"/>
      <w:szCs w:val="22"/>
    </w:rPr>
  </w:style>
  <w:style w:type="character" w:customStyle="1" w:styleId="name">
    <w:name w:val="name"/>
    <w:rsid w:val="00C646A4"/>
  </w:style>
  <w:style w:type="character" w:customStyle="1" w:styleId="Partesuperior-zdoformulrioChar">
    <w:name w:val="Parte superior-z do formulário Char"/>
    <w:link w:val="Partesuperior-zdoformulrio"/>
    <w:uiPriority w:val="99"/>
    <w:semiHidden/>
    <w:rsid w:val="00C646A4"/>
    <w:rPr>
      <w:rFonts w:ascii="Arial" w:eastAsia="Times New Roman" w:hAnsi="Arial" w:cs="Arial"/>
      <w:vanish/>
      <w:sz w:val="16"/>
      <w:szCs w:val="16"/>
    </w:rPr>
  </w:style>
  <w:style w:type="paragraph" w:styleId="Partesuperior-zdoformulrio">
    <w:name w:val="HTML Top of Form"/>
    <w:basedOn w:val="Normal"/>
    <w:next w:val="Normal"/>
    <w:link w:val="Partesuperior-zdoformulrioChar"/>
    <w:hidden/>
    <w:uiPriority w:val="99"/>
    <w:semiHidden/>
    <w:unhideWhenUsed/>
    <w:rsid w:val="00C646A4"/>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1">
    <w:name w:val="Parte superior-z do formulário Char1"/>
    <w:basedOn w:val="Fontepargpadro"/>
    <w:uiPriority w:val="99"/>
    <w:semiHidden/>
    <w:rsid w:val="00C646A4"/>
    <w:rPr>
      <w:rFonts w:ascii="Arial" w:hAnsi="Arial" w:cs="Arial"/>
      <w:vanish/>
      <w:sz w:val="16"/>
      <w:szCs w:val="16"/>
      <w:lang w:eastAsia="en-US"/>
    </w:rPr>
  </w:style>
  <w:style w:type="character" w:customStyle="1" w:styleId="ParteinferiordoformulrioChar">
    <w:name w:val="Parte inferior do formulário Char"/>
    <w:link w:val="Parteinferiordoformulrio"/>
    <w:uiPriority w:val="99"/>
    <w:semiHidden/>
    <w:rsid w:val="00C646A4"/>
    <w:rPr>
      <w:rFonts w:ascii="Arial" w:eastAsia="Times New Roman" w:hAnsi="Arial" w:cs="Arial"/>
      <w:vanish/>
      <w:sz w:val="16"/>
      <w:szCs w:val="16"/>
    </w:rPr>
  </w:style>
  <w:style w:type="paragraph" w:styleId="Parteinferiordoformulrio">
    <w:name w:val="HTML Bottom of Form"/>
    <w:basedOn w:val="Normal"/>
    <w:next w:val="Normal"/>
    <w:link w:val="ParteinferiordoformulrioChar"/>
    <w:hidden/>
    <w:uiPriority w:val="99"/>
    <w:semiHidden/>
    <w:unhideWhenUsed/>
    <w:rsid w:val="00C646A4"/>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1">
    <w:name w:val="Parte inferior do formulário Char1"/>
    <w:basedOn w:val="Fontepargpadro"/>
    <w:uiPriority w:val="99"/>
    <w:semiHidden/>
    <w:rsid w:val="00C646A4"/>
    <w:rPr>
      <w:rFonts w:ascii="Arial" w:hAnsi="Arial" w:cs="Arial"/>
      <w:vanish/>
      <w:sz w:val="16"/>
      <w:szCs w:val="16"/>
      <w:lang w:eastAsia="en-US"/>
    </w:rPr>
  </w:style>
  <w:style w:type="table" w:customStyle="1" w:styleId="Tabelacomgrade1">
    <w:name w:val="Tabela com grade1"/>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4">
    <w:name w:val="Tabela com grade4"/>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uttext">
    <w:name w:val="outtext"/>
    <w:rsid w:val="00C646A4"/>
  </w:style>
  <w:style w:type="character" w:customStyle="1" w:styleId="MenoPendente1">
    <w:name w:val="Menção Pendente1"/>
    <w:basedOn w:val="Fontepargpadro"/>
    <w:uiPriority w:val="99"/>
    <w:semiHidden/>
    <w:unhideWhenUsed/>
    <w:rsid w:val="00C646A4"/>
    <w:rPr>
      <w:color w:val="808080"/>
      <w:shd w:val="clear" w:color="auto" w:fill="E6E6E6"/>
    </w:rPr>
  </w:style>
  <w:style w:type="paragraph" w:customStyle="1" w:styleId="Paragraf">
    <w:name w:val="Paragraf"/>
    <w:basedOn w:val="Normal"/>
    <w:qFormat/>
    <w:rsid w:val="00AC0232"/>
    <w:pPr>
      <w:spacing w:after="0" w:line="360" w:lineRule="auto"/>
      <w:ind w:firstLine="454"/>
      <w:jc w:val="both"/>
    </w:pPr>
    <w:rPr>
      <w:rFonts w:ascii="Arial" w:eastAsiaTheme="minorHAnsi" w:hAnsi="Arial" w:cstheme="minorBidi"/>
      <w:lang w:val="id-ID"/>
    </w:rPr>
  </w:style>
  <w:style w:type="paragraph" w:customStyle="1" w:styleId="MS">
    <w:name w:val="MS바탕글"/>
    <w:basedOn w:val="Normal"/>
    <w:rsid w:val="00B2664F"/>
    <w:pPr>
      <w:snapToGrid w:val="0"/>
      <w:spacing w:after="0" w:line="384" w:lineRule="auto"/>
      <w:jc w:val="both"/>
      <w:textAlignment w:val="baseline"/>
    </w:pPr>
    <w:rPr>
      <w:rFonts w:ascii="Gulim" w:eastAsia="Gulim" w:hAnsi="Gulim" w:cs="Gulim"/>
      <w:color w:val="000000"/>
      <w:sz w:val="20"/>
      <w:szCs w:val="20"/>
      <w:lang w:val="en-US" w:eastAsia="ko-KR"/>
    </w:rPr>
  </w:style>
  <w:style w:type="paragraph" w:customStyle="1" w:styleId="a">
    <w:name w:val="바탕글"/>
    <w:basedOn w:val="Normal"/>
    <w:rsid w:val="00343C8A"/>
    <w:pPr>
      <w:snapToGrid w:val="0"/>
      <w:spacing w:after="0" w:line="384" w:lineRule="auto"/>
      <w:jc w:val="both"/>
      <w:textAlignment w:val="baseline"/>
    </w:pPr>
    <w:rPr>
      <w:rFonts w:ascii="Batang" w:eastAsia="Times New Roman" w:hAnsi="Times New Roman"/>
      <w:color w:val="000000"/>
      <w:sz w:val="20"/>
      <w:szCs w:val="20"/>
      <w:lang w:val="en-US" w:eastAsia="ja-JP"/>
    </w:rPr>
  </w:style>
  <w:style w:type="character" w:styleId="nfaseSutil">
    <w:name w:val="Subtle Emphasis"/>
    <w:basedOn w:val="Fontepargpadro"/>
    <w:uiPriority w:val="19"/>
    <w:qFormat/>
    <w:rsid w:val="009B0500"/>
    <w:rPr>
      <w:i/>
      <w:iCs/>
      <w:color w:val="404040" w:themeColor="text1" w:themeTint="BF"/>
    </w:rPr>
  </w:style>
  <w:style w:type="paragraph" w:customStyle="1" w:styleId="Acknowledgements">
    <w:name w:val="Acknowledgements"/>
    <w:basedOn w:val="Normal"/>
    <w:next w:val="Normal"/>
    <w:qFormat/>
    <w:rsid w:val="0092535C"/>
    <w:pPr>
      <w:spacing w:before="120" w:after="0" w:line="360" w:lineRule="auto"/>
    </w:pPr>
    <w:rPr>
      <w:rFonts w:ascii="Times New Roman" w:eastAsia="Times New Roman" w:hAnsi="Times New Roman"/>
      <w:szCs w:val="24"/>
      <w:lang w:val="en-GB" w:eastAsia="en-GB"/>
    </w:rPr>
  </w:style>
  <w:style w:type="paragraph" w:customStyle="1" w:styleId="a0">
    <w:name w:val="서론"/>
    <w:basedOn w:val="Normal"/>
    <w:rsid w:val="0092535C"/>
    <w:pPr>
      <w:snapToGrid w:val="0"/>
      <w:spacing w:after="0" w:line="600" w:lineRule="auto"/>
      <w:jc w:val="center"/>
      <w:textAlignment w:val="baseline"/>
    </w:pPr>
    <w:rPr>
      <w:rFonts w:ascii="Gulim" w:eastAsia="Gulim" w:hAnsi="Gulim" w:cs="Gulim"/>
      <w:color w:val="000000"/>
      <w:lang w:val="en-US" w:eastAsia="ko-KR"/>
    </w:rPr>
  </w:style>
  <w:style w:type="paragraph" w:customStyle="1" w:styleId="a1">
    <w:name w:val="참고문헌"/>
    <w:basedOn w:val="Normal"/>
    <w:rsid w:val="0092535C"/>
    <w:pPr>
      <w:spacing w:after="0" w:line="372" w:lineRule="auto"/>
      <w:ind w:left="612" w:hanging="306"/>
      <w:jc w:val="both"/>
      <w:textAlignment w:val="baseline"/>
    </w:pPr>
    <w:rPr>
      <w:rFonts w:ascii="Gulim" w:eastAsia="Gulim" w:hAnsi="Gulim" w:cs="Gulim"/>
      <w:color w:val="000000"/>
      <w:sz w:val="16"/>
      <w:szCs w:val="16"/>
      <w:lang w:val="en-US" w:eastAsia="ko-KR"/>
    </w:rPr>
  </w:style>
  <w:style w:type="character" w:customStyle="1" w:styleId="SemEspaamentoChar">
    <w:name w:val="Sem Espaçamento Char"/>
    <w:link w:val="SemEspaamento"/>
    <w:uiPriority w:val="1"/>
    <w:locked/>
    <w:rsid w:val="00D8683D"/>
    <w:rPr>
      <w:rFonts w:ascii="Arial" w:hAnsi="Arial"/>
      <w:sz w:val="24"/>
      <w:szCs w:val="22"/>
      <w:lang w:eastAsia="en-US"/>
    </w:rPr>
  </w:style>
  <w:style w:type="character" w:customStyle="1" w:styleId="Ttulo5Char">
    <w:name w:val="Título 5 Char"/>
    <w:basedOn w:val="Fontepargpadro"/>
    <w:link w:val="Ttulo5"/>
    <w:semiHidden/>
    <w:rsid w:val="002453A7"/>
    <w:rPr>
      <w:rFonts w:asciiTheme="majorHAnsi" w:eastAsiaTheme="majorEastAsia" w:hAnsiTheme="majorHAnsi" w:cstheme="majorBidi"/>
      <w:color w:val="365F91" w:themeColor="accent1" w:themeShade="BF"/>
      <w:sz w:val="22"/>
      <w:szCs w:val="22"/>
      <w:lang w:eastAsia="en-US"/>
    </w:rPr>
  </w:style>
  <w:style w:type="table" w:customStyle="1" w:styleId="TabeladeLista6Colorida1">
    <w:name w:val="Tabela de Lista 6 Colorida1"/>
    <w:basedOn w:val="Tabelanormal"/>
    <w:uiPriority w:val="51"/>
    <w:rsid w:val="002453A7"/>
    <w:rPr>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
    <w:name w:val="List Table 6 Colorful"/>
    <w:basedOn w:val="Tabelanormal"/>
    <w:uiPriority w:val="51"/>
    <w:rsid w:val="00D05F7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rgrafodaTese">
    <w:name w:val="Parágrafo_da_Tese"/>
    <w:basedOn w:val="Normal"/>
    <w:rsid w:val="007D326C"/>
    <w:pPr>
      <w:spacing w:after="0" w:line="360" w:lineRule="auto"/>
      <w:ind w:firstLine="851"/>
      <w:jc w:val="both"/>
    </w:pPr>
    <w:rPr>
      <w:rFonts w:ascii="Garamond" w:eastAsia="Times New Roman" w:hAnsi="Garamond" w:cs="Arial"/>
      <w:sz w:val="20"/>
      <w:szCs w:val="24"/>
      <w:lang w:eastAsia="pt-BR"/>
    </w:rPr>
  </w:style>
  <w:style w:type="paragraph" w:customStyle="1" w:styleId="Paragraph">
    <w:name w:val="Paragraph"/>
    <w:basedOn w:val="Normal"/>
    <w:next w:val="Normal"/>
    <w:qFormat/>
    <w:rsid w:val="00A41425"/>
    <w:pPr>
      <w:widowControl w:val="0"/>
      <w:spacing w:before="240" w:after="0" w:line="480" w:lineRule="auto"/>
    </w:pPr>
    <w:rPr>
      <w:rFonts w:ascii="Times New Roman" w:eastAsia="Times New Roman" w:hAnsi="Times New Roman"/>
      <w:sz w:val="24"/>
      <w:szCs w:val="24"/>
      <w:lang w:val="en-GB" w:eastAsia="en-GB"/>
    </w:rPr>
  </w:style>
  <w:style w:type="paragraph" w:customStyle="1" w:styleId="MDPI16affiliation">
    <w:name w:val="MDPI_1.6_affiliation"/>
    <w:basedOn w:val="Normal"/>
    <w:qFormat/>
    <w:rsid w:val="00F05D02"/>
    <w:pPr>
      <w:adjustRightInd w:val="0"/>
      <w:snapToGrid w:val="0"/>
      <w:spacing w:after="0" w:line="200" w:lineRule="atLeast"/>
      <w:ind w:left="311" w:hanging="198"/>
    </w:pPr>
    <w:rPr>
      <w:rFonts w:ascii="Palatino Linotype" w:eastAsia="Times New Roman" w:hAnsi="Palatino Linotype"/>
      <w:color w:val="000000"/>
      <w:sz w:val="18"/>
      <w:szCs w:val="18"/>
      <w:lang w:val="en-US" w:eastAsia="de-DE" w:bidi="en-US"/>
    </w:rPr>
  </w:style>
  <w:style w:type="paragraph" w:styleId="Reviso">
    <w:name w:val="Revision"/>
    <w:hidden/>
    <w:uiPriority w:val="99"/>
    <w:semiHidden/>
    <w:rsid w:val="00494445"/>
    <w:rPr>
      <w:rFonts w:asciiTheme="minorHAnsi" w:eastAsiaTheme="minorEastAsia" w:hAnsiTheme="minorHAnsi" w:cstheme="minorBidi"/>
      <w:sz w:val="22"/>
      <w:szCs w:val="22"/>
      <w:lang w:val="es-MX" w:eastAsia="es-MX"/>
    </w:rPr>
  </w:style>
  <w:style w:type="character" w:customStyle="1" w:styleId="Ninguno">
    <w:name w:val="Ninguno"/>
    <w:rsid w:val="00494445"/>
  </w:style>
  <w:style w:type="paragraph" w:customStyle="1" w:styleId="CuerpoA">
    <w:name w:val="Cuerpo A"/>
    <w:rsid w:val="00494445"/>
    <w:pPr>
      <w:pBdr>
        <w:top w:val="nil"/>
        <w:left w:val="nil"/>
        <w:bottom w:val="nil"/>
        <w:right w:val="nil"/>
        <w:between w:val="nil"/>
        <w:bar w:val="nil"/>
      </w:pBdr>
      <w:spacing w:before="80" w:after="180" w:line="288" w:lineRule="auto"/>
    </w:pPr>
    <w:rPr>
      <w:rFonts w:ascii="Georgia" w:eastAsia="Georgia" w:hAnsi="Georgia" w:cs="Georgia"/>
      <w:color w:val="000000"/>
      <w:sz w:val="24"/>
      <w:szCs w:val="24"/>
      <w:u w:color="000000"/>
      <w:bdr w:val="nil"/>
      <w:lang w:val="es-ES_tradnl" w:eastAsia="es-MX"/>
    </w:rPr>
  </w:style>
  <w:style w:type="numbering" w:customStyle="1" w:styleId="Nmero">
    <w:name w:val="Número"/>
    <w:rsid w:val="00494445"/>
    <w:pPr>
      <w:numPr>
        <w:numId w:val="2"/>
      </w:numPr>
    </w:pPr>
  </w:style>
  <w:style w:type="character" w:customStyle="1" w:styleId="Mencinsinresolver1">
    <w:name w:val="Mención sin resolver1"/>
    <w:basedOn w:val="Fontepargpadro"/>
    <w:uiPriority w:val="99"/>
    <w:semiHidden/>
    <w:unhideWhenUsed/>
    <w:rsid w:val="00494445"/>
    <w:rPr>
      <w:color w:val="605E5C"/>
      <w:shd w:val="clear" w:color="auto" w:fill="E1DFDD"/>
    </w:rPr>
  </w:style>
  <w:style w:type="character" w:customStyle="1" w:styleId="Mencinsinresolver2">
    <w:name w:val="Mención sin resolver2"/>
    <w:basedOn w:val="Fontepargpadro"/>
    <w:uiPriority w:val="99"/>
    <w:semiHidden/>
    <w:unhideWhenUsed/>
    <w:rsid w:val="00494445"/>
    <w:rPr>
      <w:color w:val="605E5C"/>
      <w:shd w:val="clear" w:color="auto" w:fill="E1DFDD"/>
    </w:rPr>
  </w:style>
  <w:style w:type="character" w:customStyle="1" w:styleId="PargrafodaListaChar">
    <w:name w:val="Parágrafo da Lista Char"/>
    <w:basedOn w:val="Fontepargpadro"/>
    <w:link w:val="PargrafodaLista"/>
    <w:uiPriority w:val="34"/>
    <w:rsid w:val="00D35310"/>
    <w:rPr>
      <w:sz w:val="22"/>
      <w:szCs w:val="22"/>
      <w:lang w:eastAsia="en-US"/>
    </w:rPr>
  </w:style>
  <w:style w:type="paragraph" w:customStyle="1" w:styleId="EndNoteBibliography">
    <w:name w:val="EndNote Bibliography"/>
    <w:basedOn w:val="Normal"/>
    <w:rsid w:val="00D35310"/>
    <w:pPr>
      <w:spacing w:after="0" w:line="240" w:lineRule="auto"/>
    </w:pPr>
    <w:rPr>
      <w:rFonts w:ascii="Times New Roman" w:eastAsiaTheme="minorHAnsi" w:hAnsi="Times New Roman"/>
      <w:sz w:val="24"/>
      <w:szCs w:val="24"/>
      <w:lang w:val="es-ES_tradnl" w:eastAsia="es-ES_tradnl"/>
    </w:rPr>
  </w:style>
  <w:style w:type="paragraph" w:customStyle="1" w:styleId="Affiliation">
    <w:name w:val="Affiliation"/>
    <w:basedOn w:val="Normal"/>
    <w:qFormat/>
    <w:rsid w:val="00D35310"/>
    <w:pPr>
      <w:spacing w:before="240" w:after="0" w:line="360" w:lineRule="auto"/>
    </w:pPr>
    <w:rPr>
      <w:rFonts w:ascii="Times New Roman" w:eastAsia="Times New Roman" w:hAnsi="Times New Roman"/>
      <w:i/>
      <w:sz w:val="24"/>
      <w:szCs w:val="24"/>
      <w:lang w:val="en-GB" w:eastAsia="en-GB"/>
    </w:rPr>
  </w:style>
  <w:style w:type="character" w:customStyle="1" w:styleId="hithilite">
    <w:name w:val="hithilite"/>
    <w:basedOn w:val="Fontepargpadro"/>
    <w:rsid w:val="00D35310"/>
  </w:style>
  <w:style w:type="character" w:customStyle="1" w:styleId="label">
    <w:name w:val="label"/>
    <w:basedOn w:val="Fontepargpadro"/>
    <w:rsid w:val="00D35310"/>
  </w:style>
  <w:style w:type="character" w:customStyle="1" w:styleId="databold">
    <w:name w:val="data_bold"/>
    <w:basedOn w:val="Fontepargpadro"/>
    <w:rsid w:val="00D35310"/>
  </w:style>
  <w:style w:type="character" w:styleId="HiperlinkVisitado">
    <w:name w:val="FollowedHyperlink"/>
    <w:basedOn w:val="Fontepargpadro"/>
    <w:uiPriority w:val="99"/>
    <w:semiHidden/>
    <w:unhideWhenUsed/>
    <w:rsid w:val="00D35310"/>
    <w:rPr>
      <w:color w:val="800080" w:themeColor="followedHyperlink"/>
      <w:u w:val="single"/>
    </w:rPr>
  </w:style>
  <w:style w:type="paragraph" w:customStyle="1" w:styleId="Normal1">
    <w:name w:val="Normal1"/>
    <w:rsid w:val="00D35310"/>
    <w:pPr>
      <w:spacing w:line="276" w:lineRule="auto"/>
    </w:pPr>
    <w:rPr>
      <w:rFonts w:ascii="Arial" w:eastAsia="Arial" w:hAnsi="Arial" w:cs="Arial"/>
      <w:sz w:val="22"/>
      <w:szCs w:val="22"/>
      <w:lang w:val="es-MX" w:eastAsia="es-MX"/>
    </w:rPr>
  </w:style>
  <w:style w:type="character" w:customStyle="1" w:styleId="tlid-translation">
    <w:name w:val="tlid-translation"/>
    <w:basedOn w:val="Fontepargpadro"/>
    <w:rsid w:val="00D35310"/>
  </w:style>
  <w:style w:type="paragraph" w:customStyle="1" w:styleId="Normal2">
    <w:name w:val="Normal2"/>
    <w:rsid w:val="00D35310"/>
    <w:pPr>
      <w:spacing w:line="276" w:lineRule="auto"/>
    </w:pPr>
    <w:rPr>
      <w:rFonts w:ascii="Arial" w:eastAsia="Arial" w:hAnsi="Arial" w:cs="Arial"/>
      <w:sz w:val="22"/>
      <w:szCs w:val="22"/>
      <w:lang w:val="es-MX" w:eastAsia="es-MX"/>
    </w:rPr>
  </w:style>
  <w:style w:type="paragraph" w:customStyle="1" w:styleId="CuerpoB">
    <w:name w:val="Cuerpo B"/>
    <w:rsid w:val="0095249C"/>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es-ES_tradnl" w:eastAsia="es-MX"/>
    </w:rPr>
  </w:style>
  <w:style w:type="paragraph" w:customStyle="1" w:styleId="CuerpoAA">
    <w:name w:val="Cuerpo A A"/>
    <w:rsid w:val="00C16F30"/>
    <w:pPr>
      <w:pBdr>
        <w:top w:val="nil"/>
        <w:left w:val="nil"/>
        <w:bottom w:val="nil"/>
        <w:right w:val="nil"/>
        <w:between w:val="nil"/>
        <w:bar w:val="nil"/>
      </w:pBdr>
      <w:spacing w:after="160" w:line="256" w:lineRule="auto"/>
    </w:pPr>
    <w:rPr>
      <w:rFonts w:cs="Calibri"/>
      <w:color w:val="000000"/>
      <w:sz w:val="22"/>
      <w:szCs w:val="22"/>
      <w:u w:color="000000"/>
      <w:bdr w:val="nil"/>
      <w:lang w:val="en-US" w:eastAsia="es-MX"/>
    </w:rPr>
  </w:style>
  <w:style w:type="character" w:customStyle="1" w:styleId="author">
    <w:name w:val="author"/>
    <w:basedOn w:val="Fontepargpadro"/>
    <w:rsid w:val="00740CB6"/>
  </w:style>
  <w:style w:type="character" w:customStyle="1" w:styleId="ilfuvd">
    <w:name w:val="ilfuvd"/>
    <w:basedOn w:val="Fontepargpadro"/>
    <w:rsid w:val="00740CB6"/>
  </w:style>
  <w:style w:type="paragraph" w:customStyle="1" w:styleId="Cuerpo">
    <w:name w:val="Cuerpo"/>
    <w:rsid w:val="00740CB6"/>
    <w:pPr>
      <w:pBdr>
        <w:top w:val="nil"/>
        <w:left w:val="nil"/>
        <w:bottom w:val="nil"/>
        <w:right w:val="nil"/>
        <w:between w:val="nil"/>
        <w:bar w:val="nil"/>
      </w:pBdr>
    </w:pPr>
    <w:rPr>
      <w:rFonts w:cs="Calibri"/>
      <w:color w:val="000000"/>
      <w:sz w:val="24"/>
      <w:szCs w:val="24"/>
      <w:u w:color="000000"/>
      <w:bdr w:val="nil"/>
      <w:lang w:val="pt-PT" w:eastAsia="es-MX"/>
    </w:rPr>
  </w:style>
  <w:style w:type="paragraph" w:styleId="Bibliografia">
    <w:name w:val="Bibliography"/>
    <w:basedOn w:val="Normal"/>
    <w:next w:val="Normal"/>
    <w:uiPriority w:val="37"/>
    <w:semiHidden/>
    <w:unhideWhenUsed/>
    <w:rsid w:val="007D0472"/>
  </w:style>
  <w:style w:type="table" w:customStyle="1" w:styleId="Tablaconcuadrcula3">
    <w:name w:val="Tabla con cuadrícula3"/>
    <w:basedOn w:val="Tabelanormal"/>
    <w:next w:val="Tabelacomgrade"/>
    <w:uiPriority w:val="39"/>
    <w:rsid w:val="00F3102B"/>
    <w:rPr>
      <w:rFonts w:cs="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2">
    <w:name w:val="List Table 2"/>
    <w:basedOn w:val="Tabelanormal"/>
    <w:uiPriority w:val="47"/>
    <w:rsid w:val="0020698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oPendente">
    <w:name w:val="Unresolved Mention"/>
    <w:basedOn w:val="Fontepargpadro"/>
    <w:uiPriority w:val="99"/>
    <w:semiHidden/>
    <w:unhideWhenUsed/>
    <w:rsid w:val="00EB4B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4829">
      <w:bodyDiv w:val="1"/>
      <w:marLeft w:val="0"/>
      <w:marRight w:val="0"/>
      <w:marTop w:val="0"/>
      <w:marBottom w:val="0"/>
      <w:divBdr>
        <w:top w:val="none" w:sz="0" w:space="0" w:color="auto"/>
        <w:left w:val="none" w:sz="0" w:space="0" w:color="auto"/>
        <w:bottom w:val="none" w:sz="0" w:space="0" w:color="auto"/>
        <w:right w:val="none" w:sz="0" w:space="0" w:color="auto"/>
      </w:divBdr>
    </w:div>
    <w:div w:id="103883730">
      <w:bodyDiv w:val="1"/>
      <w:marLeft w:val="0"/>
      <w:marRight w:val="0"/>
      <w:marTop w:val="0"/>
      <w:marBottom w:val="0"/>
      <w:divBdr>
        <w:top w:val="none" w:sz="0" w:space="0" w:color="auto"/>
        <w:left w:val="none" w:sz="0" w:space="0" w:color="auto"/>
        <w:bottom w:val="none" w:sz="0" w:space="0" w:color="auto"/>
        <w:right w:val="none" w:sz="0" w:space="0" w:color="auto"/>
      </w:divBdr>
    </w:div>
    <w:div w:id="106775455">
      <w:bodyDiv w:val="1"/>
      <w:marLeft w:val="0"/>
      <w:marRight w:val="0"/>
      <w:marTop w:val="0"/>
      <w:marBottom w:val="0"/>
      <w:divBdr>
        <w:top w:val="none" w:sz="0" w:space="0" w:color="auto"/>
        <w:left w:val="none" w:sz="0" w:space="0" w:color="auto"/>
        <w:bottom w:val="none" w:sz="0" w:space="0" w:color="auto"/>
        <w:right w:val="none" w:sz="0" w:space="0" w:color="auto"/>
      </w:divBdr>
    </w:div>
    <w:div w:id="122311826">
      <w:bodyDiv w:val="1"/>
      <w:marLeft w:val="0"/>
      <w:marRight w:val="0"/>
      <w:marTop w:val="0"/>
      <w:marBottom w:val="0"/>
      <w:divBdr>
        <w:top w:val="none" w:sz="0" w:space="0" w:color="auto"/>
        <w:left w:val="none" w:sz="0" w:space="0" w:color="auto"/>
        <w:bottom w:val="none" w:sz="0" w:space="0" w:color="auto"/>
        <w:right w:val="none" w:sz="0" w:space="0" w:color="auto"/>
      </w:divBdr>
    </w:div>
    <w:div w:id="146938198">
      <w:bodyDiv w:val="1"/>
      <w:marLeft w:val="0"/>
      <w:marRight w:val="0"/>
      <w:marTop w:val="0"/>
      <w:marBottom w:val="0"/>
      <w:divBdr>
        <w:top w:val="none" w:sz="0" w:space="0" w:color="auto"/>
        <w:left w:val="none" w:sz="0" w:space="0" w:color="auto"/>
        <w:bottom w:val="none" w:sz="0" w:space="0" w:color="auto"/>
        <w:right w:val="none" w:sz="0" w:space="0" w:color="auto"/>
      </w:divBdr>
    </w:div>
    <w:div w:id="261957753">
      <w:bodyDiv w:val="1"/>
      <w:marLeft w:val="0"/>
      <w:marRight w:val="0"/>
      <w:marTop w:val="0"/>
      <w:marBottom w:val="0"/>
      <w:divBdr>
        <w:top w:val="none" w:sz="0" w:space="0" w:color="auto"/>
        <w:left w:val="none" w:sz="0" w:space="0" w:color="auto"/>
        <w:bottom w:val="none" w:sz="0" w:space="0" w:color="auto"/>
        <w:right w:val="none" w:sz="0" w:space="0" w:color="auto"/>
      </w:divBdr>
    </w:div>
    <w:div w:id="282731338">
      <w:bodyDiv w:val="1"/>
      <w:marLeft w:val="0"/>
      <w:marRight w:val="0"/>
      <w:marTop w:val="0"/>
      <w:marBottom w:val="0"/>
      <w:divBdr>
        <w:top w:val="none" w:sz="0" w:space="0" w:color="auto"/>
        <w:left w:val="none" w:sz="0" w:space="0" w:color="auto"/>
        <w:bottom w:val="none" w:sz="0" w:space="0" w:color="auto"/>
        <w:right w:val="none" w:sz="0" w:space="0" w:color="auto"/>
      </w:divBdr>
    </w:div>
    <w:div w:id="723529093">
      <w:bodyDiv w:val="1"/>
      <w:marLeft w:val="0"/>
      <w:marRight w:val="0"/>
      <w:marTop w:val="0"/>
      <w:marBottom w:val="0"/>
      <w:divBdr>
        <w:top w:val="none" w:sz="0" w:space="0" w:color="auto"/>
        <w:left w:val="none" w:sz="0" w:space="0" w:color="auto"/>
        <w:bottom w:val="none" w:sz="0" w:space="0" w:color="auto"/>
        <w:right w:val="none" w:sz="0" w:space="0" w:color="auto"/>
      </w:divBdr>
    </w:div>
    <w:div w:id="758912403">
      <w:bodyDiv w:val="1"/>
      <w:marLeft w:val="0"/>
      <w:marRight w:val="0"/>
      <w:marTop w:val="0"/>
      <w:marBottom w:val="0"/>
      <w:divBdr>
        <w:top w:val="none" w:sz="0" w:space="0" w:color="auto"/>
        <w:left w:val="none" w:sz="0" w:space="0" w:color="auto"/>
        <w:bottom w:val="none" w:sz="0" w:space="0" w:color="auto"/>
        <w:right w:val="none" w:sz="0" w:space="0" w:color="auto"/>
      </w:divBdr>
    </w:div>
    <w:div w:id="765544199">
      <w:bodyDiv w:val="1"/>
      <w:marLeft w:val="0"/>
      <w:marRight w:val="0"/>
      <w:marTop w:val="0"/>
      <w:marBottom w:val="0"/>
      <w:divBdr>
        <w:top w:val="none" w:sz="0" w:space="0" w:color="auto"/>
        <w:left w:val="none" w:sz="0" w:space="0" w:color="auto"/>
        <w:bottom w:val="none" w:sz="0" w:space="0" w:color="auto"/>
        <w:right w:val="none" w:sz="0" w:space="0" w:color="auto"/>
      </w:divBdr>
    </w:div>
    <w:div w:id="793523496">
      <w:bodyDiv w:val="1"/>
      <w:marLeft w:val="0"/>
      <w:marRight w:val="0"/>
      <w:marTop w:val="0"/>
      <w:marBottom w:val="0"/>
      <w:divBdr>
        <w:top w:val="none" w:sz="0" w:space="0" w:color="auto"/>
        <w:left w:val="none" w:sz="0" w:space="0" w:color="auto"/>
        <w:bottom w:val="none" w:sz="0" w:space="0" w:color="auto"/>
        <w:right w:val="none" w:sz="0" w:space="0" w:color="auto"/>
      </w:divBdr>
    </w:div>
    <w:div w:id="1182891146">
      <w:bodyDiv w:val="1"/>
      <w:marLeft w:val="0"/>
      <w:marRight w:val="0"/>
      <w:marTop w:val="0"/>
      <w:marBottom w:val="0"/>
      <w:divBdr>
        <w:top w:val="none" w:sz="0" w:space="0" w:color="auto"/>
        <w:left w:val="none" w:sz="0" w:space="0" w:color="auto"/>
        <w:bottom w:val="none" w:sz="0" w:space="0" w:color="auto"/>
        <w:right w:val="none" w:sz="0" w:space="0" w:color="auto"/>
      </w:divBdr>
    </w:div>
    <w:div w:id="1191187429">
      <w:bodyDiv w:val="1"/>
      <w:marLeft w:val="0"/>
      <w:marRight w:val="0"/>
      <w:marTop w:val="0"/>
      <w:marBottom w:val="0"/>
      <w:divBdr>
        <w:top w:val="none" w:sz="0" w:space="0" w:color="auto"/>
        <w:left w:val="none" w:sz="0" w:space="0" w:color="auto"/>
        <w:bottom w:val="none" w:sz="0" w:space="0" w:color="auto"/>
        <w:right w:val="none" w:sz="0" w:space="0" w:color="auto"/>
      </w:divBdr>
    </w:div>
    <w:div w:id="1219367399">
      <w:bodyDiv w:val="1"/>
      <w:marLeft w:val="0"/>
      <w:marRight w:val="0"/>
      <w:marTop w:val="0"/>
      <w:marBottom w:val="0"/>
      <w:divBdr>
        <w:top w:val="none" w:sz="0" w:space="0" w:color="auto"/>
        <w:left w:val="none" w:sz="0" w:space="0" w:color="auto"/>
        <w:bottom w:val="none" w:sz="0" w:space="0" w:color="auto"/>
        <w:right w:val="none" w:sz="0" w:space="0" w:color="auto"/>
      </w:divBdr>
    </w:div>
    <w:div w:id="1364210938">
      <w:bodyDiv w:val="1"/>
      <w:marLeft w:val="0"/>
      <w:marRight w:val="0"/>
      <w:marTop w:val="0"/>
      <w:marBottom w:val="0"/>
      <w:divBdr>
        <w:top w:val="none" w:sz="0" w:space="0" w:color="auto"/>
        <w:left w:val="none" w:sz="0" w:space="0" w:color="auto"/>
        <w:bottom w:val="none" w:sz="0" w:space="0" w:color="auto"/>
        <w:right w:val="none" w:sz="0" w:space="0" w:color="auto"/>
      </w:divBdr>
    </w:div>
    <w:div w:id="1370574054">
      <w:bodyDiv w:val="1"/>
      <w:marLeft w:val="0"/>
      <w:marRight w:val="0"/>
      <w:marTop w:val="0"/>
      <w:marBottom w:val="0"/>
      <w:divBdr>
        <w:top w:val="none" w:sz="0" w:space="0" w:color="auto"/>
        <w:left w:val="none" w:sz="0" w:space="0" w:color="auto"/>
        <w:bottom w:val="none" w:sz="0" w:space="0" w:color="auto"/>
        <w:right w:val="none" w:sz="0" w:space="0" w:color="auto"/>
      </w:divBdr>
    </w:div>
    <w:div w:id="1385518340">
      <w:bodyDiv w:val="1"/>
      <w:marLeft w:val="0"/>
      <w:marRight w:val="0"/>
      <w:marTop w:val="0"/>
      <w:marBottom w:val="0"/>
      <w:divBdr>
        <w:top w:val="none" w:sz="0" w:space="0" w:color="auto"/>
        <w:left w:val="none" w:sz="0" w:space="0" w:color="auto"/>
        <w:bottom w:val="none" w:sz="0" w:space="0" w:color="auto"/>
        <w:right w:val="none" w:sz="0" w:space="0" w:color="auto"/>
      </w:divBdr>
    </w:div>
    <w:div w:id="1447851245">
      <w:bodyDiv w:val="1"/>
      <w:marLeft w:val="0"/>
      <w:marRight w:val="0"/>
      <w:marTop w:val="0"/>
      <w:marBottom w:val="0"/>
      <w:divBdr>
        <w:top w:val="none" w:sz="0" w:space="0" w:color="auto"/>
        <w:left w:val="none" w:sz="0" w:space="0" w:color="auto"/>
        <w:bottom w:val="none" w:sz="0" w:space="0" w:color="auto"/>
        <w:right w:val="none" w:sz="0" w:space="0" w:color="auto"/>
      </w:divBdr>
    </w:div>
    <w:div w:id="1460032562">
      <w:bodyDiv w:val="1"/>
      <w:marLeft w:val="0"/>
      <w:marRight w:val="0"/>
      <w:marTop w:val="0"/>
      <w:marBottom w:val="0"/>
      <w:divBdr>
        <w:top w:val="none" w:sz="0" w:space="0" w:color="auto"/>
        <w:left w:val="none" w:sz="0" w:space="0" w:color="auto"/>
        <w:bottom w:val="none" w:sz="0" w:space="0" w:color="auto"/>
        <w:right w:val="none" w:sz="0" w:space="0" w:color="auto"/>
      </w:divBdr>
    </w:div>
    <w:div w:id="1468550854">
      <w:bodyDiv w:val="1"/>
      <w:marLeft w:val="0"/>
      <w:marRight w:val="0"/>
      <w:marTop w:val="0"/>
      <w:marBottom w:val="0"/>
      <w:divBdr>
        <w:top w:val="none" w:sz="0" w:space="0" w:color="auto"/>
        <w:left w:val="none" w:sz="0" w:space="0" w:color="auto"/>
        <w:bottom w:val="none" w:sz="0" w:space="0" w:color="auto"/>
        <w:right w:val="none" w:sz="0" w:space="0" w:color="auto"/>
      </w:divBdr>
    </w:div>
    <w:div w:id="1509245970">
      <w:bodyDiv w:val="1"/>
      <w:marLeft w:val="0"/>
      <w:marRight w:val="0"/>
      <w:marTop w:val="0"/>
      <w:marBottom w:val="0"/>
      <w:divBdr>
        <w:top w:val="none" w:sz="0" w:space="0" w:color="auto"/>
        <w:left w:val="none" w:sz="0" w:space="0" w:color="auto"/>
        <w:bottom w:val="none" w:sz="0" w:space="0" w:color="auto"/>
        <w:right w:val="none" w:sz="0" w:space="0" w:color="auto"/>
      </w:divBdr>
    </w:div>
    <w:div w:id="1552811998">
      <w:bodyDiv w:val="1"/>
      <w:marLeft w:val="0"/>
      <w:marRight w:val="0"/>
      <w:marTop w:val="0"/>
      <w:marBottom w:val="0"/>
      <w:divBdr>
        <w:top w:val="none" w:sz="0" w:space="0" w:color="auto"/>
        <w:left w:val="none" w:sz="0" w:space="0" w:color="auto"/>
        <w:bottom w:val="none" w:sz="0" w:space="0" w:color="auto"/>
        <w:right w:val="none" w:sz="0" w:space="0" w:color="auto"/>
      </w:divBdr>
    </w:div>
    <w:div w:id="1594775445">
      <w:bodyDiv w:val="1"/>
      <w:marLeft w:val="0"/>
      <w:marRight w:val="0"/>
      <w:marTop w:val="0"/>
      <w:marBottom w:val="0"/>
      <w:divBdr>
        <w:top w:val="none" w:sz="0" w:space="0" w:color="auto"/>
        <w:left w:val="none" w:sz="0" w:space="0" w:color="auto"/>
        <w:bottom w:val="none" w:sz="0" w:space="0" w:color="auto"/>
        <w:right w:val="none" w:sz="0" w:space="0" w:color="auto"/>
      </w:divBdr>
    </w:div>
    <w:div w:id="1692145263">
      <w:bodyDiv w:val="1"/>
      <w:marLeft w:val="0"/>
      <w:marRight w:val="0"/>
      <w:marTop w:val="0"/>
      <w:marBottom w:val="0"/>
      <w:divBdr>
        <w:top w:val="none" w:sz="0" w:space="0" w:color="auto"/>
        <w:left w:val="none" w:sz="0" w:space="0" w:color="auto"/>
        <w:bottom w:val="none" w:sz="0" w:space="0" w:color="auto"/>
        <w:right w:val="none" w:sz="0" w:space="0" w:color="auto"/>
      </w:divBdr>
      <w:divsChild>
        <w:div w:id="628970938">
          <w:marLeft w:val="0"/>
          <w:marRight w:val="0"/>
          <w:marTop w:val="90"/>
          <w:marBottom w:val="0"/>
          <w:divBdr>
            <w:top w:val="none" w:sz="0" w:space="0" w:color="auto"/>
            <w:left w:val="none" w:sz="0" w:space="0" w:color="auto"/>
            <w:bottom w:val="none" w:sz="0" w:space="0" w:color="auto"/>
            <w:right w:val="none" w:sz="0" w:space="0" w:color="auto"/>
          </w:divBdr>
          <w:divsChild>
            <w:div w:id="527447658">
              <w:marLeft w:val="0"/>
              <w:marRight w:val="0"/>
              <w:marTop w:val="0"/>
              <w:marBottom w:val="420"/>
              <w:divBdr>
                <w:top w:val="none" w:sz="0" w:space="0" w:color="auto"/>
                <w:left w:val="none" w:sz="0" w:space="0" w:color="auto"/>
                <w:bottom w:val="none" w:sz="0" w:space="0" w:color="auto"/>
                <w:right w:val="none" w:sz="0" w:space="0" w:color="auto"/>
              </w:divBdr>
              <w:divsChild>
                <w:div w:id="2134203636">
                  <w:marLeft w:val="0"/>
                  <w:marRight w:val="0"/>
                  <w:marTop w:val="0"/>
                  <w:marBottom w:val="0"/>
                  <w:divBdr>
                    <w:top w:val="none" w:sz="0" w:space="0" w:color="auto"/>
                    <w:left w:val="none" w:sz="0" w:space="0" w:color="auto"/>
                    <w:bottom w:val="none" w:sz="0" w:space="0" w:color="auto"/>
                    <w:right w:val="none" w:sz="0" w:space="0" w:color="auto"/>
                  </w:divBdr>
                  <w:divsChild>
                    <w:div w:id="192882547">
                      <w:marLeft w:val="0"/>
                      <w:marRight w:val="0"/>
                      <w:marTop w:val="0"/>
                      <w:marBottom w:val="0"/>
                      <w:divBdr>
                        <w:top w:val="none" w:sz="0" w:space="0" w:color="auto"/>
                        <w:left w:val="none" w:sz="0" w:space="0" w:color="auto"/>
                        <w:bottom w:val="none" w:sz="0" w:space="0" w:color="auto"/>
                        <w:right w:val="none" w:sz="0" w:space="0" w:color="auto"/>
                      </w:divBdr>
                      <w:divsChild>
                        <w:div w:id="6112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513000">
      <w:bodyDiv w:val="1"/>
      <w:marLeft w:val="0"/>
      <w:marRight w:val="0"/>
      <w:marTop w:val="0"/>
      <w:marBottom w:val="0"/>
      <w:divBdr>
        <w:top w:val="none" w:sz="0" w:space="0" w:color="auto"/>
        <w:left w:val="none" w:sz="0" w:space="0" w:color="auto"/>
        <w:bottom w:val="none" w:sz="0" w:space="0" w:color="auto"/>
        <w:right w:val="none" w:sz="0" w:space="0" w:color="auto"/>
      </w:divBdr>
    </w:div>
    <w:div w:id="1894267683">
      <w:bodyDiv w:val="1"/>
      <w:marLeft w:val="0"/>
      <w:marRight w:val="0"/>
      <w:marTop w:val="0"/>
      <w:marBottom w:val="0"/>
      <w:divBdr>
        <w:top w:val="none" w:sz="0" w:space="0" w:color="auto"/>
        <w:left w:val="none" w:sz="0" w:space="0" w:color="auto"/>
        <w:bottom w:val="none" w:sz="0" w:space="0" w:color="auto"/>
        <w:right w:val="none" w:sz="0" w:space="0" w:color="auto"/>
      </w:divBdr>
    </w:div>
    <w:div w:id="1908106239">
      <w:bodyDiv w:val="1"/>
      <w:marLeft w:val="0"/>
      <w:marRight w:val="0"/>
      <w:marTop w:val="0"/>
      <w:marBottom w:val="0"/>
      <w:divBdr>
        <w:top w:val="none" w:sz="0" w:space="0" w:color="auto"/>
        <w:left w:val="none" w:sz="0" w:space="0" w:color="auto"/>
        <w:bottom w:val="none" w:sz="0" w:space="0" w:color="auto"/>
        <w:right w:val="none" w:sz="0" w:space="0" w:color="auto"/>
      </w:divBdr>
    </w:div>
    <w:div w:id="1962761252">
      <w:bodyDiv w:val="1"/>
      <w:marLeft w:val="0"/>
      <w:marRight w:val="0"/>
      <w:marTop w:val="0"/>
      <w:marBottom w:val="0"/>
      <w:divBdr>
        <w:top w:val="none" w:sz="0" w:space="0" w:color="auto"/>
        <w:left w:val="none" w:sz="0" w:space="0" w:color="auto"/>
        <w:bottom w:val="none" w:sz="0" w:space="0" w:color="auto"/>
        <w:right w:val="none" w:sz="0" w:space="0" w:color="auto"/>
      </w:divBdr>
    </w:div>
    <w:div w:id="2036760507">
      <w:bodyDiv w:val="1"/>
      <w:marLeft w:val="0"/>
      <w:marRight w:val="0"/>
      <w:marTop w:val="0"/>
      <w:marBottom w:val="0"/>
      <w:divBdr>
        <w:top w:val="none" w:sz="0" w:space="0" w:color="auto"/>
        <w:left w:val="none" w:sz="0" w:space="0" w:color="auto"/>
        <w:bottom w:val="none" w:sz="0" w:space="0" w:color="auto"/>
        <w:right w:val="none" w:sz="0" w:space="0" w:color="auto"/>
      </w:divBdr>
    </w:div>
    <w:div w:id="2043020706">
      <w:bodyDiv w:val="1"/>
      <w:marLeft w:val="0"/>
      <w:marRight w:val="0"/>
      <w:marTop w:val="0"/>
      <w:marBottom w:val="0"/>
      <w:divBdr>
        <w:top w:val="none" w:sz="0" w:space="0" w:color="auto"/>
        <w:left w:val="none" w:sz="0" w:space="0" w:color="auto"/>
        <w:bottom w:val="none" w:sz="0" w:space="0" w:color="auto"/>
        <w:right w:val="none" w:sz="0" w:space="0" w:color="auto"/>
      </w:divBdr>
    </w:div>
    <w:div w:id="2064938720">
      <w:bodyDiv w:val="1"/>
      <w:marLeft w:val="0"/>
      <w:marRight w:val="0"/>
      <w:marTop w:val="0"/>
      <w:marBottom w:val="0"/>
      <w:divBdr>
        <w:top w:val="none" w:sz="0" w:space="0" w:color="auto"/>
        <w:left w:val="none" w:sz="0" w:space="0" w:color="auto"/>
        <w:bottom w:val="none" w:sz="0" w:space="0" w:color="auto"/>
        <w:right w:val="none" w:sz="0" w:space="0" w:color="auto"/>
      </w:divBdr>
    </w:div>
    <w:div w:id="213243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ossmark.crossref.org/dialog/?doi=10.31893/multiscience.2024xxx&amp;domain=pdf" TargetMode="Externa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yperlink" Target="mailto:"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malque.pub/ojs/index.php/msj/eth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hyperlink" Target="https://orcid.org/" TargetMode="External"/><Relationship Id="rId19" Type="http://schemas.openxmlformats.org/officeDocument/2006/relationships/hyperlink" Target="https://www.malque.pub/ojs/index.php/msj/guid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svg"/><Relationship Id="rId22" Type="http://schemas.openxmlformats.org/officeDocument/2006/relationships/hyperlink" Target="https://malque.pub/ojs/index.php/msj/ethics" TargetMode="External"/><Relationship Id="rId25" Type="http://schemas.openxmlformats.org/officeDocument/2006/relationships/hyperlink" Target="https://orcid.org/0009-0007-0042-2835" TargetMode="External"/><Relationship Id="rId26" Type="http://schemas.openxmlformats.org/officeDocument/2006/relationships/hyperlink" Target="https://orcid.org/0009-0008-3307-6569" TargetMode="External"/><Relationship Id="rId27" Type="http://schemas.openxmlformats.org/officeDocument/2006/relationships/hyperlink" Target="mailto:kontrungcany@gmail.com" TargetMode="External"/><Relationship Id="rId28" Type="http://schemas.openxmlformats.org/officeDocument/2006/relationships/hyperlink" Target="https://orcid.org/0000-0003-3581-6571" TargetMode="External"/><Relationship Id="rId29" Type="http://schemas.openxmlformats.org/officeDocument/2006/relationships/hyperlink" Target="https://orcid.org/0009-0003-0967-7528" TargetMode="External"/><Relationship Id="rId30" Type="http://schemas.openxmlformats.org/officeDocument/2006/relationships/image" Target="media/image9.png"/><Relationship Id="rId31" Type="http://schemas.openxmlformats.org/officeDocument/2006/relationships/image" Target="media/image10.png"/></Relationships>
</file>

<file path=word/_rels/footer1.xml.rels><?xml version='1.0' encoding='UTF-8' standalone='yes'?>
<Relationships xmlns="http://schemas.openxmlformats.org/package/2006/relationships"><Relationship Id="rId3" Type="http://schemas.openxmlformats.org/officeDocument/2006/relationships/hyperlink" Target="https://www.malque.pub/ojs/index.php/msj" TargetMode="External"/><Relationship Id="rId2" Type="http://schemas.openxmlformats.org/officeDocument/2006/relationships/image" Target="media/image5.png"/><Relationship Id="rId1" Type="http://schemas.openxmlformats.org/officeDocument/2006/relationships/hyperlink" Target="https://www.malque.pub" TargetMode="External"/><Relationship Id="rId4" Type="http://schemas.openxmlformats.org/officeDocument/2006/relationships/hyperlink" Target="https://www.malque.pub/ojs/index.php/msj" TargetMode="External"/></Relationships>
</file>

<file path=word/_rels/foot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7.png"/><Relationship Id="rId1" Type="http://schemas.openxmlformats.org/officeDocument/2006/relationships/hyperlink" Target="https://www.malque.pub"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doi.org/10.31893/jabb.21001" TargetMode="External"/><Relationship Id="rId1" Type="http://schemas.openxmlformats.org/officeDocument/2006/relationships/hyperlink" Target="https://doi.org/10.31893/jabb.21001"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s://malque.pub/ojs/index.php/msj/index" TargetMode="External"/><Relationship Id="rId2" Type="http://schemas.openxmlformats.org/officeDocument/2006/relationships/hyperlink" Target="https://doi.org/10.31893/multiscience.2026xxx" TargetMode="External"/><Relationship Id="rId1" Type="http://schemas.openxmlformats.org/officeDocument/2006/relationships/hyperlink" Target="https://doi.org/10.31893/multiscience.2026xxx" TargetMode="External"/><Relationship Id="rId4"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C1F50-F304-414B-B3CA-890330C54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2950</Words>
  <Characters>15935</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Dayanne</dc:creator>
  <cp:lastModifiedBy>Microsoft Office User</cp:lastModifiedBy>
  <cp:revision>16</cp:revision>
  <cp:lastPrinted>2021-04-25T14:28:00Z</cp:lastPrinted>
  <dcterms:created xsi:type="dcterms:W3CDTF">2023-10-20T18:19:00Z</dcterms:created>
  <dcterms:modified xsi:type="dcterms:W3CDTF">2026-09-22T19:30:00Z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0ba2c21447cd7cd887107512ab0bf1c224e9f18955b8338954429a6a53db44a1</vt:lpwstr>
  </property>
</Properties>
</file>