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Regulators impose daily price limits to cool markets, but limits can delay price discovery. Few studies trace prices after limit closes in emerging markets, and those we know of ignore the many other price-based signals a researcher could have tested. We study 347 stocks on the Ho Chi Minh Stock Exchange from August 2024 to September 2026 and run 26 tests under false-discovery-rate control: four price-limit event tests and 22 tests of price- and volume-based characteristics. All four limit tests survive the control; none of the 22 characteristic tests does, although those tests have limited power. After a ceiling close, the stock earns a next-day abnormal return of 1.7%: an overnight gap of 2.2% less an intraday reversal of 0.5%. The gap exceeds that of stocks that rose 5% to 6.5% by 2.7 percentage points. A buyer at the next open loses 0.7% against the market by the fifth close. The pattern fits delayed price discovery, but news and attention fit it as well, and without news or order-book data we cannot separate these explanations.</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stops a stock from moving beyond a fixed band within one trading day. Regulators adopt limits to cool markets after large shocks, and exchanges in Tokyo, Taipei, Seoul, Shenzhen, and Ho Chi Minh City have used them. Economists ask whether a limit protects prices or postpones their adjustment, and recent band changes in China, Taiwan, and Korea give them new test cases. The question is sharpest in markets where a limit close is common and where opening and closing prices come from call auctions. The Ho Chi Minh Stock Exchange (HOSE) has both features: it applies one 7% band to all stocks, and about 2.0% of stock-days in our event window close at the upper limit (a ceiling close; Section 4) and about 1.4% at the lower limit (a floor close).</w:t>
      </w:r>
    </w:p>
    <w:p>
      <w:pPr>
        <w:pStyle w:val="BodyText"/>
      </w:pPr>
      <w:r>
        <w:t xml:space="preserve">Recent work on price limits measures market quality and investor behavior. Studies of band changes document effects on volatility, liquidity, and crash risk (Jia et al., 2024; Lien et al., 2019; Qi, 2023), and account-level work shows that large investors buy on the limit day and sell on the next day (Chen et al., 2019). However, of the studies we reviewed, only Huang et al. (2001) describe the overnight-then-intraday pattern after limit hits, and the records we could access give no magnitudes; none measures the overnight gap and the intraday return after a limit close against a benchmark, none places the limit result in a family of tests that controls for the many other price-based signals a researcher could have examined, and none examines the 2025 move of HOSE to a new trading platform.</w:t>
      </w:r>
    </w:p>
    <w:p>
      <w:pPr>
        <w:pStyle w:val="BodyText"/>
      </w:pPr>
      <w:r>
        <w:t xml:space="preserve">We estimate the abnormal return after ceiling and floor closes on HOSE, measure how much of it arises in the overnight gap, and test whether an outside buyer can capture it. We place the four limit tests in one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compare limit closes with stocks that moved almost as far without reaching the limit, including stocks that also closed at their daily high, and find that the ceiling gap is 2.7 percentage points larger at the limit than after rises of 5% to 6.5%. Third, we show that all four limit tests survive a multiplicity-controlled family in which no characteristic survives, and that a buyer at the next open loses 0.7% against the market by the fifth close. We also compare each result with the studies reviewed in Section 2 and split the events at the 2025 change of trading platform.</w:t>
      </w:r>
    </w:p>
    <w:p>
      <w:pPr>
        <w:pStyle w:val="BodyText"/>
      </w:pPr>
      <w:r>
        <w:t xml:space="preserve">Section 2 reviews the literature and states the hypotheses, Section 3 describes the data and the institutional setting, and Section 4 sets out the design. Section 5 reports the results, Section 6 compares them with earlier studies and discusses mechanisms and implications, Section 7 lists limitations, and Section 8 concludes.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provides a rationale for price limits in futures markets, and Kodres and O’Brien (1994) show that well-chosen limits can be Pareto superior when fluctuations come from fundamental news, because limits insure traders against part of the implementation risk. Greenwald and Stein (1991) link crashes to imperfections in transactional mechanisms. Against this case, Subrahmanyam (1994) shows that trading halts can advance trades in time and raise price variability, and Chen et al. (2024) show in an equilibrium model that volatility rises as the price approaches a circuit breaker, which produces a magnet effect. A limit that only delays adjustment leaves a predictable next-day continuation, so the return after a limit close bears on this debate.</w:t>
      </w:r>
    </w:p>
    <w:p>
      <w:pPr>
        <w:pStyle w:val="BodyText"/>
      </w:pPr>
      <w:r>
        <w:rPr>
          <w:bCs/>
          <w:b/>
        </w:rPr>
        <w:t xml:space="preserve">Classic evidence on price-limit performance.</w:t>
      </w:r>
      <w:r>
        <w:t xml:space="preserve"> </w:t>
      </w:r>
      <w:r>
        <w:t xml:space="preserve">Early empirical work infers the costs of limits from volatility and serial correlation across days. Kim and Rhee (1997) organize the empirical debate around three criticisms of limits: they spill volatility into later days, delay price discovery, and interfere with trading. They find support for all three in Tokyo. Bildik and Gülay (2006) find the same in Istanbul and show that price locks at the limit give stronger evidence than limit moves alone. Chen (1993) finds that serial correlation falls as the Taiwanese limit widens, which implies that the narrower limit delayed price adjustment, and Berkman and Lee (2002) examine volatility and trading activity around a revision of the limit system in Korea. Huang et al. (2001) report for Taiwan that the overnight overreaction after limit hits reverses during the following trading day, the timing pattern we test on HOSE. Cho et al. (2003) add a fourth hypothesis, the magnet effect, and find that prices accelerate toward the upper limit in five-minute Taiwanese data. Kim and Limpaphayom (2000) show that small, volatile, high-volume stocks are more likely to hit limits, and Deb et al. (2013) argue that rigid limits in Tokyo can disrupt price discovery and liquidity provision. Apart from Huang et al. (2001), these studies do not split the next-day return into the overnight gap and the session that follows.</w:t>
      </w:r>
    </w:p>
    <w:p>
      <w:pPr>
        <w:pStyle w:val="BodyText"/>
      </w:pPr>
      <w:r>
        <w:rPr>
          <w:bCs/>
          <w:b/>
        </w:rPr>
        <w:t xml:space="preserve">Recent evidence from band changes and investor-level data.</w:t>
      </w:r>
      <w:r>
        <w:t xml:space="preserve"> </w:t>
      </w:r>
      <w:r>
        <w:t xml:space="preserve">The widening of the ChiNext band from 10% to 20% in August 2020 gave several studies a quasi-natural experiment. Qi (2023) confirms delayed price discovery, volatility spillover, and trading interference, with stronger effects at the lower limit and no magnet effect. Zhang et al. (2022) find higher liquidity and lower information asymmetry after the widening, and Jia et al. (2024) find lower crash risk. Lien et al. (2019) find higher spreads and intraday volatility but better execution quality after Taiwan widened its band in 2015, and Kim and Jun (2019) find higher intraday realized variance after Korea widened its band from 15% to 30%. Chen et al. (2019) use account-level Shenzhen data and show that large investors buy on the day a stock hits the 10% upper limit and sell on the next day, and that their net buying on the limit day predicts stronger long-run reversal. Two recent studies look at the cross-section: Lin et al. (2023) find that stocks with large exposure to daily price limits attract attention and earn lower future returns, with the largest effect where retail investors hold many shares, and Zeng et al. (2024) relate the frequency of upper-limit hits to lower future returns. Liang and Hu (2025) forecast limit hits; the record we could access reports no returns after the hit. The band-change studies compare periods with different bands, and the cross-sectional studies sort stocks by limit exposure; ours conditions on individual limit closes within one band regime.</w:t>
      </w:r>
    </w:p>
    <w:p>
      <w:pPr>
        <w:pStyle w:val="BodyText"/>
      </w:pPr>
      <w:r>
        <w:rPr>
          <w:bCs/>
          <w:b/>
        </w:rPr>
        <w:t xml:space="preserve">Overnight and intraday returns.</w:t>
      </w:r>
      <w:r>
        <w:t xml:space="preserve"> </w:t>
      </w:r>
      <w:r>
        <w:t xml:space="preserve">Returns earned overnight differ from returns earned during the session, and explanations range from investor attention and sentiment to funding costs and market-maker inventory. Kelly and Clark (2011) document the split for index funds. Berkman et al. (2012) find positive overnight returns followed by intraday reversals in U.S. stocks, concentrated among stocks with recent retail attention. Aboody et al. (2018) tie overnight persistence to investor sentiment, Lou et al. (2019) show strong overnight and intraday continuation with an offsetting cross-period reversal, and Akbas et al. (2022) show that a persistent pattern of positive overnight and negative daytime returns predicts higher future returns. Bogousslavsky (2021) links the split to differences in margin and lending costs, and Lu et al. (2023) trace night-minus-day returns to the market makers who absorb retail order imbalances near the open. Chinese evidence adds institutional detail: Qiao and Dam (2020) show that overnight returns are on average negative and link them to the T+1 rule, under which shares bought on one day cannot be sold until the next. Gu et al. (2025) show that the lottery-like anomaly in Chinese stocks comes mainly from overnight returns, with stronger effects where retail gambling preference and limits to arbitrage are high. Qiu et al. (2025) find that day-night anomalies concentrate at the open and close, and Jones et al. (2025) find weak stock selection among small retail investors. Studies of overnight returns measure them on all stocks; none conditions on a limit close.</w:t>
      </w:r>
    </w:p>
    <w:p>
      <w:pPr>
        <w:pStyle w:val="BodyText"/>
      </w:pPr>
      <w:r>
        <w:rPr>
          <w:bCs/>
          <w:b/>
        </w:rPr>
        <w:t xml:space="preserve">Multiple testing and weekly regressions.</w:t>
      </w:r>
      <w:r>
        <w:t xml:space="preserve"> </w:t>
      </w:r>
      <w:r>
        <w:t xml:space="preserve">Testing many signals raises the bar for each one. Harvey et al. (2016) argue that a new factor needs a</w:t>
      </w:r>
      <w:r>
        <w:t xml:space="preserve"> </w:t>
      </w:r>
      <w:r>
        <w:rPr>
          <w:iCs/>
          <w:i/>
        </w:rPr>
        <w:t xml:space="preserve">t</w:t>
      </w:r>
      <w:r>
        <w:t xml:space="preserve">-statistic above 3.0. Harvey and Liu (2020) tie the hurdle to a chosen FDR, Chordia et al. (2020) find that multiple-testing thresholds for cross-sectional regressions are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significant size effect and an earnings-to-price effect. We found no peer-reviewed study of post-limit returns on HOSE.</w:t>
      </w:r>
    </w:p>
    <w:p>
      <w:pPr>
        <w:pStyle w:val="BodyText"/>
      </w:pPr>
      <w:r>
        <w:rPr>
          <w:bCs/>
          <w:b/>
        </w:rPr>
        <w:t xml:space="preserve">Gap and hypotheses.</w:t>
      </w:r>
      <w:r>
        <w:t xml:space="preserve"> </w:t>
      </w:r>
      <w:r>
        <w:t xml:space="preserve">The reviewed studies document the volatility, liquidity, and long-run effects of limits, and the overnight-intraday split for all stocks. Apart from Huang et al. (2001), none combines the two, and none controls for multiple testing or uses the 2025 platform change. Four hypotheses follow.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The 22 characteristics provide a benchmark for H</w:t>
      </w:r>
      <w:r>
        <w:rPr>
          <w:vertAlign w:val="subscript"/>
        </w:rPr>
        <w:t xml:space="preserve">1</w:t>
      </w:r>
      <w:r>
        <w:t xml:space="preserve">: a limit effect that survives the procedure that screens every characteristic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stocks on the HOSE listing with the vnstock Python library (version 4.0.4), which draws them from Vietcap Securities Joint Stock Company (VCI). A listing file from the same source and date (743 rows, all instrument types) defines the universe and omits stocks delisted before that date. The retrieval returned 405 HOSE stock files with daily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which yields 178,773 stock-days. The mean daily close-to-close return is 0.018%, the median is 0.00%, and the standard deviation is 2.10%. Liquidity is skewed: dollar volume (price times shares traded; we keep the conventional term although values are in dong) has a median of 2.6 billion dong per stock-day and a mean of 51.2 billion dong. The stocks span 18 two-digit sector codes of the Industry Classification Benchmark, and the largest sector holds 15% of them.</w:t>
      </w:r>
    </w:p>
    <w:p>
      <w:pPr>
        <w:pStyle w:val="BodyText"/>
      </w:pPr>
      <w:r>
        <w:rPr>
          <w:bCs/>
          <w:b/>
        </w:rPr>
        <w:t xml:space="preserve">Institutional setting.</w:t>
      </w:r>
      <w:r>
        <w:t xml:space="preserve"> </w:t>
      </w:r>
      <w:r>
        <w:t xml:space="preserve">HOSE sets a daily price limit of 7% around the reference price, which is the previous close on normal trading days (Ho Chi Minh City Securities Corporation [HSC], 2025). On 5 May 2025, HOSE moved to the trading platform of the Korea Exchange (KRX). The band stayed unchanged, but at-the-open and at-the-close orders lost their priority over limit orders in the call auctions that set the opening and closing prices (HSC, 2025; Viet Nam News, 2025). The close defines the event and the open defines the gap, so both auction prices matter here. We treat the 7% band, the tick sizes, and the reference-price rule as assumptions and check the band against the data: 1.98% of all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 let</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denote the close, open, high, and low prices, and let</w:t>
      </w:r>
      <w:r>
        <w:t xml:space="preserve"> </w:t>
      </w:r>
      <m:oMath>
        <m:sSub>
          <m:e>
            <m:r>
              <m:t>R</m:t>
            </m:r>
          </m:e>
          <m:sub>
            <m:r>
              <m:t>i</m:t>
            </m:r>
            <m:r>
              <m:rPr>
                <m:sty m:val="p"/>
              </m:rPr>
              <m:t>,</m:t>
            </m:r>
            <m:r>
              <m:t>d</m:t>
            </m:r>
          </m:sub>
        </m:sSub>
      </m:oMath>
      <w:r>
        <w:t xml:space="preserve"> </w:t>
      </w:r>
      <w:r>
        <w:t xml:space="preserve">denote the close-to-close return,</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d>
            <m:dPr>
              <m:begChr m:val="("/>
              <m:endChr m:val=")"/>
              <m:sepChr m:val=""/>
              <m:grow/>
            </m:dPr>
            <m:e>
              <m:r>
                <m:t>1</m:t>
              </m:r>
            </m:e>
          </m:d>
        </m:oMath>
      </m:oMathPara>
    </w:p>
    <w:p>
      <w:pPr>
        <w:pStyle w:val="FirstParagraph"/>
      </w:pPr>
      <w:r>
        <w:t xml:space="preserve">Stock</w:t>
      </w:r>
      <w:r>
        <w:t xml:space="preserve"> </w:t>
      </w:r>
      <m:oMath>
        <m:r>
          <m:t>i</m:t>
        </m:r>
      </m:oMath>
      <w:r>
        <w:t xml:space="preserve"> </w:t>
      </w:r>
      <w:r>
        <w:t xml:space="preserve">has a ceiling event on day</w:t>
      </w:r>
      <w:r>
        <w:t xml:space="preserve"> </w:t>
      </w:r>
      <m:oMath>
        <m:r>
          <m:t>d</m:t>
        </m:r>
      </m:oMath>
      <w:r>
        <w:t xml:space="preserve"> </w:t>
      </w:r>
      <w:r>
        <w:t xml:space="preserve">if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if</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of the sample, once a 60-day volume history exists, to five days before its end. The market return</w:t>
      </w:r>
      <w:r>
        <w:t xml:space="preserve"> </w:t>
      </w:r>
      <m:oMath>
        <m:sSubSup>
          <m:e>
            <m:r>
              <m:t>R</m:t>
            </m:r>
          </m:e>
          <m:sub>
            <m:r>
              <m:t>d</m:t>
            </m:r>
          </m:sub>
          <m:sup>
            <m:r>
              <m:rPr>
                <m:nor/>
                <m:sty m:val="p"/>
              </m:rPr>
              <m:t>mkt</m:t>
            </m:r>
          </m:sup>
        </m:sSubSup>
      </m:oMath>
      <w:r>
        <w:t xml:space="preserve"> </w:t>
      </w:r>
      <w:r>
        <w:t xml:space="preserve">is the dollar-volume-weighted return across stocks,</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d>
            <m:dPr>
              <m:begChr m:val="("/>
              <m:endChr m:val=")"/>
              <m:sepChr m:val=""/>
              <m:grow/>
            </m:dPr>
            <m:e>
              <m:r>
                <m:t>2</m:t>
              </m:r>
            </m:e>
          </m:d>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the stocks with a return on day</w:t>
      </w:r>
      <w:r>
        <w:t xml:space="preserve"> </w:t>
      </w:r>
      <m:oMath>
        <m:r>
          <m:t>d</m:t>
        </m:r>
      </m:oMath>
      <w:r>
        <w:t xml:space="preserve"> </w:t>
      </w:r>
      <w:r>
        <w:t xml:space="preserve">and a full 60-day volume history, and</w:t>
      </w:r>
      <w:r>
        <w:t xml:space="preserve"> </w:t>
      </w:r>
      <m:oMath>
        <m:sSub>
          <m:e>
            <m:bar>
              <m:barPr>
                <m:pos m:val="top"/>
              </m:barPr>
              <m:e>
                <m:r>
                  <m:t>V</m:t>
                </m:r>
              </m:e>
            </m:bar>
          </m:e>
          <m:sub>
            <m:r>
              <m:t>j</m:t>
            </m:r>
            <m:r>
              <m:rPr>
                <m:sty m:val="p"/>
              </m:rPr>
              <m:t>,</m:t>
            </m:r>
            <m:r>
              <m:t>d</m:t>
            </m:r>
          </m:sub>
        </m:sSub>
      </m:oMath>
      <w:r>
        <w:t xml:space="preserve"> </w:t>
      </w:r>
      <w:r>
        <w:t xml:space="preserve">is the average dollar volume (Section 3)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limit hit is an event whose close</w:t>
      </w:r>
      <w:r>
        <w:t xml:space="preserve"> </w:t>
      </w:r>
      <m:oMath>
        <m:sSub>
          <m:e>
            <m:r>
              <m:t>C</m:t>
            </m:r>
          </m:e>
          <m:sub>
            <m:r>
              <m:t>i</m:t>
            </m:r>
            <m:r>
              <m:rPr>
                <m:sty m:val="p"/>
              </m:rPr>
              <m:t>,</m:t>
            </m:r>
            <m:r>
              <m:t>d</m:t>
            </m:r>
          </m:sub>
        </m:sSub>
      </m:oMath>
      <w:r>
        <w:t xml:space="preserve"> </w:t>
      </w:r>
      <w:r>
        <w:t xml:space="preserve">equals the limit price (to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d>
            <m:dPr>
              <m:begChr m:val="("/>
              <m:endChr m:val=")"/>
              <m:sepChr m:val=""/>
              <m:grow/>
            </m:dPr>
            <m:e>
              <m:r>
                <m:t>3</m:t>
              </m:r>
            </m:e>
          </m:d>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and the tick size</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(the previous close) below 10, from 10 to below 50, and from 50 thousand dong upward. In computation we add</w:t>
      </w:r>
      <w:r>
        <w:t xml:space="preserve"> </w:t>
      </w:r>
      <m:oMath>
        <m:sSup>
          <m:e>
            <m:r>
              <m:t>10</m:t>
            </m:r>
          </m:e>
          <m:sup>
            <m:r>
              <m:rPr>
                <m:sty m:val="p"/>
              </m:rPr>
              <m:t>−</m:t>
            </m:r>
            <m:r>
              <m:t>9</m:t>
            </m:r>
          </m:sup>
        </m:sSup>
      </m:oMath>
      <w:r>
        <w:t xml:space="preserve"> </w:t>
      </w:r>
      <w:r>
        <w:t xml:space="preserve">inside</w:t>
      </w:r>
      <w:r>
        <w:t xml:space="preserve"> </w:t>
      </w:r>
      <m:oMath>
        <m:r>
          <m:rPr>
            <m:sty m:val="p"/>
          </m:rPr>
          <m:t>⌊</m:t>
        </m:r>
        <m:r>
          <m:rPr>
            <m:sty m:val="p"/>
          </m:rPr>
          <m:t>⋅</m:t>
        </m:r>
        <m:r>
          <m:rPr>
            <m:sty m:val="p"/>
          </m:rPr>
          <m:t>⌋</m:t>
        </m:r>
      </m:oMath>
      <w:r>
        <w:t xml:space="preserve"> </w:t>
      </w:r>
      <w:r>
        <w:t xml:space="preserve">and subtract it inside</w:t>
      </w:r>
      <w:r>
        <w:t xml:space="preserve"> </w:t>
      </w:r>
      <m:oMath>
        <m:r>
          <m:rPr>
            <m:sty m:val="p"/>
          </m:rPr>
          <m:t>⌈</m:t>
        </m:r>
        <m:r>
          <m:rPr>
            <m:sty m:val="p"/>
          </m:rPr>
          <m:t>⋅</m:t>
        </m:r>
        <m:r>
          <m:rPr>
            <m:sty m:val="p"/>
          </m:rPr>
          <m:t>⌉</m:t>
        </m:r>
      </m:oMath>
      <w:r>
        <w:t xml:space="preserve"> </w:t>
      </w:r>
      <w:r>
        <w:t xml:space="preserve">to guard against floating-point error. Events whose close differs from the limit price of Equation (3) are near hits; Section 7 explains why this split depends on how the vendor adjusts prices.</w:t>
      </w:r>
    </w:p>
    <w:p>
      <w:pPr>
        <w:pStyle w:val="BodyText"/>
      </w:pPr>
      <w:r>
        <w:rPr>
          <w:bCs/>
          <w:b/>
        </w:rPr>
        <w:t xml:space="preserve">Outcomes.</w:t>
      </w:r>
      <w:r>
        <w:t xml:space="preserve"> </w:t>
      </w:r>
      <w:r>
        <w:t xml:space="preserve">For an event of stock</w:t>
      </w:r>
      <w:r>
        <w:t xml:space="preserve"> </w:t>
      </w:r>
      <m:oMath>
        <m:r>
          <m:t>i</m:t>
        </m:r>
      </m:oMath>
      <w:r>
        <w:t xml:space="preserve"> </w:t>
      </w:r>
      <w:r>
        <w:t xml:space="preserve">on day</w:t>
      </w:r>
      <w:r>
        <w:t xml:space="preserve"> </w:t>
      </w:r>
      <m:oMath>
        <m:r>
          <m:t>d</m:t>
        </m:r>
      </m:oMath>
      <w:r>
        <w:t xml:space="preserve">, 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i"/>
                </m:rPr>
                <m:t>A</m:t>
              </m:r>
              <m:r>
                <m:rPr>
                  <m:sty m:val="i"/>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i"/>
                </m:rPr>
                <m:t>C</m:t>
              </m:r>
              <m:r>
                <m:rPr>
                  <m:sty m:val="i"/>
                </m:rPr>
                <m:t>A</m:t>
              </m:r>
              <m:r>
                <m:rPr>
                  <m:sty m:val="i"/>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d>
            <m:dPr>
              <m:begChr m:val="("/>
              <m:endChr m:val=")"/>
              <m:sepChr m:val=""/>
              <m:grow/>
            </m:dPr>
            <m:e>
              <m:r>
                <m:t>4</m:t>
              </m:r>
            </m:e>
          </m:d>
        </m:oMath>
      </m:oMathPara>
    </w:p>
    <w:p>
      <w:pPr>
        <w:pStyle w:val="FirstParagraph"/>
      </w:pPr>
      <w:r>
        <w:t xml:space="preserve">where</w:t>
      </w:r>
      <w:r>
        <w:t xml:space="preserve"> </w:t>
      </w:r>
      <m:oMath>
        <m:r>
          <m:t>k</m:t>
        </m:r>
        <m:r>
          <m:rPr>
            <m:sty m:val="p"/>
          </m:rPr>
          <m:t>=</m:t>
        </m:r>
        <m:r>
          <m:t>1</m:t>
        </m:r>
        <m:r>
          <m:rPr>
            <m:sty m:val="p"/>
          </m:rPr>
          <m:t>,</m:t>
        </m:r>
        <m:r>
          <m:rPr>
            <m:sty m:val="p"/>
          </m:rPr>
          <m:t>…</m:t>
        </m:r>
        <m:r>
          <m:rPr>
            <m:sty m:val="p"/>
          </m:rPr>
          <m:t>,</m:t>
        </m:r>
        <m:r>
          <m:t>5</m:t>
        </m:r>
      </m:oMath>
      <w:r>
        <w:t xml:space="preserve"> </w:t>
      </w:r>
      <w:r>
        <w:t xml:space="preserve">counts trading days after the event and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We split the day-</w:t>
      </w:r>
      <m:oMath>
        <m:r>
          <m:t>d</m:t>
        </m:r>
        <m:r>
          <m:rPr>
            <m:sty m:val="p"/>
          </m:rPr>
          <m:t>+</m:t>
        </m:r>
        <m:r>
          <m:t>1</m:t>
        </m:r>
      </m:oMath>
      <w:r>
        <w:t xml:space="preserve"> </w:t>
      </w:r>
      <w:r>
        <w:t xml:space="preserve">return into the overnight gap</w:t>
      </w:r>
      <w:r>
        <w:t xml:space="preserve"> </w:t>
      </w:r>
      <m:oMath>
        <m:sSub>
          <m:e>
            <m:r>
              <m:rPr>
                <m:sty m:val="i"/>
              </m:rPr>
              <m:t>G</m:t>
            </m:r>
            <m:r>
              <m:rPr>
                <m:sty m:val="i"/>
              </m:rPr>
              <m:t>A</m:t>
            </m:r>
            <m:r>
              <m:rPr>
                <m:sty m:val="i"/>
              </m:rPr>
              <m:t>P</m:t>
            </m:r>
          </m:e>
          <m:sub>
            <m:r>
              <m:t>i</m:t>
            </m:r>
            <m:r>
              <m:rPr>
                <m:sty m:val="p"/>
              </m:rPr>
              <m:t>,</m:t>
            </m:r>
            <m:r>
              <m:t>d</m:t>
            </m:r>
          </m:sub>
        </m:sSub>
      </m:oMath>
      <w:r>
        <w:t xml:space="preserve"> </w:t>
      </w:r>
      <w:r>
        <w:t xml:space="preserve">and the intraday return</w:t>
      </w:r>
      <w:r>
        <w:t xml:space="preserve"> </w:t>
      </w:r>
      <m:oMath>
        <m:sSub>
          <m:e>
            <m:r>
              <m:rPr>
                <m:sty m:val="i"/>
              </m:rPr>
              <m:t>I</m:t>
            </m:r>
            <m:r>
              <m:rPr>
                <m:sty m:val="i"/>
              </m:rPr>
              <m:t>N</m:t>
            </m:r>
            <m:r>
              <m:rPr>
                <m:sty m:val="i"/>
              </m:rPr>
              <m:t>T</m:t>
            </m:r>
            <m:r>
              <m:rPr>
                <m:sty m:val="i"/>
              </m:rPr>
              <m:t>R</m:t>
            </m:r>
            <m:r>
              <m:rPr>
                <m:sty m:val="i"/>
              </m:rPr>
              <m:t>A</m:t>
            </m:r>
          </m:e>
          <m:sub>
            <m:r>
              <m:t>i</m:t>
            </m:r>
            <m:r>
              <m:rPr>
                <m:sty m:val="p"/>
              </m:rPr>
              <m:t>,</m:t>
            </m:r>
            <m:r>
              <m:t>d</m:t>
            </m:r>
          </m:sub>
        </m:sSub>
      </m:oMath>
      <w:r>
        <w:t xml:space="preserve">,</w:t>
      </w:r>
    </w:p>
    <w:p>
      <w:pPr>
        <w:pStyle w:val="BodyText"/>
      </w:pPr>
      <m:oMathPara>
        <m:oMathParaPr>
          <m:jc m:val="center"/>
        </m:oMathParaPr>
        <m:oMath>
          <m:sSub>
            <m:e>
              <m:r>
                <m:rPr>
                  <m:sty m:val="i"/>
                </m:rPr>
                <m:t>G</m:t>
              </m:r>
              <m:r>
                <m:rPr>
                  <m:sty m:val="i"/>
                </m:rPr>
                <m:t>A</m:t>
              </m:r>
              <m:r>
                <m:rPr>
                  <m:sty m:val="i"/>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i"/>
                </m:rPr>
                <m:t>I</m:t>
              </m:r>
              <m:r>
                <m:rPr>
                  <m:sty m:val="i"/>
                </m:rPr>
                <m:t>N</m:t>
              </m:r>
              <m:r>
                <m:rPr>
                  <m:sty m:val="i"/>
                </m:rPr>
                <m:t>T</m:t>
              </m:r>
              <m:r>
                <m:rPr>
                  <m:sty m:val="i"/>
                </m:rPr>
                <m:t>R</m:t>
              </m:r>
              <m:r>
                <m:rPr>
                  <m:sty m:val="i"/>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i"/>
                    </m:rPr>
                    <m:t>G</m:t>
                  </m:r>
                  <m:r>
                    <m:rPr>
                      <m:sty m:val="i"/>
                    </m:rPr>
                    <m:t>A</m:t>
                  </m:r>
                  <m:r>
                    <m:rPr>
                      <m:sty m:val="i"/>
                    </m:rPr>
                    <m:t>P</m:t>
                  </m:r>
                </m:e>
                <m:sub>
                  <m:r>
                    <m:t>i</m:t>
                  </m:r>
                  <m:r>
                    <m:rPr>
                      <m:sty m:val="p"/>
                    </m:rPr>
                    <m:t>,</m:t>
                  </m:r>
                  <m:r>
                    <m:t>d</m:t>
                  </m:r>
                </m:sub>
              </m:sSub>
            </m:e>
          </m:d>
          <m:d>
            <m:dPr>
              <m:begChr m:val="("/>
              <m:endChr m:val=")"/>
              <m:sepChr m:val=""/>
              <m:grow/>
            </m:dPr>
            <m:e>
              <m:r>
                <m:t>1</m:t>
              </m:r>
              <m:r>
                <m:rPr>
                  <m:sty m:val="p"/>
                </m:rPr>
                <m:t>+</m:t>
              </m:r>
              <m:sSub>
                <m:e>
                  <m:r>
                    <m:rPr>
                      <m:sty m:val="i"/>
                    </m:rPr>
                    <m:t>I</m:t>
                  </m:r>
                  <m:r>
                    <m:rPr>
                      <m:sty m:val="i"/>
                    </m:rPr>
                    <m:t>N</m:t>
                  </m:r>
                  <m:r>
                    <m:rPr>
                      <m:sty m:val="i"/>
                    </m:rPr>
                    <m:t>T</m:t>
                  </m:r>
                  <m:r>
                    <m:rPr>
                      <m:sty m:val="i"/>
                    </m:rPr>
                    <m:t>R</m:t>
                  </m:r>
                  <m:r>
                    <m:rPr>
                      <m:sty m:val="i"/>
                    </m:rPr>
                    <m:t>A</m:t>
                  </m:r>
                </m:e>
                <m:sub>
                  <m:r>
                    <m:t>i</m:t>
                  </m:r>
                  <m:r>
                    <m:rPr>
                      <m:sty m:val="p"/>
                    </m:rPr>
                    <m:t>,</m:t>
                  </m:r>
                  <m:r>
                    <m:t>d</m:t>
                  </m:r>
                </m:sub>
              </m:sSub>
            </m:e>
          </m:d>
          <m:r>
            <m:rPr>
              <m:sty m:val="p"/>
            </m:rPr>
            <m:t>,</m:t>
          </m:r>
          <m:r>
            <m:t>  </m:t>
          </m:r>
          <m:d>
            <m:dPr>
              <m:begChr m:val="("/>
              <m:endChr m:val=")"/>
              <m:sepChr m:val=""/>
              <m:grow/>
            </m:dPr>
            <m:e>
              <m:r>
                <m:t>5</m:t>
              </m:r>
            </m:e>
          </m:d>
        </m:oMath>
      </m:oMathPara>
    </w:p>
    <w:p>
      <w:pPr>
        <w:pStyle w:val="FirstParagraph"/>
      </w:pPr>
      <w:r>
        <w:t xml:space="preserve">and subtract the market counterpart of each component, the same-interval return across stocks weighted with</w:t>
      </w:r>
      <w:r>
        <w:t xml:space="preserve"> </w:t>
      </w:r>
      <m:oMath>
        <m:sSub>
          <m:e>
            <m:r>
              <m:t>w</m:t>
            </m:r>
          </m:e>
          <m:sub>
            <m:r>
              <m:t>j</m:t>
            </m:r>
            <m:r>
              <m:rPr>
                <m:sty m:val="p"/>
              </m:rPr>
              <m:t>,</m:t>
            </m:r>
            <m:r>
              <m:t>d</m:t>
            </m:r>
          </m:sub>
        </m:sSub>
      </m:oMath>
      <w:r>
        <w:t xml:space="preserve">, to obtain abnormal values. Tables 2 to 4 and Figure 2 use these weights, known at the event close, for every interval after the day-</w:t>
      </w:r>
      <m:oMath>
        <m:r>
          <m:t>d</m:t>
        </m:r>
      </m:oMath>
      <w:r>
        <w:t xml:space="preserve"> </w:t>
      </w:r>
      <w:r>
        <w:t xml:space="preserve">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through day</w:t>
      </w:r>
      <w:r>
        <w:t xml:space="preserve"> </w:t>
      </w:r>
      <m:oMath>
        <m:r>
          <m:t>d</m:t>
        </m:r>
        <m:r>
          <m:rPr>
            <m:sty m:val="p"/>
          </m:rPr>
          <m:t>+</m:t>
        </m:r>
        <m:r>
          <m:t>5</m:t>
        </m:r>
      </m:oMath>
      <w:r>
        <w:t xml:space="preserve">, 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w:t>
      </w:r>
      <w:r>
        <w:t xml:space="preserve">over the same interval. The control benchmark replaces the market counterpart with the equal-weighted mean same-interval return of control stocks, those with an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the tercile cut-offs come from the control stocks on that date, and dates with fewer than 30 control stocks have no benchmark.</w:t>
      </w:r>
    </w:p>
    <w:p>
      <w:pPr>
        <w:pStyle w:val="BodyText"/>
      </w:pPr>
      <w:r>
        <w:rPr>
          <w:bCs/>
          <w:b/>
        </w:rPr>
        <w:t xml:space="preserve">Inference.</w:t>
      </w:r>
      <w:r>
        <w:t xml:space="preserve"> </w:t>
      </w:r>
      <w:r>
        <w:t xml:space="preserve">For a sample of</w:t>
      </w:r>
      <w:r>
        <w:t xml:space="preserve"> </w:t>
      </w:r>
      <m:oMath>
        <m:r>
          <m:t>N</m:t>
        </m:r>
      </m:oMath>
      <w:r>
        <w:t xml:space="preserve"> </w:t>
      </w:r>
      <w:r>
        <w:t xml:space="preserve">events</w:t>
      </w:r>
      <w:r>
        <w:t xml:space="preserve"> </w:t>
      </w:r>
      <m:oMath>
        <m:r>
          <m:t>e</m:t>
        </m:r>
        <m:r>
          <m:rPr>
            <m:sty m:val="p"/>
          </m:rPr>
          <m:t>=</m:t>
        </m:r>
        <m:r>
          <m:t>1</m:t>
        </m:r>
        <m:r>
          <m:rPr>
            <m:sty m:val="p"/>
          </m:rPr>
          <m:t>,</m:t>
        </m:r>
        <m:r>
          <m:rPr>
            <m:sty m:val="p"/>
          </m:rPr>
          <m:t>…</m:t>
        </m:r>
        <m:r>
          <m:rPr>
            <m:sty m:val="p"/>
          </m:rPr>
          <m:t>,</m:t>
        </m:r>
        <m:r>
          <m:t>N</m:t>
        </m:r>
      </m:oMath>
      <w:r>
        <w:t xml:space="preserve">, each a stock-day pair</w:t>
      </w:r>
      <w:r>
        <w:t xml:space="preserve"> </w:t>
      </w:r>
      <m:oMath>
        <m:d>
          <m:dPr>
            <m:begChr m:val="("/>
            <m:endChr m:val=")"/>
            <m:sepChr m:val=""/>
            <m:grow/>
          </m:dPr>
          <m:e>
            <m:r>
              <m:t>i</m:t>
            </m:r>
            <m:r>
              <m:rPr>
                <m:sty m:val="p"/>
              </m:rPr>
              <m:t>,</m:t>
            </m:r>
            <m:r>
              <m:t>d</m:t>
            </m:r>
          </m:e>
        </m:d>
      </m:oMath>
      <w:r>
        <w:t xml:space="preserve">, with outcome</w:t>
      </w:r>
      <w:r>
        <w:t xml:space="preserve"> </w:t>
      </w:r>
      <m:oMath>
        <m:sSub>
          <m:e>
            <m:r>
              <m:t>y</m:t>
            </m:r>
          </m:e>
          <m:sub>
            <m:r>
              <m:t>e</m:t>
            </m:r>
          </m:sub>
        </m:sSub>
      </m:oMath>
      <w:r>
        <w:t xml:space="preserve"> </w:t>
      </w:r>
      <w:r>
        <w:t xml:space="preserve">(any return defined above), the mean is</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and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d>
            <m:dPr>
              <m:begChr m:val="("/>
              <m:endChr m:val=")"/>
              <m:sepChr m:val=""/>
              <m:grow/>
            </m:dPr>
            <m:e>
              <m:r>
                <m:t>6</m:t>
              </m:r>
            </m:e>
          </m:d>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We cluster by event date, by calendar week (the ISO week of the event date), and by 10-day block (consecutive blocks of ten trading days). The</w:t>
      </w:r>
      <w:r>
        <w:t xml:space="preserve"> </w:t>
      </w:r>
      <w:r>
        <w:rPr>
          <w:iCs/>
          <w:i/>
        </w:rPr>
        <w:t xml:space="preserve">p</w:t>
      </w:r>
      <w:r>
        <w:t xml:space="preserve">-values with which the four event tests enter the multiple-testing family use Equation (6) with event-date clusters, omit the factor</w:t>
      </w:r>
      <w:r>
        <w:t xml:space="preserve"> </w:t>
      </w:r>
      <m:oMath>
        <m:r>
          <m:t>G</m:t>
        </m:r>
        <m:r>
          <m:rPr>
            <m:sty m:val="p"/>
          </m:rPr>
          <m:t>/</m:t>
        </m:r>
        <m:d>
          <m:dPr>
            <m:begChr m:val="("/>
            <m:endChr m:val=")"/>
            <m:sepChr m:val=""/>
            <m:grow/>
          </m:dPr>
          <m:e>
            <m:r>
              <m:t>G</m:t>
            </m:r>
            <m:r>
              <m:rPr>
                <m:sty m:val="p"/>
              </m:rPr>
              <m:t>−</m:t>
            </m:r>
            <m:r>
              <m:t>1</m:t>
            </m:r>
          </m:e>
        </m:d>
      </m:oMath>
      <w:r>
        <w:t xml:space="preserve">, and take a standard normal reference. The</w:t>
      </w:r>
      <w:r>
        <w:t xml:space="preserve"> </w:t>
      </w:r>
      <w:r>
        <w:rPr>
          <w:iCs/>
          <w:i/>
        </w:rPr>
        <w:t xml:space="preserve">t</w:t>
      </w:r>
      <w:r>
        <w:t xml:space="preserve">-statistics in Table 1 and the Bonferroni bound below include the factor and use a</w:t>
      </w:r>
      <w:r>
        <w:t xml:space="preserve"> </w:t>
      </w:r>
      <w:r>
        <w:rPr>
          <w:iCs/>
          <w:i/>
        </w:rPr>
        <w:t xml:space="preserve">t</w:t>
      </w:r>
      <w:r>
        <w:t xml:space="preserve"> </w:t>
      </w:r>
      <w:r>
        <w:t xml:space="preserve">reference distribution with</w:t>
      </w:r>
      <w:r>
        <w:t xml:space="preserve"> </w:t>
      </w:r>
      <m:oMath>
        <m:r>
          <m:t>G</m:t>
        </m:r>
        <m:r>
          <m:rPr>
            <m:sty m:val="p"/>
          </m:rPr>
          <m:t>−</m:t>
        </m:r>
        <m:r>
          <m:t>1</m:t>
        </m:r>
      </m:oMath>
      <w:r>
        <w:t xml:space="preserve"> </w:t>
      </w:r>
      <w:r>
        <w:t xml:space="preserve">degrees of freedom. Two-way clustering by date and stock sets the variance to the date-clustered variance plus the stock-clustered variance minus the heteroskedasticity-robust variance</w:t>
      </w:r>
      <w:r>
        <w:t xml:space="preserve"> </w:t>
      </w:r>
      <m:oMath>
        <m:sSup>
          <m:e>
            <m:r>
              <m:t>N</m:t>
            </m:r>
          </m:e>
          <m:sup>
            <m:r>
              <m:rPr>
                <m:sty m:val="p"/>
              </m:rPr>
              <m:t>−</m:t>
            </m:r>
            <m:r>
              <m:t>2</m:t>
            </m:r>
          </m:sup>
        </m:sSup>
        <m:nary>
          <m:naryPr>
            <m:chr m:val="∑"/>
            <m:limLoc m:val="undOvr"/>
            <m:subHide m:val="off"/>
            <m:supHide m:val="on"/>
          </m:naryPr>
          <m:sub>
            <m:r>
              <m:t>e</m:t>
            </m:r>
          </m:sub>
          <m:sup>
            <m:r>
              <m:t>​</m:t>
            </m:r>
          </m:sup>
          <m:e>
            <m:sSup>
              <m:e>
                <m:d>
                  <m:dPr>
                    <m:begChr m:val="("/>
                    <m:endChr m:val=")"/>
                    <m:sepChr m:val=""/>
                    <m:grow/>
                  </m:dPr>
                  <m:e>
                    <m:sSub>
                      <m:e>
                        <m:r>
                          <m:t>y</m:t>
                        </m:r>
                      </m:e>
                      <m:sub>
                        <m:r>
                          <m:t>e</m:t>
                        </m:r>
                      </m:sub>
                    </m:sSub>
                    <m:r>
                      <m:rPr>
                        <m:sty m:val="p"/>
                      </m:rPr>
                      <m:t>−</m:t>
                    </m:r>
                    <m:bar>
                      <m:barPr>
                        <m:pos m:val="top"/>
                      </m:barPr>
                      <m:e>
                        <m:r>
                          <m:t>y</m:t>
                        </m:r>
                      </m:e>
                    </m:bar>
                  </m:e>
                </m:d>
              </m:e>
              <m:sup>
                <m:r>
                  <m:t>2</m:t>
                </m:r>
              </m:sup>
            </m:sSup>
          </m:e>
        </m:nary>
      </m:oMath>
      <w:r>
        <w:t xml:space="preserve">, each without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with the sum bounded below at</w:t>
      </w:r>
      <w:r>
        <w:t xml:space="preserve"> </w:t>
      </w:r>
      <m:oMath>
        <m:sSup>
          <m:e>
            <m:r>
              <m:t>10</m:t>
            </m:r>
          </m:e>
          <m:sup>
            <m:r>
              <m:rPr>
                <m:sty m:val="p"/>
              </m:rPr>
              <m:t>−</m:t>
            </m:r>
            <m:r>
              <m:t>12</m:t>
            </m:r>
          </m:sup>
        </m:sSup>
      </m:oMath>
      <w:r>
        <w:t xml:space="preserve"> </w:t>
      </w:r>
      <w:r>
        <w:t xml:space="preserve">(Cameron et al., 2011). To compare limit closes with near-limit moves, we regress</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w:t>
      </w:r>
      <w:r>
        <w:t xml:space="preserve"> </w:t>
      </w:r>
      <m:oMath>
        <m:sSub>
          <m:e>
            <m:r>
              <m:t>D</m:t>
            </m:r>
          </m:e>
          <m:sub>
            <m:r>
              <m:t>e</m:t>
            </m:r>
          </m:sub>
        </m:sSub>
        <m:r>
          <m:rPr>
            <m:sty m:val="p"/>
          </m:rPr>
          <m:t>=</m:t>
        </m:r>
        <m:r>
          <m:t>0</m:t>
        </m:r>
      </m:oMath>
      <w:r>
        <w:t xml:space="preserve"> </w:t>
      </w:r>
      <w:r>
        <w:t xml:space="preserve">for the comparison group, and</w:t>
      </w:r>
      <w:r>
        <w:t xml:space="preserve"> </w:t>
      </w:r>
      <m:oMath>
        <m:sSub>
          <m:e>
            <m:r>
              <m:t>u</m:t>
            </m:r>
          </m:e>
          <m:sub>
            <m:r>
              <m:t>e</m:t>
            </m:r>
          </m:sub>
        </m:sSub>
      </m:oMath>
      <w:r>
        <w:t xml:space="preserve"> </w:t>
      </w:r>
      <w:r>
        <w:t xml:space="preserve">is the error term. We cluster the standard error of</w:t>
      </w:r>
      <w:r>
        <w:t xml:space="preserve"> </w:t>
      </w:r>
      <m:oMath>
        <m:acc>
          <m:accPr>
            <m:chr m:val="̂"/>
          </m:accPr>
          <m:e>
            <m:r>
              <m:t>β</m:t>
            </m:r>
          </m:e>
        </m:acc>
      </m:oMath>
      <w:r>
        <w:t xml:space="preserve"> </w:t>
      </w:r>
      <w:r>
        <w:t xml:space="preserve">by event date with the small-sample factor</w:t>
      </w:r>
      <w:r>
        <w:t xml:space="preserve"> </w:t>
      </w:r>
      <m:oMath>
        <m:r>
          <m:t>G</m:t>
        </m:r>
        <m:r>
          <m:rPr>
            <m:sty m:val="p"/>
          </m:rPr>
          <m:t>/</m:t>
        </m:r>
        <m:d>
          <m:dPr>
            <m:begChr m:val="("/>
            <m:endChr m:val=")"/>
            <m:sepChr m:val=""/>
            <m:grow/>
          </m:dPr>
          <m:e>
            <m:r>
              <m:t>G</m:t>
            </m:r>
            <m:r>
              <m:rPr>
                <m:sty m:val="p"/>
              </m:rPr>
              <m:t>−</m:t>
            </m:r>
            <m:r>
              <m:t>1</m:t>
            </m:r>
          </m:e>
        </m:d>
        <m:r>
          <m:rPr>
            <m:sty m:val="p"/>
          </m:rPr>
          <m:t>⋅</m:t>
        </m:r>
        <m:d>
          <m:dPr>
            <m:begChr m:val="("/>
            <m:endChr m:val=")"/>
            <m:sepChr m:val=""/>
            <m:grow/>
          </m:dPr>
          <m:e>
            <m:r>
              <m:t>N</m:t>
            </m:r>
            <m:r>
              <m:rPr>
                <m:sty m:val="p"/>
              </m:rPr>
              <m:t>−</m:t>
            </m:r>
            <m:r>
              <m:t>1</m:t>
            </m:r>
          </m:e>
        </m:d>
        <m:r>
          <m:rPr>
            <m:sty m:val="p"/>
          </m:rPr>
          <m:t>/</m:t>
        </m:r>
        <m:d>
          <m:dPr>
            <m:begChr m:val="("/>
            <m:endChr m:val=")"/>
            <m:sepChr m:val=""/>
            <m:grow/>
          </m:dPr>
          <m:e>
            <m:r>
              <m:t>N</m:t>
            </m:r>
            <m:r>
              <m:rPr>
                <m:sty m:val="p"/>
              </m:rPr>
              <m:t>−</m:t>
            </m:r>
            <m:r>
              <m:t>2</m:t>
            </m:r>
          </m:e>
        </m:d>
      </m:oMath>
      <w:r>
        <w:t xml:space="preserve">, where</w:t>
      </w:r>
      <w:r>
        <w:t xml:space="preserve"> </w:t>
      </w:r>
      <m:oMath>
        <m:r>
          <m:t>N</m:t>
        </m:r>
      </m:oMath>
      <w:r>
        <w:t xml:space="preserve"> </w:t>
      </w:r>
      <w:r>
        <w:t xml:space="preserve">and</w:t>
      </w:r>
      <w:r>
        <w:t xml:space="preserve"> </w:t>
      </w:r>
      <m:oMath>
        <m:r>
          <m:t>G</m:t>
        </m:r>
      </m:oMath>
      <w:r>
        <w:t xml:space="preserve"> </w:t>
      </w:r>
      <w:r>
        <w:t xml:space="preserve">now count the stock-days and dates in the regression sample (the HC1 option of the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every five trading days, on trading days 120, 125, and so on to day 510, which gives</w:t>
      </w:r>
      <w:r>
        <w:t xml:space="preserve"> </w:t>
      </w:r>
      <m:oMath>
        <m:r>
          <m:t>T</m:t>
        </m:r>
        <m:r>
          <m:rPr>
            <m:sty m:val="p"/>
          </m:rPr>
          <m:t>=</m:t>
        </m:r>
        <m:r>
          <m:t>79</m:t>
        </m:r>
      </m:oMath>
      <w:r>
        <w:t xml:space="preserve"> </w:t>
      </w:r>
      <w:r>
        <w:t xml:space="preserve">formation dates that we call weeks</w:t>
      </w:r>
      <w:r>
        <w:t xml:space="preserve"> </w:t>
      </w:r>
      <m:oMath>
        <m:r>
          <m:t>τ</m:t>
        </m:r>
        <m:r>
          <m:rPr>
            <m:sty m:val="p"/>
          </m:rPr>
          <m:t>=</m:t>
        </m:r>
        <m:r>
          <m:t>1</m:t>
        </m:r>
        <m:r>
          <m:rPr>
            <m:sty m:val="p"/>
          </m:rPr>
          <m:t>,</m:t>
        </m:r>
        <m:r>
          <m:rPr>
            <m:sty m:val="p"/>
          </m:rPr>
          <m:t>…</m:t>
        </m:r>
        <m:r>
          <m:rPr>
            <m:sty m:val="p"/>
          </m:rPr>
          <m:t>,</m:t>
        </m:r>
        <m:r>
          <m:t>T</m:t>
        </m:r>
      </m:oMath>
      <w:r>
        <w:t xml:space="preserve"> </w:t>
      </w:r>
      <w:r>
        <w:t xml:space="preserve">(they differ from the calendar weeks used for clustering), each followed by a non-overlapping five-day holding period. The first formation date is the 120th trading day, so that every lookback is complete. At the end of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returns, opens, and closes on all 115 days of the longest lookback, which includes the formation day; trades on at least 50 of the last 60 days; and returns on the next five days. With ties at average ranks, the score is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where</w:t>
      </w:r>
      <w:r>
        <w:t xml:space="preserve"> </w:t>
      </w:r>
      <m:oMath>
        <m:sSup>
          <m:e>
            <m:r>
              <m:t>Φ</m:t>
            </m:r>
          </m:e>
          <m:sup>
            <m:r>
              <m:rPr>
                <m:sty m:val="p"/>
              </m:rPr>
              <m:t>−</m:t>
            </m:r>
            <m:r>
              <m:t>1</m:t>
            </m:r>
          </m:sup>
        </m:sSup>
      </m:oMath>
      <w:r>
        <w:t xml:space="preserve"> </w:t>
      </w:r>
      <w:r>
        <w:t xml:space="preserve">is the inverse standard normal distribution function. The outcome</w:t>
      </w:r>
      <w:r>
        <w:t xml:space="preserve"> </w:t>
      </w:r>
      <m:oMath>
        <m:sSub>
          <m:e>
            <m:r>
              <m:t>y</m:t>
            </m:r>
          </m:e>
          <m:sub>
            <m:r>
              <m:t>i</m:t>
            </m:r>
            <m:r>
              <m:rPr>
                <m:sty m:val="p"/>
              </m:rPr>
              <m:t>,</m:t>
            </m:r>
            <m:r>
              <m:t>τ</m:t>
            </m:r>
          </m:sub>
        </m:sSub>
      </m:oMath>
      <w:r>
        <w:t xml:space="preserve"> </w:t>
      </w:r>
      <w:r>
        <w:t xml:space="preserve">is the compounded return of stock</w:t>
      </w:r>
      <w:r>
        <w:t xml:space="preserve"> </w:t>
      </w:r>
      <m:oMath>
        <m:r>
          <m:t>i</m:t>
        </m:r>
      </m:oMath>
      <w:r>
        <w:t xml:space="preserve"> </w:t>
      </w:r>
      <w:r>
        <w:t xml:space="preserve">over the next five trading days minus the average of the same five-day returns across these stocks, weighted by</w:t>
      </w:r>
      <w:r>
        <w:t xml:space="preserve"> </w:t>
      </w:r>
      <m:oMath>
        <m:bar>
          <m:barPr>
            <m:pos m:val="top"/>
          </m:barPr>
          <m:e>
            <m:r>
              <m:t>V</m:t>
            </m:r>
          </m:e>
        </m:bar>
      </m:oMath>
      <w:r>
        <w:t xml:space="preserve"> </w:t>
      </w:r>
      <w:r>
        <w:t xml:space="preserve">at the end of the week. We run Fama and MacBeth (1973) regressions of</w:t>
      </w:r>
      <w:r>
        <w:t xml:space="preserve"> </w:t>
      </w:r>
      <m:oMath>
        <m:sSub>
          <m:e>
            <m:r>
              <m:t>y</m:t>
            </m:r>
          </m:e>
          <m:sub>
            <m:r>
              <m:t>i</m:t>
            </m:r>
            <m:r>
              <m:rPr>
                <m:sty m:val="p"/>
              </m:rPr>
              <m:t>,</m:t>
            </m:r>
            <m:r>
              <m:t>τ</m:t>
            </m:r>
          </m:sub>
        </m:sSub>
      </m:oMath>
      <w:r>
        <w:t xml:space="preserve"> </w:t>
      </w:r>
      <w:r>
        <w:t xml:space="preserve">on</w:t>
      </w:r>
      <w:r>
        <w:t xml:space="preserve"> </w:t>
      </w:r>
      <m:oMath>
        <m:sSub>
          <m:e>
            <m:r>
              <m:t>z</m:t>
            </m:r>
          </m:e>
          <m:sub>
            <m:r>
              <m:t>i</m:t>
            </m:r>
            <m:r>
              <m:rPr>
                <m:sty m:val="p"/>
              </m:rPr>
              <m:t>,</m:t>
            </m:r>
            <m:r>
              <m:t>τ</m:t>
            </m:r>
          </m:sub>
        </m:sSub>
      </m:oMath>
      <w:r>
        <w:t xml:space="preserv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d>
            <m:dPr>
              <m:begChr m:val="("/>
              <m:endChr m:val=")"/>
              <m:sepChr m:val=""/>
              <m:grow/>
            </m:dPr>
            <m:e>
              <m:r>
                <m:t>7</m:t>
              </m:r>
            </m:e>
          </m:d>
        </m:oMath>
      </m:oMathPara>
    </w:p>
    <w:p>
      <w:pPr>
        <w:pStyle w:val="FirstParagraph"/>
      </w:pPr>
      <w:r>
        <w:t xml:space="preserve">where</w:t>
      </w:r>
      <w:r>
        <w:t xml:space="preserve"> </w:t>
      </w:r>
      <m:oMath>
        <m:sSub>
          <m:e>
            <m:r>
              <m:t>a</m:t>
            </m:r>
          </m:e>
          <m:sub>
            <m:r>
              <m:t>τ</m:t>
            </m:r>
          </m:sub>
        </m:sSub>
      </m:oMath>
      <w:r>
        <w:t xml:space="preserve"> </w:t>
      </w:r>
      <w:r>
        <w:t xml:space="preserve">is the weekly intercept and</w:t>
      </w:r>
      <w:r>
        <w:t xml:space="preserve"> </w:t>
      </w:r>
      <m:oMath>
        <m:sSub>
          <m:e>
            <m:r>
              <m:t>ε</m:t>
            </m:r>
          </m:e>
          <m:sub>
            <m:r>
              <m:t>i</m:t>
            </m:r>
            <m:r>
              <m:rPr>
                <m:sty m:val="p"/>
              </m:rPr>
              <m:t>,</m:t>
            </m:r>
            <m:r>
              <m:t>τ</m:t>
            </m:r>
          </m:sub>
        </m:sSub>
      </m:oMath>
      <w:r>
        <w:t xml:space="preserve"> </w:t>
      </w:r>
      <w:r>
        <w:t xml:space="preserve">the residual. We compute the</w:t>
      </w:r>
      <w:r>
        <w:t xml:space="preserve"> </w:t>
      </w:r>
      <w:r>
        <w:rPr>
          <w:iCs/>
          <w:i/>
        </w:rPr>
        <w:t xml:space="preserve">t</w:t>
      </w:r>
      <w:r>
        <w:t xml:space="preserve">-statistic of</w:t>
      </w:r>
      <w:r>
        <w:t xml:space="preserve"> </w:t>
      </w:r>
      <m:oMath>
        <m:acc>
          <m:accPr>
            <m:chr m:val="̂"/>
          </m:accPr>
          <m:e>
            <m:r>
              <m:t>γ</m:t>
            </m:r>
          </m:e>
        </m:acc>
      </m:oMath>
      <w:r>
        <w:t xml:space="preserve"> </w:t>
      </w:r>
      <w:r>
        <w:t xml:space="preserve">with Newey and West (1987) standard errors with four lags, Bartlett weights, and no prewhitening, and its</w:t>
      </w:r>
      <w:r>
        <w:t xml:space="preserve"> </w:t>
      </w:r>
      <w:r>
        <w:rPr>
          <w:iCs/>
          <w:i/>
        </w:rPr>
        <w:t xml:space="preserve">p</w:t>
      </w:r>
      <w:r>
        <w:t xml:space="preserve">-value from a</w:t>
      </w:r>
      <w:r>
        <w:t xml:space="preserve"> </w:t>
      </w:r>
      <w:r>
        <w:rPr>
          <w:iCs/>
          <w:i/>
        </w:rPr>
        <w:t xml:space="preserve">t</w:t>
      </w:r>
      <w:r>
        <w:t xml:space="preserve"> </w:t>
      </w:r>
      <w:r>
        <w:t xml:space="preserve">distribution with</w:t>
      </w:r>
      <w:r>
        <w:t xml:space="preserve"> </w:t>
      </w:r>
      <m:oMath>
        <m:r>
          <m:t>T</m:t>
        </m:r>
        <m:r>
          <m:rPr>
            <m:sty m:val="p"/>
          </m:rPr>
          <m:t>−</m:t>
        </m:r>
        <m:r>
          <m:t>1</m:t>
        </m:r>
        <m:r>
          <m:rPr>
            <m:sty m:val="p"/>
          </m:rPr>
          <m:t>=</m:t>
        </m:r>
        <m:r>
          <m:t>78</m:t>
        </m:r>
      </m:oMath>
      <w:r>
        <w:t xml:space="preserve"> </w:t>
      </w:r>
      <w:r>
        <w:t xml:space="preserve">degrees of freedom. The characteristics cover momentum and reversal (5-day, 20-day, 3-month, 6-month, and idiosyncratic momentum), risk (volatility, idiosyncratic volatility, beta, downside deviation, Parkinson (1980) range volatility, the maximum daily return (MAX; Bali et al., 2011), the minimum daily return (MIN), skewness, and kurtosis), liquidity and volume (Amihud (2002) illiquidity, log dollar volume, dollar-volume and volume ratios, and the Corwin and Schultz (2012) spread), and intraday behavior (mean overnight return, mean intraday return, and the frequency of moves of 6.5% or more). Appendix A defines all 22 characteristics and their lookback windows. We also report the long–short return spread between the extreme quintiles of each characteristic, before and after a cost of 25 basis points per unit of traded value. The minimum detectable effect (MDE) on</w:t>
      </w:r>
      <w:r>
        <w:t xml:space="preserve"> </w:t>
      </w:r>
      <m:oMath>
        <m:acc>
          <m:accPr>
            <m:chr m:val="̂"/>
          </m:accPr>
          <m:e>
            <m:r>
              <m:t>γ</m:t>
            </m:r>
          </m:e>
        </m:acc>
      </m:oMath>
      <w:r>
        <w:t xml:space="preserve"> </w:t>
      </w:r>
      <w:r>
        <w:t xml:space="preserve">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where</w:t>
      </w:r>
      <w:r>
        <w:t xml:space="preserve"> </w:t>
      </w:r>
      <m:oMath>
        <m:acc>
          <m:accPr>
            <m:chr m:val="̂"/>
          </m:accPr>
          <m:e>
            <m:r>
              <m:rPr>
                <m:nor/>
                <m:sty m:val="p"/>
              </m:rPr>
              <m:t>SE</m:t>
            </m:r>
          </m:e>
        </m:acc>
      </m:oMath>
      <w:r>
        <w:t xml:space="preserve"> </w:t>
      </w:r>
      <w:r>
        <w:t xml:space="preserve">is 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Order the</w:t>
      </w:r>
      <w:r>
        <w:t xml:space="preserve"> </w:t>
      </w:r>
      <w:r>
        <w:rPr>
          <w:iCs/>
          <w:i/>
        </w:rPr>
        <w:t xml:space="preserve">p</w:t>
      </w:r>
      <w:r>
        <w:t xml:space="preserve">-values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For rank</w:t>
      </w:r>
      <w:r>
        <w:t xml:space="preserve"> </w:t>
      </w:r>
      <m:oMath>
        <m:r>
          <m:t>r</m:t>
        </m:r>
        <m:r>
          <m:rPr>
            <m:sty m:val="p"/>
          </m:rPr>
          <m:t>=</m:t>
        </m:r>
        <m:r>
          <m:t>1</m:t>
        </m:r>
        <m:r>
          <m:rPr>
            <m:sty m:val="p"/>
          </m:rPr>
          <m:t>,</m:t>
        </m:r>
        <m:r>
          <m:rPr>
            <m:sty m:val="p"/>
          </m:rPr>
          <m:t>…</m:t>
        </m:r>
        <m:r>
          <m:rPr>
            <m:sty m:val="p"/>
          </m:rPr>
          <m:t>,</m:t>
        </m:r>
        <m:r>
          <m:t>m</m:t>
        </m:r>
      </m:oMath>
      <w:r>
        <w:t xml:space="preserve">, the Benjamini–Hochberg (BH) adjusted</w:t>
      </w:r>
      <w:r>
        <w:t xml:space="preserve"> </w:t>
      </w:r>
      <w:r>
        <w:rPr>
          <w:iCs/>
          <w:i/>
        </w:rPr>
        <w:t xml:space="preserve">p</w:t>
      </w:r>
      <w:r>
        <w:t xml:space="preserve">-value 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d>
            <m:dPr>
              <m:begChr m:val="("/>
              <m:endChr m:val=")"/>
              <m:sepChr m:val=""/>
              <m:grow/>
            </m:dPr>
            <m:e>
              <m:r>
                <m:t>8</m:t>
              </m:r>
            </m:e>
          </m:d>
        </m:oMath>
      </m:oMathPara>
    </w:p>
    <w:p>
      <w:pPr>
        <w:pStyle w:val="FirstParagraph"/>
      </w:pPr>
      <w:r>
        <w:t xml:space="preserve">and we also report Holm (1979) adjustments and the hurdle of |</w:t>
      </w:r>
      <w:r>
        <w:rPr>
          <w:iCs/>
          <w:i/>
        </w:rPr>
        <w:t xml:space="preserve">t</w:t>
      </w:r>
      <w:r>
        <w:t xml:space="preserve">| = 3 of Harvey et al. (2016). A test survives if three conditions hold:</w:t>
      </w:r>
      <w:r>
        <w:t xml:space="preserve"> </w:t>
      </w:r>
      <m:oMath>
        <m:acc>
          <m:accPr>
            <m:chr m:val="̃"/>
          </m:accPr>
          <m:e>
            <m:r>
              <m:t>p</m:t>
            </m:r>
          </m:e>
        </m:acc>
        <m:r>
          <m:rPr>
            <m:sty m:val="p"/>
          </m:rPr>
          <m:t>&lt;</m:t>
        </m:r>
        <m:r>
          <m:t>0.05</m:t>
        </m:r>
      </m:oMath>
      <w:r>
        <w:t xml:space="preserve">, which controls the FDR at 5%; the signs in the discovery half (the first 39 weeks for characteristics, events up to the median event date for events) and in the confirmation half agree; and the confirmation-half |</w:t>
      </w:r>
      <w:r>
        <w:rPr>
          <w:iCs/>
          <w:i/>
        </w:rPr>
        <w:t xml:space="preserve">t</w:t>
      </w:r>
      <w:r>
        <w:t xml:space="preserve">| exceeds 1.96. Lookbacks overlap the discovery half, so the confirmation half is not a strict hold-out. Under a Bonferroni correction at 5%, all four event tests survive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where</w:t>
      </w:r>
      <w:r>
        <w:t xml:space="preserve"> </w:t>
      </w:r>
      <m:oMath>
        <m:sSub>
          <m:e>
            <m:r>
              <m:t>p</m:t>
            </m:r>
          </m:e>
          <m:sub>
            <m:r>
              <m:rPr>
                <m:nor/>
                <m:sty m:val="p"/>
              </m:rPr>
              <m:t>max</m:t>
            </m:r>
          </m:sub>
        </m:sSub>
      </m:oMath>
      <w:r>
        <w:t xml:space="preserve"> </w:t>
      </w:r>
      <w:r>
        <w:t xml:space="preserve">is the largest of the four event-test</w:t>
      </w:r>
      <w:r>
        <w:t xml:space="preserve"> </w:t>
      </w:r>
      <w:r>
        <w:rPr>
          <w:iCs/>
          <w:i/>
        </w:rPr>
        <w:t xml:space="preserve">p</w:t>
      </w:r>
      <w:r>
        <w:t xml:space="preserve">-values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separately for event-date and calendar-week clusters. The weekly regressions start on the 120th trading day and the event window on the 61st, so the two parts of the family cover different spans.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shows that the plan predates the first analysis code, but no external registry holds it, and we had examined related data in earlier work, so the plan gives no independent confirmation. We departed from the plan in four ways. The plan was ambiguous about the second horizon (days</w:t>
      </w:r>
      <w:r>
        <w:t xml:space="preserve"> </w:t>
      </w:r>
      <w:r>
        <w:rPr>
          <w:iCs/>
          <w:i/>
        </w:rPr>
        <w:t xml:space="preserve">d</w:t>
      </w:r>
      <w:r>
        <w:t xml:space="preserve">+2 to</w:t>
      </w:r>
      <w:r>
        <w:t xml:space="preserve"> </w:t>
      </w:r>
      <w:r>
        <w:rPr>
          <w:iCs/>
          <w:i/>
        </w:rPr>
        <w:t xml:space="preserve">d</w:t>
      </w:r>
      <w:r>
        <w:t xml:space="preserve">+5 or</w:t>
      </w:r>
      <w:r>
        <w:t xml:space="preserve"> </w:t>
      </w:r>
      <w:r>
        <w:rPr>
          <w:iCs/>
          <w:i/>
        </w:rPr>
        <w:t xml:space="preserve">d</w:t>
      </w:r>
      <w:r>
        <w:t xml:space="preserve">+1 to</w:t>
      </w:r>
      <w:r>
        <w:t xml:space="preserve"> </w:t>
      </w:r>
      <w:r>
        <w:rPr>
          <w:iCs/>
          <w:i/>
        </w:rPr>
        <w:t xml:space="preserve">d</w:t>
      </w:r>
      <w:r>
        <w:t xml:space="preserve">+5), and we implemented the second reading. We split the event half-samples at the median event date instead of at weeks 39 and 40. We report quintile spreads instead of deciles. We did not run the plan’s same-stock control and multivariate model. Analyses added after the first results are exploratory: the decomposition, the next-open returns, the control group, the comparison with sub-limit moves, exact hits, two-way clustering, subsamples, the volume and prior-return terciles, the platform-change split, and the outlier exclusion. The tests of H</w:t>
      </w:r>
      <w:r>
        <w:rPr>
          <w:vertAlign w:val="subscript"/>
        </w:rPr>
        <w:t xml:space="preserve">2</w:t>
      </w:r>
      <w:r>
        <w:t xml:space="preserve"> </w:t>
      </w:r>
      <w:r>
        <w:t xml:space="preserve">to H</w:t>
      </w:r>
      <w:r>
        <w:rPr>
          <w:vertAlign w:val="subscript"/>
        </w:rPr>
        <w:t xml:space="preserve">4</w:t>
      </w:r>
      <w:r>
        <w:t xml:space="preserve"> </w:t>
      </w:r>
      <w:r>
        <w:t xml:space="preserve">therefore rest on exploratory analyses. We also screened several candidate ideas on the same data before choosing this one, so effect-size estimates may overstate the true effect.</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so limit closes cluster in market episodes, and we report standard errors that allow for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Volatility has</w:t>
      </w:r>
      <w:r>
        <w:t xml:space="preserve"> </w:t>
      </w:r>
      <w:r>
        <w:rPr>
          <w:iCs/>
          <w:i/>
        </w:rPr>
        <w:t xml:space="preserve">t</w:t>
      </w:r>
      <w:r>
        <w:t xml:space="preserve"> </w:t>
      </w:r>
      <w:r>
        <w:t xml:space="preserve">= −0.09, idiosyncratic volatility −0.54, and MAX −0.02. After a cost of 25 basis points per unit of traded value, 18 of the 22 long–short quintile spreads are negative. Power is limited: with 79 weekly cross-sections, the MDE at 80% power is 0.12 to 0.31 percentage points per week per standard deviation, and no characteristic reaches |</w:t>
      </w:r>
      <w:r>
        <w:rPr>
          <w:iCs/>
          <w:i/>
        </w:rPr>
        <w:t xml:space="preserve">t</w:t>
      </w:r>
      <w:r>
        <w:t xml:space="preserve">| = 3 with eight Newey–West lags (largest |</w:t>
      </w:r>
      <w:r>
        <w:rPr>
          <w:iCs/>
          <w:i/>
        </w:rPr>
        <w:t xml:space="preserve">t</w:t>
      </w:r>
      <w:r>
        <w:t xml:space="preserve">| 1.79). The null excludes only large effects. Dropping the least liquid 20% of stocks leaves the largest |</w:t>
      </w:r>
      <w:r>
        <w:rPr>
          <w:iCs/>
          <w:i/>
        </w:rPr>
        <w:t xml:space="preserve">t</w:t>
      </w:r>
      <w:r>
        <w:t xml:space="preserve">| at 1.62.</w:t>
      </w:r>
    </w:p>
    <w:p>
      <w:pPr>
        <w:pStyle w:val="BodyText"/>
      </w:pPr>
      <w:r>
        <w:t xml:space="preserve">The hurdles of Harvey et al. (2016) and Chordia et al. (2020) and the replication failures in Hou et al. (2020) predict few survivors; here no characteristic reaches 1.96 in the full sample. Huang et al. (2023) find a size effect and an earnings-to-price effect in Vietnam, but our files contain no market capitalization or accounting data, so we cannot test those two signals and our null does not contradict theirs. Two features of the setting can produce the null. The sample is short, so a premium of a tenth of a percentage point per week stays below the MDE, and daily limits censor the highs and lows that range-based characteristics use. We cannot tell these explanations apart and draw no conclusion about market efficiency from the null.</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Labels: REV1W and REV1M, 5-day and 20-day returns; MOM3M and MOM6M, 3- and 6-month momentum; IMOM, idiosyncratic momentum; VOL and IVOL, total and idiosyncratic volatility; BETA, market beta; DOWNVOL, downside deviation; RANGEVOL, Parkinson range volatility; MAX and MIN, maximum and minimum daily return; SKEW and KURT, skewness and kurtosis; AMIHUD, Amihud illiquidity; LNDVOL, log dollar volume; DVOLCHG and TURNCHG, dollar-volume and volume ratios; CSSPREAD, Corwin and Schultz spread; OVERNIGHT and INTRADAY, mean overnight and intraday returns; LIMITFREQ, frequency of moves of 6.5% or more. Dashed lines mark |t| = 1.96 and dotted lines mark |t| = 3. Characteristics are ordered by absolute full-sample t."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Labels: REV1W and REV1M, 5-day and 20-day returns; MOM3M and MOM6M, 3- and 6-month momentum; IMOM, idiosyncratic momentum; VOL and IVOL, total and idiosyncratic volatility; BETA, market beta; DOWNVOL, downside deviation; RANGEVOL, Parkinson range volatility; MAX and MIN, maximum and minimum daily return; SKEW and KURT, skewness and kurtosis; AMIHUD, Amihud illiquidity; LNDVOL, log dollar volume; DVOLCHG and TURNCHG, dollar-volume and volume ratios; CSSPREAD, Corwin and Schultz spread; OVERNIGHT and INTRADAY, mean overnight and intraday returns; LIMITFREQ, frequency of moves of 6.5% or more. Dashed lines mark |</w:t>
      </w:r>
      <w:r>
        <w:rPr>
          <w:iCs/>
          <w:i/>
          <w:sz w:val="19"/>
        </w:rPr>
        <w:t xml:space="preserve">t</w:t>
      </w:r>
      <w:r>
        <w:rPr>
          <w:sz w:val="19"/>
        </w:rPr>
        <w:t xml:space="preserve">| = 1.96 and dotted lines mark |</w:t>
      </w:r>
      <w:r>
        <w:rPr>
          <w:iCs/>
          <w:i/>
          <w:sz w:val="19"/>
        </w:rPr>
        <w:t xml:space="preserve">t</w:t>
      </w:r>
      <w:r>
        <w:rPr>
          <w:sz w:val="19"/>
        </w:rPr>
        <w:t xml:space="preserve">| = 3. Characteristics are ordered by absolute full-sample</w:t>
      </w:r>
      <w:r>
        <w:rPr>
          <w:sz w:val="19"/>
        </w:rPr>
        <w:t xml:space="preserve"> </w:t>
      </w:r>
      <w:r>
        <w:rPr>
          <w:iCs/>
          <w:i/>
          <w:sz w:val="19"/>
        </w:rPr>
        <w:t xml:space="preserve">t</w:t>
      </w:r>
      <w:r>
        <w:rPr>
          <w:sz w:val="19"/>
        </w:rPr>
        <w:t xml:space="preserve">.</w:t>
      </w:r>
    </w:p>
    <w:p>
      <w:pPr>
        <w:pStyle w:val="BodyText"/>
      </w:pPr>
      <w:r>
        <w:t xml:space="preserve">Table 1 reports the event tests. Stocks that close at the ceiling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Stocks that close at the floor earn −0.71% and −1.76%. All four tests survive the BH control (Equation (8); adjusted</w:t>
      </w:r>
      <w:r>
        <w:t xml:space="preserve"> </w:t>
      </w:r>
      <w:r>
        <w:rPr>
          <w:iCs/>
          <w:i/>
        </w:rPr>
        <w:t xml:space="preserve">p</w:t>
      </w:r>
      <w:r>
        <w:t xml:space="preserve">-values of at most 0.0004). They keep their signs in both halves, and the confirmation-half |</w:t>
      </w:r>
      <w:r>
        <w:rPr>
          <w:iCs/>
          <w:i/>
        </w:rPr>
        <w:t xml:space="preserve">t</w:t>
      </w:r>
      <w:r>
        <w:t xml:space="preserve">| exceeds 1.96. Clustering by calendar week or 10-day block, with a</w:t>
      </w:r>
      <w:r>
        <w:t xml:space="preserve"> </w:t>
      </w:r>
      <w:r>
        <w:rPr>
          <w:iCs/>
          <w:i/>
        </w:rPr>
        <w:t xml:space="preserve">t</w:t>
      </w:r>
      <w:r>
        <w:t xml:space="preserve"> </w:t>
      </w:r>
      <w:r>
        <w:t xml:space="preserve">reference distribution,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If the second horizon were days</w:t>
      </w:r>
      <w:r>
        <w:t xml:space="preserve"> </w:t>
      </w:r>
      <w:r>
        <w:rPr>
          <w:iCs/>
          <w:i/>
        </w:rPr>
        <w:t xml:space="preserve">d</w:t>
      </w:r>
      <w:r>
        <w:t xml:space="preserve">+2 to</w:t>
      </w:r>
      <w:r>
        <w:t xml:space="preserve"> </w:t>
      </w:r>
      <w:r>
        <w:rPr>
          <w:iCs/>
          <w:i/>
        </w:rPr>
        <w:t xml:space="preserve">d</w:t>
      </w:r>
      <w:r>
        <w:t xml:space="preserve">+5, the ceiling test would fail and the floor test would fail the confirmation criterion. Ceiling closes carry a one-day effect; floor closes carry a one-day effect plus some later drift. The ceiling result fits the delayed price discovery that Kim and Rhee (1997) find support for in Tokyo, because the abnormal return arrives after the limit day. These tests support H</w:t>
      </w:r>
      <w:r>
        <w:rPr>
          <w:vertAlign w:val="subscript"/>
        </w:rPr>
        <w:t xml:space="preserve">1</w:t>
      </w:r>
      <w:r>
        <w:t xml:space="preserve">: limit closes predict the next day’s abnormal return, whereas none of the 22 characteristics passes the same screen at its weekly horizon. Table 2 tests when in the day that information arrives (H</w:t>
      </w:r>
      <w:r>
        <w:rPr>
          <w:vertAlign w:val="subscript"/>
        </w:rPr>
        <w:t xml:space="preserve">2</w:t>
      </w:r>
      <w:r>
        <w:t xml:space="preserve">).</w:t>
      </w:r>
    </w:p>
    <w:p>
      <w:pPr>
        <w:pStyle w:val="BodyText"/>
        <w:keepNext/>
        <w:spacing w:after="60"/>
      </w:pPr>
      <w:r>
        <w:rPr>
          <w:sz w:val="19"/>
        </w:rPr>
        <w:t xml:space="preserve">Table 1. Market-adjusted returns after ceiling and floor closes. Mean returns are in percent.</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use clusters by event date, calendar week, and 10-day block, each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where</w:t>
      </w:r>
      <w:r>
        <w:rPr>
          <w:sz w:val="19"/>
        </w:rPr>
        <w:t xml:space="preserve"> </w:t>
      </w:r>
      <w:r>
        <w:rPr>
          <w:iCs/>
          <w:i/>
          <w:sz w:val="19"/>
        </w:rPr>
        <w:t xml:space="preserve">G</w:t>
      </w:r>
      <w:r>
        <w:rPr>
          <w:sz w:val="19"/>
        </w:rPr>
        <w:t xml:space="preserve"> </w:t>
      </w:r>
      <w:r>
        <w:rPr>
          <w:sz w:val="19"/>
        </w:rPr>
        <w:t xml:space="preserve">is the number of clusters; we judge all three against a</w:t>
      </w:r>
      <w:r>
        <w:rPr>
          <w:sz w:val="19"/>
        </w:rPr>
        <w:t xml:space="preserve"> </w:t>
      </w:r>
      <w:r>
        <w:rPr>
          <w:iCs/>
          <w:i/>
          <w:sz w:val="19"/>
        </w:rPr>
        <w:t xml:space="preserve">t</w:t>
      </w:r>
      <w:r>
        <w:rPr>
          <w:sz w:val="19"/>
        </w:rPr>
        <w:t xml:space="preserve"> </w:t>
      </w:r>
      <w:r>
        <w:rPr>
          <w:sz w:val="19"/>
        </w:rPr>
        <w:t xml:space="preserve">distribution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close-to-close effect is positive because the gap exceeds the giveback, and the session reverses about 24% of the gap. The decomposition places the effect in the opening auction, as H</w:t>
      </w:r>
      <w:r>
        <w:rPr>
          <w:vertAlign w:val="subscript"/>
        </w:rPr>
        <w:t xml:space="preserve">2</w:t>
      </w:r>
      <w:r>
        <w:t xml:space="preserve"> </w:t>
      </w:r>
      <w:r>
        <w:t xml:space="preserve">predicts. A stock that closes at its ceiling may carry a queue of unfilled buy orders into the night, the mechanism that delayed price discovery assumes (Kim &amp; Rhee, 1997). Those orders and any overnight news set the opening price, and traders reverse part of the move during the session, which suggests that part of the opening price reflects transient demand. The signs match the overnight gain and intraday reversal in Berkman et al. (2012) and Huang et al. (2001); Table 5 sets out the other comparisons.</w:t>
      </w:r>
    </w:p>
    <w:p>
      <w:pPr>
        <w:pStyle w:val="BodyText"/>
      </w:pPr>
      <w:r>
        <w:t xml:space="preserve">After a floor close the gap is −0.97% (</w:t>
      </w:r>
      <w:r>
        <w:rPr>
          <w:iCs/>
          <w:i/>
        </w:rPr>
        <w:t xml:space="preserve">t</w:t>
      </w:r>
      <w:r>
        <w:t xml:space="preserve"> </w:t>
      </w:r>
      <w:r>
        <w:t xml:space="preserve">= −4.6) and the intraday return is a weak reversal of 0.30%. The pattern holds for exact limit hits, where the ceiling gap is 2.79%, and for the first day of a streak of exact hits, where it is 2.39%. Near hits show a smaller gap (1.67%) and no significant intraday return. Their median day-</w:t>
      </w:r>
      <w:r>
        <w:rPr>
          <w:iCs/>
          <w:i/>
        </w:rPr>
        <w:t xml:space="preserve">d</w:t>
      </w:r>
      <w:r>
        <w:t xml:space="preserve"> </w:t>
      </w:r>
      <w:r>
        <w:t xml:space="preserve">return is 6.89% against 6.90% for exact hits, and 83% of their closes are not multiples of the tick size, which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when the stock stayed locked at one price from open to close, and, for ceilings, in each tercile of 60-day average dollar volume across all stocks (1.52% in the most liquid). Against same-date control stocks of similar liquidity the ceiling gap is 2.70% and the floor close-to-close return is −1.65%, so the floor effect depends on the benchmark. Floor events cluster on market-wide down days (only 740 of 2,111 remain when we drop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price such a buyer can obtain is the next open, which already contains the gap. From that open the ceiling return is −0.75% through the fifth close against the market (</w:t>
      </w:r>
      <w:r>
        <w:rPr>
          <w:iCs/>
          <w:i/>
        </w:rPr>
        <w:t xml:space="preserve">t</w:t>
      </w:r>
      <w:r>
        <w:t xml:space="preserve"> </w:t>
      </w:r>
      <w:r>
        <w:t xml:space="preserve">= −2.7) and −0.53% against same-date controls (</w:t>
      </w:r>
      <w:r>
        <w:rPr>
          <w:iCs/>
          <w:i/>
        </w:rPr>
        <w:t xml:space="preserve">t</w:t>
      </w:r>
      <w:r>
        <w:t xml:space="preserve"> </w:t>
      </w:r>
      <w:r>
        <w:t xml:space="preserve">= −1.8). A holder who sells at the next open instead of the close avoids an average giveback of 0.54 percentage points. These figures, which support H</w:t>
      </w:r>
      <w:r>
        <w:rPr>
          <w:vertAlign w:val="subscript"/>
        </w:rPr>
        <w:t xml:space="preserve">4</w:t>
      </w:r>
      <w:r>
        <w:t xml:space="preserve">,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Table 2), which is not significant at the 5% level.</w:t>
      </w:r>
    </w:p>
    <w:p>
      <w:pPr>
        <w:pStyle w:val="BodyText"/>
        <w:keepNext/>
        <w:spacing w:after="60"/>
      </w:pPr>
      <w:r>
        <w:rPr>
          <w:sz w:val="19"/>
        </w:rPr>
        <w:t xml:space="preserve">Table 2. Next-day abnormal returns by component and sample. Entries are mean abnormal returns in percent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(absolute day-</w:t>
      </w:r>
      <w:r>
        <w:rPr>
          <w:iCs/>
          <w:i/>
          <w:sz w:val="19"/>
        </w:rPr>
        <w:t xml:space="preserve">d</w:t>
      </w:r>
      <w:r>
        <w:rPr>
          <w:sz w:val="19"/>
        </w:rPr>
        <w:t xml:space="preserve"> </w:t>
      </w:r>
      <w:r>
        <w:rPr>
          <w:sz w:val="19"/>
        </w:rPr>
        <w:t xml:space="preserve">return below 6.5%) in the same tercile of 60-day average dollar volume (Section 4). Open to day</w:t>
      </w:r>
      <w:r>
        <w:rPr>
          <w:sz w:val="19"/>
        </w:rPr>
        <w:t xml:space="preserve"> </w:t>
      </w:r>
      <w:r>
        <w:rPr>
          <w:iCs/>
          <w:i/>
          <w:sz w:val="19"/>
        </w:rPr>
        <w:t xml:space="preserve">d</w:t>
      </w:r>
      <w:r>
        <w:rPr>
          <w:sz w:val="19"/>
        </w:rPr>
        <w:t xml:space="preserve">+5 is the return from the day-</w:t>
      </w:r>
      <w:r>
        <w:rPr>
          <w:iCs/>
          <w:i/>
          <w:sz w:val="19"/>
        </w:rPr>
        <w:t xml:space="preserve">d</w:t>
      </w:r>
      <w:r>
        <w:rPr>
          <w:sz w:val="19"/>
        </w:rPr>
        <w:t xml:space="preserve">+1 open to the day-</w:t>
      </w:r>
      <w:r>
        <w:rPr>
          <w:iCs/>
          <w:i/>
          <w:sz w:val="19"/>
        </w:rPr>
        <w:t xml:space="preserve">d</w:t>
      </w:r>
      <w:r>
        <w:rPr>
          <w:sz w:val="19"/>
        </w:rPr>
        <w:t xml:space="preserve">+5 close. Exact hits and near hits are defined in Section 4. Crash days are event days on which the market return of Equation (2) is below −2%. Close-to-close need not equal the sum of the two components because returns compound. Events are the stock-days that meet the event definition in Section 4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larger rises are followed by lower returns,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by the size of the day-d move, split into overnight gap, intraday return, and close-to-close return. Circles are 1-percentage-point bins of day-d returns inside the band, triangles are ceiling and floor events (Section 4), and squares are other moves of 6.5% to 10% in absolute value (moves beyond 10% are omitted). Bars show 95% confidence intervals clustered by date with a normal reference and no small-sample factor. Market weights are lagged to day d, and the figure uses all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by the size of the day-</w:t>
      </w:r>
      <w:r>
        <w:rPr>
          <w:iCs/>
          <w:i/>
          <w:sz w:val="19"/>
        </w:rPr>
        <w:t xml:space="preserve">d</w:t>
      </w:r>
      <w:r>
        <w:rPr>
          <w:sz w:val="19"/>
        </w:rPr>
        <w:t xml:space="preserve"> </w:t>
      </w:r>
      <w:r>
        <w:rPr>
          <w:sz w:val="19"/>
        </w:rPr>
        <w:t xml:space="preserve">move, split into overnight gap, intraday return, and close-to-close return. Circles are 1-percentage-point bins of day-</w:t>
      </w:r>
      <w:r>
        <w:rPr>
          <w:iCs/>
          <w:i/>
          <w:sz w:val="19"/>
        </w:rPr>
        <w:t xml:space="preserve">d</w:t>
      </w:r>
      <w:r>
        <w:rPr>
          <w:sz w:val="19"/>
        </w:rPr>
        <w:t xml:space="preserve"> </w:t>
      </w:r>
      <w:r>
        <w:rPr>
          <w:sz w:val="19"/>
        </w:rPr>
        <w:t xml:space="preserve">returns inside the band, triangles are ceiling and floor events (Section 4), and squares are other moves of 6.5% to 10% in absolute value (moves beyond 10% are omitted). Bars show 95% confidence intervals clustered by date with a normal reference and no small-sample factor. Market weights are lagged to day</w:t>
      </w:r>
      <w:r>
        <w:rPr>
          <w:sz w:val="19"/>
        </w:rPr>
        <w:t xml:space="preserve"> </w:t>
      </w:r>
      <w:r>
        <w:rPr>
          <w:iCs/>
          <w:i/>
          <w:sz w:val="19"/>
        </w:rPr>
        <w:t xml:space="preserve">d</w:t>
      </w:r>
      <w:r>
        <w:rPr>
          <w:sz w:val="19"/>
        </w:rPr>
        <w:t xml:space="preserve">, and the figure uses all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The event rule requires a close at the day’s high, so we repeat the comparison with stocks that also closed at their high (low).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Comparisons with 3% to 5% moves give the same result: the ceiling gap exceeds that of 3% to 5% risers by 2.40 percentage points, and the floor gap falls short of that of 3% to 5% fallers by 1.14 points. The comparison is an association around a rule-based threshold.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between limit closes and stocks that moved 3–5% or 5–6.5% in the same direction without closing at the limit. Entries are differences in percentage points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Stocks that reach a limit carry news and retail attention, which persist overnight and produce the overnight gain and intraday reversal of attention-grabbing stocks (Berkman et al., 2012), with or without a limit. (3) The opening call auction overshoots and corrects part of the move within the day. The sample has no announcement data, no order book, and no stock-days without a limit, so we run two partial checks. First, the ceiling gap rises with day-</w:t>
      </w:r>
      <w:r>
        <w:rPr>
          <w:iCs/>
          <w:i/>
        </w:rPr>
        <w:t xml:space="preserve">d</w:t>
      </w:r>
      <w:r>
        <w:t xml:space="preserve"> </w:t>
      </w:r>
      <w:r>
        <w:t xml:space="preserve">volume relative to the prior 60-day mean (1.97%, 2.16% and 2.63% across terciles) and with the prior 20-day return of the stock (1.41%, 2.18% and 3.16%). The gap is larger where the attention and news proxies are higher, which fits reading (2) as well as reading (1), and it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selection on news. The intraday giveback fits readings (2) and (3) at least as well as a permanent price-discovery story. We use</w:t>
      </w:r>
      <w:r>
        <w:t xml:space="preserve"> </w:t>
      </w:r>
      <w:r>
        <w:t xml:space="preserve">“</w:t>
      </w:r>
      <w:r>
        <w:t xml:space="preserve">break at the limit</w:t>
      </w:r>
      <w:r>
        <w:t xml:space="preserve">”</w:t>
      </w:r>
      <w:r>
        <w:t xml:space="preserve"> </w:t>
      </w:r>
      <w:r>
        <w:t xml:space="preserve">as a description and treat delayed price discovery as one hypothesis. Cho et al. (2003) find, and Chen et al. (2024) predict, that prices accelerate toward a limit on the limit day (the magnet effect); testing this needs intraday prices, which we lack.</w:t>
      </w:r>
    </w:p>
    <w:p>
      <w:pPr>
        <w:pStyle w:val="BodyText"/>
      </w:pPr>
      <w:r>
        <w:t xml:space="preserve">Table 4 splits the events at 5 May 2025, when HOSE moved to the KRX platform and at-the-open and at-the-close orders lost their auction priority.</w:t>
      </w:r>
    </w:p>
    <w:p>
      <w:pPr>
        <w:pStyle w:val="BodyText"/>
        <w:keepNext/>
        <w:spacing w:after="60"/>
      </w:pPr>
      <w:r>
        <w:rPr>
          <w:sz w:val="19"/>
        </w:rPr>
        <w:t xml:space="preserve">Table 4. Next-day abnormal returns before and after the move to the KRX platform on 5 May 2025. Entries are mean abnormal returns in percent with two-way-clustered</w:t>
      </w:r>
      <w:r>
        <w:rPr>
          <w:sz w:val="19"/>
        </w:rPr>
        <w:t xml:space="preserve"> </w:t>
      </w:r>
      <w:r>
        <w:rPr>
          <w:iCs/>
          <w:i/>
          <w:sz w:val="19"/>
        </w:rPr>
        <w:t xml:space="preserve">t</w:t>
      </w:r>
      <w:r>
        <w:rPr>
          <w:sz w:val="19"/>
        </w:rPr>
        <w:t xml:space="preserve">-statistics in parentheses. The split uses the date of the opening that defines the gap, and the difference</w:t>
      </w:r>
      <w:r>
        <w:rPr>
          <w:sz w:val="19"/>
        </w:rPr>
        <w:t xml:space="preserve"> </w:t>
      </w:r>
      <w:r>
        <w:rPr>
          <w:iCs/>
          <w:i/>
          <w:sz w:val="19"/>
        </w:rPr>
        <w:t xml:space="preserve">t</w:t>
      </w:r>
      <w:r>
        <w:rPr>
          <w:sz w:val="19"/>
        </w:rPr>
        <w:t xml:space="preserve">-statistic treats the two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Band changes in other markets changed volatility, liquidity, and execution quality (Kim &amp; Jun, 2019; Lien et al., 2019; Qi, 2023; Zhang et al., 2022). Our split follows a change in auction priority with the band held at 7%. The ceiling gap appears in both periods (1.65% before, 2.49% after the move to KRX; difference</w:t>
      </w:r>
      <w:r>
        <w:t xml:space="preserve"> </w:t>
      </w:r>
      <w:r>
        <w:rPr>
          <w:iCs/>
          <w:i/>
        </w:rPr>
        <w:t xml:space="preserve">t</w:t>
      </w:r>
      <w:r>
        <w:t xml:space="preserve"> </w:t>
      </w:r>
      <w:r>
        <w:t xml:space="preserve">= 1.6; Table 4). The floor gap is more negative after the move (−0.42% before, −1.37% after; difference</w:t>
      </w:r>
      <w:r>
        <w:t xml:space="preserve"> </w:t>
      </w:r>
      <w:r>
        <w:rPr>
          <w:iCs/>
          <w:i/>
        </w:rPr>
        <w:t xml:space="preserve">t</w:t>
      </w:r>
      <w:r>
        <w:t xml:space="preserve"> </w:t>
      </w:r>
      <w:r>
        <w:t xml:space="preserve">= −3.2), and the intraday return after floor closes turns positive (0.64%). The drift from the next open to day</w:t>
      </w:r>
      <w:r>
        <w:t xml:space="preserve"> </w:t>
      </w:r>
      <w:r>
        <w:rPr>
          <w:iCs/>
          <w:i/>
        </w:rPr>
        <w:t xml:space="preserve">d</w:t>
      </w:r>
      <w:r>
        <w:t xml:space="preserve">+5 after floor closes exists only before the move (−1.73% before, −0.15% after). The change coincides with a different market period, and the post-change sample holds 71% of the ceiling events and 58% of the floor events. Both periods show a positive ceiling gap followed by an intraday reversal, but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the post-change events. We cannot attribute the differences between the periods to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changes the ceiling gap from 2.24% to 2.26% and the floor gap from −0.97% to −0.98%. The exclusion removes events but leaves the outlier days in the market benchmark.</w:t>
      </w:r>
    </w:p>
    <w:p>
      <w:pPr>
        <w:pStyle w:val="BodyText"/>
      </w:pPr>
      <w:r>
        <w:t xml:space="preserve">To bound the effect of a wider search, we compute</w:t>
      </w:r>
      <w:r>
        <w:t xml:space="preserve"> </w:t>
      </w:r>
      <m:oMath>
        <m:sSub>
          <m:e>
            <m:r>
              <m:t>m</m:t>
            </m:r>
          </m:e>
          <m:sub>
            <m:r>
              <m:rPr>
                <m:nor/>
                <m:sty m:val="p"/>
              </m:rPr>
              <m:t>max</m:t>
            </m:r>
          </m:sub>
        </m:sSub>
      </m:oMath>
      <w:r>
        <w:t xml:space="preserve"> </w:t>
      </w:r>
      <w:r>
        <w:t xml:space="preserve">from Section 4. All four event tests survive a Bonferroni correction at 5% for families of up to 683 tests with date clusters and up to 125 tests with calendar-week clusters (largest</w:t>
      </w:r>
      <w:r>
        <w:t xml:space="preserve"> </w:t>
      </w:r>
      <w:r>
        <w:rPr>
          <w:iCs/>
          <w:i/>
        </w:rPr>
        <w:t xml:space="preserve">p</w:t>
      </w:r>
      <w:r>
        <w:t xml:space="preserve">-values 0.00007 and 0.00040,</w:t>
      </w:r>
      <w:r>
        <w:t xml:space="preserve"> </w:t>
      </w:r>
      <w:r>
        <w:rPr>
          <w:iCs/>
          <w:i/>
        </w:rPr>
        <w:t xml:space="preserve">t</w:t>
      </w:r>
      <w:r>
        <w:t xml:space="preserve"> </w:t>
      </w:r>
      <w:r>
        <w:t xml:space="preserve">reference). The bound limits false discoveries and leaves the upward bias in effect sizes untouched.</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 Section 6 weighs the explanations.</w:t>
      </w:r>
    </w:p>
    <w:bookmarkEnd w:id="30"/>
    <w:bookmarkStart w:id="31" w:name="discussion"/>
    <w:p>
      <w:pPr>
        <w:pStyle w:val="Heading1"/>
        <w:keepNext/>
      </w:pPr>
      <w:r>
        <w:t xml:space="preserve">6. Discussion</w:t>
      </w:r>
    </w:p>
    <w:p>
      <w:pPr>
        <w:pStyle w:val="FirstParagraph"/>
      </w:pPr>
      <w:r>
        <w:t xml:space="preserve">The evidence fits delayed price discovery and the rival readings of Section 5. After a ceiling close, the continuation sits in the opening: days</w:t>
      </w:r>
      <w:r>
        <w:t xml:space="preserve"> </w:t>
      </w:r>
      <w:r>
        <w:rPr>
          <w:iCs/>
          <w:i/>
        </w:rPr>
        <w:t xml:space="preserve">d</w:t>
      </w:r>
      <w:r>
        <w:t xml:space="preserve">+2 to</w:t>
      </w:r>
      <w:r>
        <w:t xml:space="preserve"> </w:t>
      </w:r>
      <w:r>
        <w:rPr>
          <w:iCs/>
          <w:i/>
        </w:rPr>
        <w:t xml:space="preserve">d</w:t>
      </w:r>
      <w:r>
        <w:t xml:space="preserve">+5 add no significant return, and traders reverse part of the gap during day</w:t>
      </w:r>
      <w:r>
        <w:t xml:space="preserve"> </w:t>
      </w:r>
      <w:r>
        <w:rPr>
          <w:iCs/>
          <w:i/>
        </w:rPr>
        <w:t xml:space="preserve">d</w:t>
      </w:r>
      <w:r>
        <w:t xml:space="preserve">+1, a one-day analogue of the cross-period reversal in Lou et al. (2019). The contrast with stocks that moved almost as far, including those that also closed at their high, is the part of the evidence that a pure attention reading must explain. The post-open drift after floor closes, which exists only before the platform change, does not fit a gap-only reading. Our decomposition adds timing to the evidence of Kim and Rhee (1997): on HOSE the continuation after ceiling closes arrives at the next opening and ends after the first day.</w:t>
      </w:r>
    </w:p>
    <w:p>
      <w:pPr>
        <w:pStyle w:val="BodyText"/>
      </w:pPr>
      <w:r>
        <w:t xml:space="preserve">Table 5 sets each result against the studies reviewed in Section 2. No source reports the next-day abnormal return, the overnight gap, or the intraday return after a limit close in a form that matches ours, so the table compares signs, timing, and mechanism.</w:t>
      </w:r>
    </w:p>
    <w:p>
      <w:pPr>
        <w:pStyle w:val="BodyText"/>
        <w:keepNext/>
        <w:spacing w:after="60"/>
      </w:pPr>
      <w:r>
        <w:rPr>
          <w:sz w:val="19"/>
        </w:rPr>
        <w:t xml:space="preserve">Table 5. Comparison with earlier studies. The second and third columns summarize each source as reported in its abstract or in the records we could access; the last column relates it to our results.</w:t>
      </w:r>
    </w:p>
    <w:tbl>
      <w:tblPr>
        <w:tblStyle w:val="Table"/>
        <w:tblW w:type="dxa" w:w="9070"/>
        <w:tblLook w:firstRow="1" w:lastRow="0" w:firstColumn="0" w:lastColumn="0" w:noHBand="0" w:noVBand="0" w:val="0020"/>
        <w:jc w:val="start"/>
        <w:tblLayout w:type="fixed"/>
      </w:tblPr>
      <w:tblGrid>
        <w:gridCol w:w="2145"/>
        <w:gridCol w:w="1402"/>
        <w:gridCol w:w="2760"/>
        <w:gridCol w:w="2760"/>
      </w:tblGrid>
      <w:tr>
        <w:trPr>
          <w:tblHeader w:val="true"/>
          <w:tblHeader/>
          <w:cantSplit/>
        </w:trPr>
        <w:tc>
          <w:tcPr>
            <w:tcW w:type="dxa" w:w="2145"/>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60"/>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760"/>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Kim and Rhee (1997)</w:t>
            </w:r>
          </w:p>
        </w:tc>
        <w:tc>
          <w:tcPr>
            <w:tcW w:type="dxa" w:w="1402"/>
          </w:tcPr>
          <w:p>
            <w:pPr>
              <w:pStyle w:val="Compact"/>
              <w:keepNext/>
              <w:spacing w:after="20" w:before="20" w:line="240" w:lineRule="auto"/>
              <w:jc w:val="center"/>
            </w:pPr>
            <w:r>
              <w:rPr>
                <w:rFonts w:ascii="Times New Roman" w:hAnsi="Times New Roman"/>
                <w:sz w:val="17"/>
              </w:rPr>
              <w:t xml:space="preserve">Tokyo; limit-hit events</w:t>
            </w:r>
          </w:p>
        </w:tc>
        <w:tc>
          <w:tcPr>
            <w:tcW w:type="dxa" w:w="2760"/>
          </w:tcPr>
          <w:p>
            <w:pPr>
              <w:pStyle w:val="Compact"/>
              <w:keepNext/>
              <w:spacing w:after="20" w:before="20" w:line="240" w:lineRule="auto"/>
              <w:jc w:val="left"/>
            </w:pPr>
            <w:r>
              <w:rPr>
                <w:rFonts w:ascii="Times New Roman" w:hAnsi="Times New Roman"/>
                <w:sz w:val="17"/>
              </w:rPr>
              <w:t xml:space="preserve">Support for volatility spillover, delayed price discovery, and trading interference</w:t>
            </w:r>
          </w:p>
        </w:tc>
        <w:tc>
          <w:tcPr>
            <w:tcW w:type="dxa" w:w="2760"/>
          </w:tcPr>
          <w:p>
            <w:pPr>
              <w:pStyle w:val="Compact"/>
              <w:keepNext/>
              <w:spacing w:after="20" w:before="20" w:line="240" w:lineRule="auto"/>
              <w:jc w:val="left"/>
            </w:pPr>
            <w:r>
              <w:rPr>
                <w:rFonts w:ascii="Times New Roman" w:hAnsi="Times New Roman"/>
                <w:sz w:val="17"/>
              </w:rPr>
              <w:t xml:space="preserve">Our significant next-day return after ceiling closes is consistent with delayed price discovery; we do not test spillover or interference</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Berkman and Lee (2002)</w:t>
            </w:r>
          </w:p>
        </w:tc>
        <w:tc>
          <w:tcPr>
            <w:tcW w:type="dxa" w:w="1402"/>
          </w:tcPr>
          <w:p>
            <w:pPr>
              <w:pStyle w:val="Compact"/>
              <w:keepNext/>
              <w:spacing w:after="20" w:before="20" w:line="240" w:lineRule="auto"/>
              <w:jc w:val="center"/>
            </w:pPr>
            <w:r>
              <w:rPr>
                <w:rFonts w:ascii="Times New Roman" w:hAnsi="Times New Roman"/>
                <w:sz w:val="17"/>
              </w:rPr>
              <w:t xml:space="preserve">Korea; revision of the limit system</w:t>
            </w:r>
          </w:p>
        </w:tc>
        <w:tc>
          <w:tcPr>
            <w:tcW w:type="dxa" w:w="2760"/>
          </w:tcPr>
          <w:p>
            <w:pPr>
              <w:pStyle w:val="Compact"/>
              <w:keepNext/>
              <w:spacing w:after="20" w:before="20" w:line="240" w:lineRule="auto"/>
              <w:jc w:val="left"/>
            </w:pPr>
            <w:r>
              <w:rPr>
                <w:rFonts w:ascii="Times New Roman" w:hAnsi="Times New Roman"/>
                <w:sz w:val="17"/>
              </w:rPr>
              <w:t xml:space="preserve">Volatility and trading activity examined around the revision</w:t>
            </w:r>
          </w:p>
        </w:tc>
        <w:tc>
          <w:tcPr>
            <w:tcW w:type="dxa" w:w="2760"/>
          </w:tcPr>
          <w:p>
            <w:pPr>
              <w:pStyle w:val="Compact"/>
              <w:keepNext/>
              <w:spacing w:after="20" w:before="20" w:line="240" w:lineRule="auto"/>
              <w:jc w:val="left"/>
            </w:pPr>
            <w:r>
              <w:rPr>
                <w:rFonts w:ascii="Times New Roman" w:hAnsi="Times New Roman"/>
                <w:sz w:val="17"/>
              </w:rPr>
              <w:t xml:space="preserve">Different question; no comparison with our returns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Huang et al. (2001)</w:t>
            </w:r>
          </w:p>
        </w:tc>
        <w:tc>
          <w:tcPr>
            <w:tcW w:type="dxa" w:w="1402"/>
          </w:tcPr>
          <w:p>
            <w:pPr>
              <w:pStyle w:val="Compact"/>
              <w:keepNext/>
              <w:spacing w:after="20" w:before="20" w:line="240" w:lineRule="auto"/>
              <w:jc w:val="center"/>
            </w:pPr>
            <w:r>
              <w:rPr>
                <w:rFonts w:ascii="Times New Roman" w:hAnsi="Times New Roman"/>
                <w:sz w:val="17"/>
              </w:rPr>
              <w:t xml:space="preserve">Taiwan; limit hits</w:t>
            </w:r>
          </w:p>
        </w:tc>
        <w:tc>
          <w:tcPr>
            <w:tcW w:type="dxa" w:w="2760"/>
          </w:tcPr>
          <w:p>
            <w:pPr>
              <w:pStyle w:val="Compact"/>
              <w:keepNext/>
              <w:spacing w:after="20" w:before="20" w:line="240" w:lineRule="auto"/>
              <w:jc w:val="left"/>
            </w:pPr>
            <w:r>
              <w:rPr>
                <w:rFonts w:ascii="Times New Roman" w:hAnsi="Times New Roman"/>
                <w:sz w:val="17"/>
              </w:rPr>
              <w:t xml:space="preserve">Overnight overreaction after limit hits corrected on the following day</w:t>
            </w:r>
          </w:p>
        </w:tc>
        <w:tc>
          <w:tcPr>
            <w:tcW w:type="dxa" w:w="2760"/>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Cho et al. (2003)</w:t>
            </w:r>
          </w:p>
        </w:tc>
        <w:tc>
          <w:tcPr>
            <w:tcW w:type="dxa" w:w="1402"/>
          </w:tcPr>
          <w:p>
            <w:pPr>
              <w:pStyle w:val="Compact"/>
              <w:keepNext/>
              <w:spacing w:after="20" w:before="20" w:line="240" w:lineRule="auto"/>
              <w:jc w:val="center"/>
            </w:pPr>
            <w:r>
              <w:rPr>
                <w:rFonts w:ascii="Times New Roman" w:hAnsi="Times New Roman"/>
                <w:sz w:val="17"/>
              </w:rPr>
              <w:t xml:space="preserve">Taiwan; five-minute data</w:t>
            </w:r>
          </w:p>
        </w:tc>
        <w:tc>
          <w:tcPr>
            <w:tcW w:type="dxa" w:w="2760"/>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760"/>
          </w:tcPr>
          <w:p>
            <w:pPr>
              <w:pStyle w:val="Compact"/>
              <w:keepNext/>
              <w:spacing w:after="20" w:before="20" w:line="240" w:lineRule="auto"/>
              <w:jc w:val="left"/>
            </w:pPr>
            <w:r>
              <w:rPr>
                <w:rFonts w:ascii="Times New Roman" w:hAnsi="Times New Roman"/>
                <w:sz w:val="17"/>
              </w:rPr>
              <w:t xml:space="preserve">Not tested; our data lack intraday prices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Chen et al. (2019)</w:t>
            </w:r>
          </w:p>
        </w:tc>
        <w:tc>
          <w:tcPr>
            <w:tcW w:type="dxa" w:w="1402"/>
          </w:tcPr>
          <w:p>
            <w:pPr>
              <w:pStyle w:val="Compact"/>
              <w:keepNext/>
              <w:spacing w:after="20" w:before="20" w:line="240" w:lineRule="auto"/>
              <w:jc w:val="center"/>
            </w:pPr>
            <w:r>
              <w:rPr>
                <w:rFonts w:ascii="Times New Roman" w:hAnsi="Times New Roman"/>
                <w:sz w:val="17"/>
              </w:rPr>
              <w:t xml:space="preserve">Shenzhen; account-level data</w:t>
            </w:r>
          </w:p>
        </w:tc>
        <w:tc>
          <w:tcPr>
            <w:tcW w:type="dxa" w:w="2760"/>
          </w:tcPr>
          <w:p>
            <w:pPr>
              <w:pStyle w:val="Compact"/>
              <w:keepNext/>
              <w:spacing w:after="20" w:before="20" w:line="240" w:lineRule="auto"/>
              <w:jc w:val="left"/>
            </w:pPr>
            <w:r>
              <w:rPr>
                <w:rFonts w:ascii="Times New Roman" w:hAnsi="Times New Roman"/>
                <w:sz w:val="17"/>
              </w:rPr>
              <w:t xml:space="preserve">Large investors buy on the limit day and sell on the next day; their net buying predicts long-run reversal</w:t>
            </w:r>
          </w:p>
        </w:tc>
        <w:tc>
          <w:tcPr>
            <w:tcW w:type="dxa" w:w="2760"/>
          </w:tcPr>
          <w:p>
            <w:pPr>
              <w:pStyle w:val="Compact"/>
              <w:keepNext/>
              <w:spacing w:after="20" w:before="20" w:line="240" w:lineRule="auto"/>
              <w:jc w:val="left"/>
            </w:pPr>
            <w:r>
              <w:rPr>
                <w:rFonts w:ascii="Times New Roman" w:hAnsi="Times New Roman"/>
                <w:sz w:val="17"/>
              </w:rPr>
              <w:t xml:space="preserve">Consistent with our intraday reversal; our data lack account identities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Qi (2023)</w:t>
            </w:r>
          </w:p>
        </w:tc>
        <w:tc>
          <w:tcPr>
            <w:tcW w:type="dxa" w:w="1402"/>
          </w:tcPr>
          <w:p>
            <w:pPr>
              <w:pStyle w:val="Compact"/>
              <w:keepNext/>
              <w:spacing w:after="20" w:before="20" w:line="240" w:lineRule="auto"/>
              <w:jc w:val="center"/>
            </w:pPr>
            <w:r>
              <w:rPr>
                <w:rFonts w:ascii="Times New Roman" w:hAnsi="Times New Roman"/>
                <w:sz w:val="17"/>
              </w:rPr>
              <w:t xml:space="preserve">ChiNext; band widened from 10% to 20%</w:t>
            </w:r>
          </w:p>
        </w:tc>
        <w:tc>
          <w:tcPr>
            <w:tcW w:type="dxa" w:w="2760"/>
          </w:tcPr>
          <w:p>
            <w:pPr>
              <w:pStyle w:val="Compact"/>
              <w:keepNext/>
              <w:spacing w:after="20" w:before="20" w:line="240" w:lineRule="auto"/>
              <w:jc w:val="left"/>
            </w:pPr>
            <w:r>
              <w:rPr>
                <w:rFonts w:ascii="Times New Roman" w:hAnsi="Times New Roman"/>
                <w:sz w:val="17"/>
              </w:rPr>
              <w:t xml:space="preserve">Delayed price discovery, volatility spillover, and trading interference, stronger at the lower limit; no magnet effect</w:t>
            </w:r>
          </w:p>
        </w:tc>
        <w:tc>
          <w:tcPr>
            <w:tcW w:type="dxa" w:w="2760"/>
          </w:tcPr>
          <w:p>
            <w:pPr>
              <w:pStyle w:val="Compact"/>
              <w:keepNext/>
              <w:spacing w:after="20" w:before="20" w:line="240" w:lineRule="auto"/>
              <w:jc w:val="left"/>
            </w:pPr>
            <w:r>
              <w:rPr>
                <w:rFonts w:ascii="Times New Roman" w:hAnsi="Times New Roman"/>
                <w:sz w:val="17"/>
              </w:rPr>
              <w:t xml:space="preserve">Different outcome: market quality after a band change. Here both ceiling and floor closes carry a significant next-day return, and the weaker floor effect depends on the benchmark</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02"/>
          </w:tcPr>
          <w:p>
            <w:pPr>
              <w:pStyle w:val="Compact"/>
              <w:keepNext/>
              <w:spacing w:after="20" w:before="20" w:line="240" w:lineRule="auto"/>
              <w:jc w:val="center"/>
            </w:pPr>
            <w:r>
              <w:rPr>
                <w:rFonts w:ascii="Times New Roman" w:hAnsi="Times New Roman"/>
                <w:sz w:val="17"/>
              </w:rPr>
              <w:t xml:space="preserve">China; cross-section of stocks</w:t>
            </w:r>
          </w:p>
        </w:tc>
        <w:tc>
          <w:tcPr>
            <w:tcW w:type="dxa" w:w="2760"/>
          </w:tcPr>
          <w:p>
            <w:pPr>
              <w:pStyle w:val="Compact"/>
              <w:keepNext/>
              <w:spacing w:after="20" w:before="20" w:line="240" w:lineRule="auto"/>
              <w:jc w:val="left"/>
            </w:pPr>
            <w:r>
              <w:rPr>
                <w:rFonts w:ascii="Times New Roman" w:hAnsi="Times New Roman"/>
                <w:sz w:val="17"/>
              </w:rPr>
              <w:t xml:space="preserve">Stocks with large limit exposure, or frequent upper-limit hits, earn lower future returns</w:t>
            </w:r>
          </w:p>
        </w:tc>
        <w:tc>
          <w:tcPr>
            <w:tcW w:type="dxa" w:w="2760"/>
          </w:tcPr>
          <w:p>
            <w:pPr>
              <w:pStyle w:val="Compact"/>
              <w:keepNext/>
              <w:spacing w:after="20" w:before="20" w:line="240" w:lineRule="auto"/>
              <w:jc w:val="left"/>
            </w:pPr>
            <w:r>
              <w:rPr>
                <w:rFonts w:ascii="Times New Roman" w:hAnsi="Times New Roman"/>
                <w:sz w:val="17"/>
              </w:rPr>
              <w:t xml:space="preserve">Different horizon; a positive one-day return can coexist with later reversal, which we do not measure</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Berkman et al. (2012)</w:t>
            </w:r>
          </w:p>
        </w:tc>
        <w:tc>
          <w:tcPr>
            <w:tcW w:type="dxa" w:w="1402"/>
          </w:tcPr>
          <w:p>
            <w:pPr>
              <w:pStyle w:val="Compact"/>
              <w:keepNext/>
              <w:spacing w:after="20" w:before="20" w:line="240" w:lineRule="auto"/>
              <w:jc w:val="center"/>
            </w:pPr>
            <w:r>
              <w:rPr>
                <w:rFonts w:ascii="Times New Roman" w:hAnsi="Times New Roman"/>
                <w:sz w:val="17"/>
              </w:rPr>
              <w:t xml:space="preserve">United States; intraday data</w:t>
            </w:r>
          </w:p>
        </w:tc>
        <w:tc>
          <w:tcPr>
            <w:tcW w:type="dxa" w:w="2760"/>
          </w:tcPr>
          <w:p>
            <w:pPr>
              <w:pStyle w:val="Compact"/>
              <w:keepNext/>
              <w:spacing w:after="20" w:before="20" w:line="240" w:lineRule="auto"/>
              <w:jc w:val="left"/>
            </w:pPr>
            <w:r>
              <w:rPr>
                <w:rFonts w:ascii="Times New Roman" w:hAnsi="Times New Roman"/>
                <w:sz w:val="17"/>
              </w:rPr>
              <w:t xml:space="preserve">Positive overnight returns followed by intraday reversals, concentrated in high-attention stocks</w:t>
            </w:r>
          </w:p>
        </w:tc>
        <w:tc>
          <w:tcPr>
            <w:tcW w:type="dxa" w:w="2760"/>
          </w:tcPr>
          <w:p>
            <w:pPr>
              <w:pStyle w:val="Compact"/>
              <w:keepNext/>
              <w:spacing w:after="20" w:before="20" w:line="240" w:lineRule="auto"/>
              <w:jc w:val="left"/>
            </w:pPr>
            <w:r>
              <w:rPr>
                <w:rFonts w:ascii="Times New Roman" w:hAnsi="Times New Roman"/>
                <w:sz w:val="17"/>
              </w:rPr>
              <w:t xml:space="preserve">Same signs after limit closes; the gap here also rises with volume and prior return</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Lou et al. (2019)</w:t>
            </w:r>
          </w:p>
        </w:tc>
        <w:tc>
          <w:tcPr>
            <w:tcW w:type="dxa" w:w="1402"/>
          </w:tcPr>
          <w:p>
            <w:pPr>
              <w:pStyle w:val="Compact"/>
              <w:keepNext/>
              <w:spacing w:after="20" w:before="20" w:line="240" w:lineRule="auto"/>
              <w:jc w:val="center"/>
            </w:pPr>
            <w:r>
              <w:rPr>
                <w:rFonts w:ascii="Times New Roman" w:hAnsi="Times New Roman"/>
                <w:sz w:val="17"/>
              </w:rPr>
              <w:t xml:space="preserve">United States; stock-level returns</w:t>
            </w:r>
          </w:p>
        </w:tc>
        <w:tc>
          <w:tcPr>
            <w:tcW w:type="dxa" w:w="2760"/>
          </w:tcPr>
          <w:p>
            <w:pPr>
              <w:pStyle w:val="Compact"/>
              <w:keepNext/>
              <w:spacing w:after="20" w:before="20" w:line="240" w:lineRule="auto"/>
              <w:jc w:val="left"/>
            </w:pPr>
            <w:r>
              <w:rPr>
                <w:rFonts w:ascii="Times New Roman" w:hAnsi="Times New Roman"/>
                <w:sz w:val="17"/>
              </w:rPr>
              <w:t xml:space="preserve">Overnight and intraday continuation with an offsetting cross-period reversal</w:t>
            </w:r>
          </w:p>
        </w:tc>
        <w:tc>
          <w:tcPr>
            <w:tcW w:type="dxa" w:w="2760"/>
          </w:tcPr>
          <w:p>
            <w:pPr>
              <w:pStyle w:val="Compact"/>
              <w:keepNext/>
              <w:spacing w:after="20" w:before="20" w:line="240" w:lineRule="auto"/>
              <w:jc w:val="left"/>
            </w:pPr>
            <w:r>
              <w:rPr>
                <w:rFonts w:ascii="Times New Roman" w:hAnsi="Times New Roman"/>
                <w:sz w:val="17"/>
              </w:rPr>
              <w:t xml:space="preserve">The gap-then-reversal has the sign of that cross-period reversal at a one-day horizon</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Qiao and Dam (2020)</w:t>
            </w:r>
          </w:p>
        </w:tc>
        <w:tc>
          <w:tcPr>
            <w:tcW w:type="dxa" w:w="1402"/>
          </w:tcPr>
          <w:p>
            <w:pPr>
              <w:pStyle w:val="Compact"/>
              <w:keepNext/>
              <w:spacing w:after="20" w:before="20" w:line="240" w:lineRule="auto"/>
              <w:jc w:val="center"/>
            </w:pPr>
            <w:r>
              <w:rPr>
                <w:rFonts w:ascii="Times New Roman" w:hAnsi="Times New Roman"/>
                <w:sz w:val="17"/>
              </w:rPr>
              <w:t xml:space="preserve">China A-shares; all stocks</w:t>
            </w:r>
          </w:p>
        </w:tc>
        <w:tc>
          <w:tcPr>
            <w:tcW w:type="dxa" w:w="2760"/>
          </w:tcPr>
          <w:p>
            <w:pPr>
              <w:pStyle w:val="Compact"/>
              <w:keepNext/>
              <w:spacing w:after="20" w:before="20" w:line="240" w:lineRule="auto"/>
              <w:jc w:val="left"/>
            </w:pPr>
            <w:r>
              <w:rPr>
                <w:rFonts w:ascii="Times New Roman" w:hAnsi="Times New Roman"/>
                <w:sz w:val="17"/>
              </w:rPr>
              <w:t xml:space="preserve">Average overnight return is negative; T+1 rule lowers opening prices</w:t>
            </w:r>
          </w:p>
        </w:tc>
        <w:tc>
          <w:tcPr>
            <w:tcW w:type="dxa" w:w="2760"/>
          </w:tcPr>
          <w:p>
            <w:pPr>
              <w:pStyle w:val="Compact"/>
              <w:keepNext/>
              <w:spacing w:after="20" w:before="20" w:line="240" w:lineRule="auto"/>
              <w:jc w:val="left"/>
            </w:pPr>
            <w:r>
              <w:rPr>
                <w:rFonts w:ascii="Times New Roman" w:hAnsi="Times New Roman"/>
                <w:sz w:val="17"/>
              </w:rPr>
              <w:t xml:space="preserve">Opposite sign: the overnight return after a ceiling close is positive</w:t>
            </w:r>
          </w:p>
        </w:tc>
      </w:tr>
      <w:tr>
        <w:trPr>
          <w:cantSplit/>
        </w:trPr>
        <w:tc>
          <w:tcPr>
            <w:tcW w:type="dxa" w:w="2145"/>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02"/>
            <w:tcBorders>
              <w:bottom w:val="single" w:sz="8" w:color="000000" w:space="0"/>
            </w:tcBorders>
          </w:tcPr>
          <w:p>
            <w:pPr>
              <w:pStyle w:val="Compact"/>
              <w:spacing w:after="20" w:before="20" w:line="240" w:lineRule="auto"/>
              <w:jc w:val="center"/>
            </w:pPr>
            <w:r>
              <w:rPr>
                <w:rFonts w:ascii="Times New Roman" w:hAnsi="Times New Roman"/>
                <w:sz w:val="17"/>
              </w:rPr>
              <w:t xml:space="preserve">United States; published anomalies</w:t>
            </w:r>
          </w:p>
        </w:tc>
        <w:tc>
          <w:tcPr>
            <w:tcW w:type="dxa" w:w="2760"/>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760"/>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The findings bear on two design choices, the width of the band and the priority of auction orders. A 7% band leaves room for a large overnight gap, so the opening auction may do much of the adjustment that a wider band would allow on day</w:t>
      </w:r>
      <w:r>
        <w:t xml:space="preserve"> </w:t>
      </w:r>
      <w:r>
        <w:rPr>
          <w:iCs/>
          <w:i/>
        </w:rPr>
        <w:t xml:space="preserve">d</w:t>
      </w:r>
      <w:r>
        <w:t xml:space="preserve">. The floor gap grows and the intraday return after floor closes turns positive after at-the-open orders lose priority (Table 4), which suggests that auction design shapes how the opening absorbs overnight pressure, although the market period changed at the same time (Section 5). A band change on HOSE, like the ChiNext widening that Qi (2023) studies, would give a natural experiment to test the readings.</w:t>
      </w:r>
    </w:p>
    <w:p>
      <w:pPr>
        <w:pStyle w:val="BodyText"/>
      </w:pPr>
      <w:r>
        <w:t xml:space="preserve">The volume and prior-return results fit an attention channel. If attention drives the gap, the limit acts as an amplifier: a stock at its ceiling may appear on screens and rankings the next morning, and a queue at the limit may signal excess demand to other investors. Berkman et al. (2012) trace the overnight returns of U.S. stocks to such attention, and Akbas et al. (2022) and Lu et al. (2023) trace the split between overnight and intraday returns to different clienteles, with noise traders overnight, arbitrageurs by day, and market makers absorbing retail imbalances near the open. Under this reading, a limit adds a visible, rule-based trigger to an attention mechanism that operates without limits.</w:t>
      </w:r>
    </w:p>
    <w:p>
      <w:pPr>
        <w:pStyle w:val="BodyText"/>
      </w:pPr>
      <w:r>
        <w:t xml:space="preserve">We use the 22 characteristics to set the multiplicity burden and as a null benchmark; with low power (Section 5), their null says little about the cross-section. Ceiling closes cover about 2.0% of stock-days in the event window, so we make no claim that limit closes explain the cross-section of returns.</w:t>
      </w:r>
    </w:p>
    <w:p>
      <w:pPr>
        <w:pStyle w:val="BodyText"/>
      </w:pPr>
      <w:r>
        <w:t xml:space="preserve">The estimates describe what follows limit closes on HOSE in 2024 to 2026: the overnight gap averages 2.2% after ceiling closes and −1.0% after floor closes. They cannot show what the limit does to price discovery: the band does not vary, no period lacks a limit, and we measure none of the benefits a limit is meant to deliver. Announcement time stamps, order-book queue sizes at the close, and a market or period without a limit would test the readings. For investors, buying ceiling stocks at the quoted next open lost 0.7% against the market by the fifth close, before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trading-platform change and a period of market stress. (ii) We have no order-book, investor-type, announcement, or news data, so we infer the unfilled-demand mechanism and cannot separate it from selection on news. (iii) The 7% band, the reference price, and the platform change come from brokerage and press descriptions, which we check against the return distribution but not against exchange circulars. Tick sizes, reference-price treatment on corporate-action days, and wider bands for first-day listings and resumed trading are assumptions. (iv) The vendor appears to adjust earlier prices for later corporate actions: for stocks priced at 10 thousand dong or more, only 25% of 2024 closes, 31% of 2025 closes, and 58% of 2026 closes are multiples of the tick size, against 100% for stocks below 10 thousand dong, and near hits make up 62% of ceiling events for the higher-priced stocks against 23% for the others. Proportional adjustment leaves returns (except on ex-dates), the close-at-high event rule, and locked days unchanged, but it makes the exact-hit classification of Equation (3) unreliable, so we treat exact and near hits as a data check rather than as a measure of distance to the limit. The listing snapshot also excludes earlier delistings. (v) Clustered standard errors allow dependence across dates, weeks, blocks, and stocks, but events in the same market episode may depend on each other more, and we did not compute calendar-time portfolio estimates or standard errors robust to both cross-sectional and serial dependence. (vi) Several characteristics (5-day return, MAX, MIN, move frequency, overnight return) share inputs with the event definition, and the Corwin–Schultz spread and range volatility use high and low prices that limits censor. (vii) The floor effect depends on the benchmark, and we built no beta- and size-matched control for the five-day outcome. (viii) The characteristic tests have limited power, and the effect sizes may carry winner’s-curse bias because we chose this question from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characteristic tests do not, although the latter have limited power. After a ceiling close, the stock earns a next-day abnormal return of about 1.7%, which is an overnight gap of 2.2% less an intraday reversal of 0.5%. The gap is 2.7 percentage points larger than for stocks that rose 5% to 6.5% and 3.1 points larger than for those among them that also closed at their high. After a floor close, the overnight gap is −1.0%. The pattern fits delayed price discovery at the limit, but news and attention remain possible explanations. An outside buyer at the next open loses 0.7% against the market by the fifth close. Longer samples, announcement data, and order-book data would let future work separate these explanations.</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6"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0">
        <w:r>
          <w:rPr>
            <w:rStyle w:val="Hyperlink"/>
          </w:rPr>
          <w:t xml:space="preserve">https://doi.org/10.1111/j.1540-6261.2008.01320.x</w:t>
        </w:r>
      </w:hyperlink>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1">
        <w:r>
          <w:rPr>
            <w:rStyle w:val="Hyperlink"/>
          </w:rPr>
          <w:t xml:space="preserve">https://doi.org/10.1111/acfi.13354</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w:t>
      </w:r>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59">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0">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1">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2">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3">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4">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5">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6"/>
    <w:bookmarkStart w:id="67" w:name="appendix-a.-characteristic-definitions"/>
    <w:p>
      <w:pPr>
        <w:pStyle w:val="Heading1"/>
        <w:keepNext/>
      </w:pPr>
      <w:r>
        <w:t xml:space="preserve">Appendix A. Characteristic definitions</w:t>
      </w:r>
    </w:p>
    <w:p>
      <w:pPr>
        <w:pStyle w:val="FirstParagraph"/>
      </w:pPr>
      <w:r>
        <w:t xml:space="preserve">All characteristics use data up to the formation day of each week. REV1W and REV1M are the compounded returns over the last 5 and 20 trading days. MOM3M and MOM6M are the compounded returns over 60 and 110 trading days ending five days before formation. IMOM compounds the return in excess of the dollar-volume-weighted market over the MOM3M window. VOL is the standard deviation of daily returns over the last 60 days, BETA is the slope and IVOL the residual standard deviation of a regression of those returns on the dollar-volume-weighted return of the stocks in that week’s cross-section, with weights at the formation day, and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w:t>
      </w:r>
      <w:r>
        <w:t xml:space="preserve">over the same 60 days, so days with positive returns enter as zeros. RANGEVOL is the Parkinson (1980) estimator from daily highs and lows over 60 days. MAX and MIN are the largest and smallest daily returns over 20 days, and SKEW and KURT are the third and fourth standardized moments of daily returns over 60 days. AMIHUD is the mean ratio of absolute return to dollar volume over 60 days (Amihud, 2002), LNDVOL the log of mean dollar volume over 60 days, and DVOLCHG and TURNCHG the ratios of 20-day to 60-day mean dollar volume and share volume. CSSPREAD is the Corwin and Schultz (2012) spread estimator over 60 days. OVERNIGHT and INTRADAY are the mean open-over-previous-close and close-over-open returns over 20 days, and LIMITFREQ is the share of the last 20 days with an absolute return of 6.5% or more.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i"/>
                  </m:rPr>
                  <m:t>T</m:t>
                </m:r>
                <m:r>
                  <m:rPr>
                    <m:sty m:val="i"/>
                  </m:rPr>
                  <m:t>O</m:t>
                </m:r>
              </m:e>
              <m:sub>
                <m:r>
                  <m:t>L</m:t>
                </m:r>
              </m:sub>
            </m:sSub>
            <m:r>
              <m:rPr>
                <m:sty m:val="p"/>
              </m:rPr>
              <m:t>+</m:t>
            </m:r>
            <m:sSub>
              <m:e>
                <m:r>
                  <m:rPr>
                    <m:sty m:val="i"/>
                  </m:rPr>
                  <m:t>T</m:t>
                </m:r>
                <m:r>
                  <m:rPr>
                    <m:sty m:val="i"/>
                  </m:rPr>
                  <m:t>O</m:t>
                </m:r>
              </m:e>
              <m:sub>
                <m:r>
                  <m:t>S</m:t>
                </m:r>
              </m:sub>
            </m:sSub>
          </m:e>
        </m:d>
      </m:oMath>
      <w:r>
        <w:t xml:space="preserve">, where</w:t>
      </w:r>
      <w:r>
        <w:t xml:space="preserve"> </w:t>
      </w:r>
      <m:oMath>
        <m:sSub>
          <m:e>
            <m:r>
              <m:rPr>
                <m:sty m:val="i"/>
              </m:rPr>
              <m:t>T</m:t>
            </m:r>
            <m:r>
              <m:rPr>
                <m:sty m:val="i"/>
              </m:rPr>
              <m:t>O</m:t>
            </m:r>
          </m:e>
          <m:sub>
            <m:r>
              <m:t>L</m:t>
            </m:r>
          </m:sub>
        </m:sSub>
      </m:oMath>
      <w:r>
        <w:t xml:space="preserve"> </w:t>
      </w:r>
      <w:r>
        <w:t xml:space="preserve">and</w:t>
      </w:r>
      <w:r>
        <w:t xml:space="preserve"> </w:t>
      </w:r>
      <m:oMath>
        <m:sSub>
          <m:e>
            <m:r>
              <m:rPr>
                <m:sty m:val="i"/>
              </m:rPr>
              <m:t>T</m:t>
            </m:r>
            <m:r>
              <m:rPr>
                <m:sty m:val="i"/>
              </m:rPr>
              <m:t>O</m:t>
            </m:r>
          </m:e>
          <m:sub>
            <m:r>
              <m:t>S</m:t>
            </m:r>
          </m:sub>
        </m:sSub>
      </m:oMath>
      <w:r>
        <w:t xml:space="preserve"> </w:t>
      </w:r>
      <w:r>
        <w:t xml:space="preserve">are the shares of the long and short legs replaced since the previous week.</w:t>
      </w:r>
    </w:p>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5" Type="http://schemas.openxmlformats.org/officeDocument/2006/relationships/hyperlink" Target="https://doi.org/10.1016/j.frl.2023.104803"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59"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1"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1"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3"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0"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2" Type="http://schemas.openxmlformats.org/officeDocument/2006/relationships/hyperlink" Target="https://doi.org/10.1371/journal.pone.0287548" TargetMode="External"/><Relationship Id="rId60" Type="http://schemas.openxmlformats.org/officeDocument/2006/relationships/hyperlink" Target="https://doi.org/10.2307/1913610" TargetMode="External"/><Relationship Id="rId64"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5" Type="http://schemas.openxmlformats.org/officeDocument/2006/relationships/hyperlink" Target="https://doi.org/10.1016/j.frl.2023.104803"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59"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1"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1"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3"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0"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2" Type="http://schemas.openxmlformats.org/officeDocument/2006/relationships/hyperlink" Target="https://doi.org/10.1371/journal.pone.0287548" TargetMode="External"/><Relationship Id="rId60" Type="http://schemas.openxmlformats.org/officeDocument/2006/relationships/hyperlink" Target="https://doi.org/10.2307/1913610" TargetMode="External"/><Relationship Id="rId64"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2026-10-05T11:45:13Z</dcterms:created>
  <dcterms:modified xsi:type="dcterms:W3CDTF">2026-10-05T11:45:13Z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