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240" w:lineRule="auto"/>
        <w:jc w:val="both"/>
      </w:pPr>
      <w:r>
        <w:rPr>
          <w:bCs/>
          <w:rFonts w:ascii="Calibri" w:hAnsi="Calibri"/>
          <w:b w:val="0"/>
          <w:sz w:val="20"/>
        </w:rPr>
        <w:t xml:space="preserve">Supplementary Material S1</w:t>
      </w:r>
    </w:p>
    <w:p>
      <w:pPr>
        <w:pStyle w:val="BodyText"/>
        <w:spacing w:line="240" w:lineRule="auto"/>
        <w:jc w:val="both"/>
      </w:pPr>
      <w:r>
        <w:rPr>
          <w:rFonts w:ascii="Calibri" w:hAnsi="Calibri"/>
          <w:b w:val="0"/>
          <w:sz w:val="20"/>
        </w:rPr>
        <w:t xml:space="preserve">Closing at the limit: price limits, overnight gaps and next-day returns on the Ho Chi Minh Stock Exchange</w:t>
      </w:r>
    </w:p>
    <w:bookmarkStart w:id="20" w:name="s1.1.-characteristic-definitions"/>
    <w:p>
      <w:pPr>
        <w:pStyle w:val="Heading2"/>
        <w:spacing w:line="240" w:lineRule="auto"/>
        <w:jc w:val="both"/>
      </w:pPr>
      <w:r>
        <w:rPr>
          <w:rFonts w:ascii="Calibri" w:hAnsi="Calibri"/>
          <w:b w:val="0"/>
          <w:sz w:val="20"/>
        </w:rPr>
        <w:t xml:space="preserve">S1.1. Characteristic definitions</w:t>
      </w:r>
    </w:p>
    <w:p>
      <w:pPr>
        <w:pStyle w:val="FirstParagraph"/>
        <w:spacing w:line="240" w:lineRule="auto"/>
        <w:jc w:val="both"/>
      </w:pPr>
      <w:r>
        <w:rPr>
          <w:rFonts w:ascii="Calibri" w:hAnsi="Calibri"/>
          <w:b w:val="0"/>
          <w:sz w:val="20"/>
        </w:rPr>
        <w:t xml:space="preserve">All characteristics use data up to each week’s formation day. REV1W and REV1M are the compounded returns over the last 5 and 20 trading days, and MOM3M and MOM6M over 60 and 110 trading days ending five days before formation. IMOM compounds the return in excess of the dollar-volume-weighted market over the MOM3M window. Over the last 60 days, VOL is the standard deviation of daily returns; BETA and IVOL are the slope and residual standard deviation of a regression of those returns on the dollar-volume-weighted return of that week’s cross-section; DOWNVOL is the square root of the mean of</w:t>
      </w:r>
      <w:r>
        <w:rPr>
          <w:rFonts w:ascii="Calibri" w:hAnsi="Calibri"/>
          <w:b w:val="0"/>
          <w:sz w:val="20"/>
        </w:rPr>
        <w:t xml:space="preserve"> </w:t>
      </w:r>
      <m:oMath>
        <m:r>
          <m:rPr>
            <m:sty m:val="p"/>
          </m:rPr>
          <m:t>min</m:t>
        </m:r>
        <m:sSup>
          <m:e>
            <m:d>
              <m:dPr>
                <m:begChr m:val="("/>
                <m:endChr m:val=")"/>
                <m:sepChr m:val=""/>
                <m:grow/>
              </m:dPr>
              <m:e>
                <m:r>
                  <m:t>r</m:t>
                </m:r>
                <m:r>
                  <m:rPr>
                    <m:sty m:val="p"/>
                  </m:rPr>
                  <m:t>,</m:t>
                </m:r>
                <m:r>
                  <m:t>0</m:t>
                </m:r>
              </m:e>
            </m:d>
          </m:e>
          <m:sup>
            <m:r>
              <m:t>2</m:t>
            </m:r>
          </m:sup>
        </m:sSup>
      </m:oMath>
      <w:r>
        <w:rPr>
          <w:rFonts w:ascii="Calibri" w:hAnsi="Calibri"/>
          <w:b w:val="0"/>
          <w:sz w:val="20"/>
        </w:rPr>
        <w:t xml:space="preserve">; RANGEVOL is the Parkinson (1980) high-low estimator; SKEW and KURT are the third and fourth standardized moments; AMIHUD is the mean ratio of absolute return to dollar volume (Amihud, 2002); LNDVOL is the log of mean dollar volume; and CSSPREAD is the Corwin and Schultz (2012) spread estimator. Over the last 20 days, MAX and MIN are the largest and smallest daily returns (Bali et al., 2011), OVERNIGHT and INTRADAY the mean open-over-previous-close and close-over-open returns, and LIMITFREQ the share of days with an absolute return of 6.5% or more. DVOLCHG and TURNCHG are the ratios of 20-day to 60-day mean dollar volume and share volume. The quintile spread is the equal-weighted abnormal return of the top minus the bottom quintile over the next five days; the net spread subtracts</w:t>
      </w:r>
      <w:r>
        <w:rPr>
          <w:rFonts w:ascii="Calibri" w:hAnsi="Calibri"/>
          <w:b w:val="0"/>
          <w:sz w:val="20"/>
        </w:rPr>
        <w:t xml:space="preserve"> </w:t>
      </w:r>
      <m:oMath>
        <m:r>
          <m:t>2</m:t>
        </m:r>
        <m:r>
          <m:rPr>
            <m:sty m:val="p"/>
          </m:rPr>
          <m:t>×</m:t>
        </m:r>
        <m:r>
          <m:t>0.0025</m:t>
        </m:r>
        <m:r>
          <m:rPr>
            <m:sty m:val="p"/>
          </m:rPr>
          <m:t>×</m:t>
        </m:r>
        <m:d>
          <m:dPr>
            <m:begChr m:val="("/>
            <m:endChr m:val=")"/>
            <m:sepChr m:val=""/>
            <m:grow/>
          </m:dPr>
          <m:e>
            <m:sSub>
              <m:e>
                <m:r>
                  <m:rPr>
                    <m:sty m:val="p"/>
                  </m:rPr>
                  <m:t>T</m:t>
                </m:r>
                <m:r>
                  <m:rPr>
                    <m:sty m:val="p"/>
                  </m:rPr>
                  <m:t>O</m:t>
                </m:r>
              </m:e>
              <m:sub>
                <m:r>
                  <m:t>L</m:t>
                </m:r>
              </m:sub>
            </m:sSub>
            <m:r>
              <m:rPr>
                <m:sty m:val="p"/>
              </m:rPr>
              <m:t>+</m:t>
            </m:r>
            <m:sSub>
              <m:e>
                <m:r>
                  <m:rPr>
                    <m:sty m:val="p"/>
                  </m:rPr>
                  <m:t>T</m:t>
                </m:r>
                <m:r>
                  <m:rPr>
                    <m:sty m:val="p"/>
                  </m:rPr>
                  <m:t>O</m:t>
                </m:r>
              </m:e>
              <m:sub>
                <m:r>
                  <m:t>S</m:t>
                </m:r>
              </m:sub>
            </m:sSub>
          </m:e>
        </m:d>
      </m:oMath>
      <w:r>
        <w:rPr>
          <w:rFonts w:ascii="Calibri" w:hAnsi="Calibri"/>
          <w:b w:val="0"/>
          <w:sz w:val="20"/>
        </w:rPr>
        <w:t xml:space="preserve">, where</w:t>
      </w:r>
      <w:r>
        <w:rPr>
          <w:rFonts w:ascii="Calibri" w:hAnsi="Calibri"/>
          <w:b w:val="0"/>
          <w:sz w:val="20"/>
        </w:rPr>
        <w:t xml:space="preserve"> </w:t>
      </w:r>
      <m:oMath>
        <m:sSub>
          <m:e>
            <m:r>
              <m:rPr>
                <m:sty m:val="p"/>
              </m:rPr>
              <m:t>T</m:t>
            </m:r>
            <m:r>
              <m:rPr>
                <m:sty m:val="p"/>
              </m:rPr>
              <m:t>O</m:t>
            </m:r>
          </m:e>
          <m:sub>
            <m:r>
              <m:t>L</m:t>
            </m:r>
          </m:sub>
        </m:sSub>
      </m:oMath>
      <w:r>
        <w:rPr>
          <w:rFonts w:ascii="Calibri" w:hAnsi="Calibri"/>
          <w:b w:val="0"/>
          <w:sz w:val="20"/>
        </w:rPr>
        <w:t xml:space="preserve"> </w:t>
      </w:r>
      <w:r>
        <w:rPr>
          <w:rFonts w:ascii="Calibri" w:hAnsi="Calibri"/>
          <w:b w:val="0"/>
          <w:sz w:val="20"/>
        </w:rPr>
        <w:t xml:space="preserve">and</w:t>
      </w:r>
      <w:r>
        <w:rPr>
          <w:rFonts w:ascii="Calibri" w:hAnsi="Calibri"/>
          <w:b w:val="0"/>
          <w:sz w:val="20"/>
        </w:rPr>
        <w:t xml:space="preserve"> </w:t>
      </w:r>
      <m:oMath>
        <m:sSub>
          <m:e>
            <m:r>
              <m:rPr>
                <m:sty m:val="p"/>
              </m:rPr>
              <m:t>T</m:t>
            </m:r>
            <m:r>
              <m:rPr>
                <m:sty m:val="p"/>
              </m:rPr>
              <m:t>O</m:t>
            </m:r>
          </m:e>
          <m:sub>
            <m:r>
              <m:t>S</m:t>
            </m:r>
          </m:sub>
        </m:sSub>
      </m:oMath>
      <w:r>
        <w:rPr>
          <w:rFonts w:ascii="Calibri" w:hAnsi="Calibri"/>
          <w:b w:val="0"/>
          <w:sz w:val="20"/>
        </w:rPr>
        <w:t xml:space="preserve"> </w:t>
      </w:r>
      <w:r>
        <w:rPr>
          <w:rFonts w:ascii="Calibri" w:hAnsi="Calibri"/>
          <w:b w:val="0"/>
          <w:sz w:val="20"/>
        </w:rPr>
        <w:t xml:space="preserve">are the shares of the long and short legs replaced since the previous week.</w:t>
      </w:r>
    </w:p>
    <w:bookmarkEnd w:id="20"/>
    <w:bookmarkStart w:id="21" w:name="s1.2.-literature-search"/>
    <w:p>
      <w:pPr>
        <w:pStyle w:val="Heading2"/>
        <w:spacing w:line="240" w:lineRule="auto"/>
        <w:jc w:val="both"/>
      </w:pPr>
      <w:r>
        <w:rPr>
          <w:rFonts w:ascii="Calibri" w:hAnsi="Calibri"/>
          <w:b w:val="0"/>
          <w:sz w:val="20"/>
        </w:rPr>
        <w:t xml:space="preserve">S1.2. Literature search</w:t>
      </w:r>
    </w:p>
    <w:p>
      <w:pPr>
        <w:pStyle w:val="FirstParagraph"/>
        <w:spacing w:line="240" w:lineRule="auto"/>
        <w:jc w:val="both"/>
      </w:pPr>
      <w:r>
        <w:rPr>
          <w:rFonts w:ascii="Calibri" w:hAnsi="Calibri"/>
          <w:b w:val="0"/>
          <w:sz w:val="20"/>
        </w:rPr>
        <w:t xml:space="preserve">We searched on 4 and 5 October 2026 with the web search tool of the AI assistant named in Section 6.2 of the article; no subscription database (Scopus or Web of Science) was available, and publisher pages could not be opened. The search topics were price-limit performance (delayed price discovery, volatility spillover, trading interference, and magnet effect), price-limit band changes, price limits in Vietnam and on HOSE and HNX, overnight versus intraday returns, lottery-type (MAX) and low-volatility effects, circuit breakers, multiple testing and false discoveries in asset pricing, Fama–MacBeth and clustered standard errors, regression discontinuity, weekly return predictability, and anomalies in the Vietnamese stock market; exact query strings were not logged. We screened about 100 records by title and abstract and kept peer-reviewed journal articles in English whose bibliographic record we could confirm; working papers, theses, code repositories, and press items were not used as evidence, except for press and brokerage descriptions of HOSE rules (Section 2.1 of the article). Vietnamese-language journals were not searched, and the coverage of Chinese A-share studies is incomplete. We read the bibliographic records and the abstract text returned by the search tool, not full texts. Statements in this paper that no study reports a given result refer to the peer-reviewed studies this search identified.</w:t>
      </w:r>
    </w:p>
    <w:bookmarkEnd w:id="21"/>
    <w:bookmarkStart w:id="26" w:name="references"/>
    <w:p>
      <w:pPr>
        <w:pStyle w:val="Heading2"/>
        <w:spacing w:line="240" w:lineRule="auto"/>
        <w:jc w:val="both"/>
      </w:pPr>
      <w:r>
        <w:rPr>
          <w:rFonts w:ascii="Calibri" w:hAnsi="Calibri"/>
          <w:b w:val="0"/>
          <w:sz w:val="20"/>
        </w:rPr>
        <w:t xml:space="preserve">References</w:t>
      </w:r>
    </w:p>
    <w:p>
      <w:pPr>
        <w:pStyle w:val="FirstParagraph"/>
        <w:spacing w:line="240" w:lineRule="auto"/>
        <w:jc w:val="both"/>
      </w:pPr>
      <w:r>
        <w:rPr>
          <w:rFonts w:ascii="Calibri" w:hAnsi="Calibri"/>
          <w:b w:val="0"/>
          <w:sz w:val="20"/>
        </w:rPr>
        <w:t xml:space="preserve">Amihud, Y. (2002). Illiquidity and stock returns: Cross-section and time-series effects.</w:t>
      </w:r>
      <w:r>
        <w:rPr>
          <w:rFonts w:ascii="Calibri" w:hAnsi="Calibri"/>
          <w:b w:val="0"/>
          <w:sz w:val="20"/>
        </w:rPr>
        <w:t xml:space="preserve"> </w:t>
      </w:r>
      <w:r>
        <w:rPr>
          <w:iCs/>
          <w:rFonts w:ascii="Calibri" w:hAnsi="Calibri"/>
          <w:b w:val="0"/>
          <w:i/>
          <w:sz w:val="20"/>
        </w:rPr>
        <w:t xml:space="preserve">Journal of Financial Markets, 5</w:t>
      </w:r>
      <w:r>
        <w:rPr>
          <w:rFonts w:ascii="Calibri" w:hAnsi="Calibri"/>
          <w:b w:val="0"/>
          <w:sz w:val="20"/>
        </w:rPr>
        <w:t xml:space="preserve">(1), 31–56.</w:t>
      </w:r>
      <w:r>
        <w:rPr>
          <w:rFonts w:ascii="Calibri" w:hAnsi="Calibri"/>
          <w:b w:val="0"/>
          <w:sz w:val="20"/>
        </w:rPr>
        <w:t xml:space="preserve"> </w:t>
      </w:r>
      <w:hyperlink r:id="rId22">
        <w:r>
          <w:rPr>
            <w:rStyle w:val="Hyperlink"/>
          </w:rPr>
          <w:t xml:space="preserve">https://doi.org/10.1016/S1386-4181(01)00024-6</w:t>
        </w:r>
      </w:hyperlink>
    </w:p>
    <w:p>
      <w:pPr>
        <w:pStyle w:val="BodyText"/>
        <w:spacing w:line="240" w:lineRule="auto"/>
        <w:jc w:val="both"/>
      </w:pPr>
      <w:r>
        <w:rPr>
          <w:rFonts w:ascii="Calibri" w:hAnsi="Calibri"/>
          <w:b w:val="0"/>
          <w:sz w:val="20"/>
        </w:rPr>
        <w:t xml:space="preserve">Bali, T. G., Cakici, N., &amp; Whitelaw, R. F. (2011). Maxing out: Stocks as lotteries and the cross-section of expected returns.</w:t>
      </w:r>
      <w:r>
        <w:rPr>
          <w:rFonts w:ascii="Calibri" w:hAnsi="Calibri"/>
          <w:b w:val="0"/>
          <w:sz w:val="20"/>
        </w:rPr>
        <w:t xml:space="preserve"> </w:t>
      </w:r>
      <w:r>
        <w:rPr>
          <w:iCs/>
          <w:rFonts w:ascii="Calibri" w:hAnsi="Calibri"/>
          <w:b w:val="0"/>
          <w:i/>
          <w:sz w:val="20"/>
        </w:rPr>
        <w:t xml:space="preserve">Journal of Financial Economics, 99</w:t>
      </w:r>
      <w:r>
        <w:rPr>
          <w:rFonts w:ascii="Calibri" w:hAnsi="Calibri"/>
          <w:b w:val="0"/>
          <w:sz w:val="20"/>
        </w:rPr>
        <w:t xml:space="preserve">(2), 427–446.</w:t>
      </w:r>
      <w:r>
        <w:rPr>
          <w:rFonts w:ascii="Calibri" w:hAnsi="Calibri"/>
          <w:b w:val="0"/>
          <w:sz w:val="20"/>
        </w:rPr>
        <w:t xml:space="preserve"> </w:t>
      </w:r>
      <w:hyperlink r:id="rId23">
        <w:r>
          <w:rPr>
            <w:rStyle w:val="Hyperlink"/>
          </w:rPr>
          <w:t xml:space="preserve">https://doi.org/10.1016/j.jfineco.2010.08.014</w:t>
        </w:r>
      </w:hyperlink>
    </w:p>
    <w:p>
      <w:pPr>
        <w:pStyle w:val="BodyText"/>
        <w:spacing w:line="240" w:lineRule="auto"/>
        <w:jc w:val="both"/>
      </w:pPr>
      <w:r>
        <w:rPr>
          <w:rFonts w:ascii="Calibri" w:hAnsi="Calibri"/>
          <w:b w:val="0"/>
          <w:sz w:val="20"/>
        </w:rPr>
        <w:t xml:space="preserve">Corwin, S. A., &amp; Schultz, P. (2012). A simple way to estimate bid-ask spreads from daily high and low prices.</w:t>
      </w:r>
      <w:r>
        <w:rPr>
          <w:rFonts w:ascii="Calibri" w:hAnsi="Calibri"/>
          <w:b w:val="0"/>
          <w:sz w:val="20"/>
        </w:rPr>
        <w:t xml:space="preserve"> </w:t>
      </w:r>
      <w:r>
        <w:rPr>
          <w:iCs/>
          <w:rFonts w:ascii="Calibri" w:hAnsi="Calibri"/>
          <w:b w:val="0"/>
          <w:i/>
          <w:sz w:val="20"/>
        </w:rPr>
        <w:t xml:space="preserve">The Journal of Finance, 67</w:t>
      </w:r>
      <w:r>
        <w:rPr>
          <w:rFonts w:ascii="Calibri" w:hAnsi="Calibri"/>
          <w:b w:val="0"/>
          <w:sz w:val="20"/>
        </w:rPr>
        <w:t xml:space="preserve">(2), 719–760.</w:t>
      </w:r>
      <w:r>
        <w:rPr>
          <w:rFonts w:ascii="Calibri" w:hAnsi="Calibri"/>
          <w:b w:val="0"/>
          <w:sz w:val="20"/>
        </w:rPr>
        <w:t xml:space="preserve"> </w:t>
      </w:r>
      <w:hyperlink r:id="rId24">
        <w:r>
          <w:rPr>
            <w:rStyle w:val="Hyperlink"/>
          </w:rPr>
          <w:t xml:space="preserve">https://doi.org/10.1111/j.1540-6261.2012.01729.x</w:t>
        </w:r>
      </w:hyperlink>
    </w:p>
    <w:p>
      <w:pPr>
        <w:pStyle w:val="BodyText"/>
        <w:spacing w:line="240" w:lineRule="auto"/>
        <w:jc w:val="both"/>
      </w:pPr>
      <w:r>
        <w:rPr>
          <w:rFonts w:ascii="Calibri" w:hAnsi="Calibri"/>
          <w:b w:val="0"/>
          <w:sz w:val="20"/>
        </w:rPr>
        <w:t xml:space="preserve">Parkinson, M. (1980). The extreme value method for estimating the variance of the rate of return.</w:t>
      </w:r>
      <w:r>
        <w:rPr>
          <w:rFonts w:ascii="Calibri" w:hAnsi="Calibri"/>
          <w:b w:val="0"/>
          <w:sz w:val="20"/>
        </w:rPr>
        <w:t xml:space="preserve"> </w:t>
      </w:r>
      <w:r>
        <w:rPr>
          <w:iCs/>
          <w:rFonts w:ascii="Calibri" w:hAnsi="Calibri"/>
          <w:b w:val="0"/>
          <w:i/>
          <w:sz w:val="20"/>
        </w:rPr>
        <w:t xml:space="preserve">The Journal of Business, 53</w:t>
      </w:r>
      <w:r>
        <w:rPr>
          <w:rFonts w:ascii="Calibri" w:hAnsi="Calibri"/>
          <w:b w:val="0"/>
          <w:sz w:val="20"/>
        </w:rPr>
        <w:t xml:space="preserve">(1), 61–65.</w:t>
      </w:r>
      <w:r>
        <w:rPr>
          <w:rFonts w:ascii="Calibri" w:hAnsi="Calibri"/>
          <w:b w:val="0"/>
          <w:sz w:val="20"/>
        </w:rPr>
        <w:t xml:space="preserve"> </w:t>
      </w:r>
      <w:hyperlink r:id="rId25">
        <w:r>
          <w:rPr>
            <w:rStyle w:val="Hyperlink"/>
          </w:rPr>
          <w:t xml:space="preserve">https://doi.org/10.1086/296071</w:t>
        </w:r>
      </w:hyperlink>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s://doi.org/10.1016/S1386-4181(01)00024-6" TargetMode="External"/><Relationship Id="rId23" Type="http://schemas.openxmlformats.org/officeDocument/2006/relationships/hyperlink" Target="https://doi.org/10.1016/j.jfineco.2010.08.014" TargetMode="External"/><Relationship Id="rId25" Type="http://schemas.openxmlformats.org/officeDocument/2006/relationships/hyperlink" Target="https://doi.org/10.1086/296071" TargetMode="External"/><Relationship Id="rId24" Type="http://schemas.openxmlformats.org/officeDocument/2006/relationships/hyperlink" Target="https://doi.org/10.1111/j.1540-6261.2012.01729.x"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doi.org/10.1016/S1386-4181(01)00024-6" TargetMode="External"/><Relationship Id="rId23" Type="http://schemas.openxmlformats.org/officeDocument/2006/relationships/hyperlink" Target="https://doi.org/10.1016/j.jfineco.2010.08.014" TargetMode="External"/><Relationship Id="rId25" Type="http://schemas.openxmlformats.org/officeDocument/2006/relationships/hyperlink" Target="https://doi.org/10.1086/296071" TargetMode="External"/><Relationship Id="rId24" Type="http://schemas.openxmlformats.org/officeDocument/2006/relationships/hyperlink" Target="https://doi.org/10.1111/j.1540-6261.2012.0172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2026-10-06T04:14:11Z</dcterms:created>
  <dcterms:modified xsi:type="dcterms:W3CDTF">2026-10-06T04:14:11Z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