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[[ABSTRACT]]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and compare limit closes with stocks that moved almost as far.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 Most of the next-day effect arises in the opening auction, linking price-limit design to auction design.</w:t>
      </w:r>
    </w:p>
    <w:p>
      <w:pPr>
        <w:pStyle w:val="BodyText"/>
      </w:pPr>
      <w:r>
        <w:t xml:space="preserve">[[KEYWORDS]] Market microstructure, Multiple testing, False discovery rate, Call auction, Emerging markets, Ho Chi Minh Stock Exchange</w:t>
      </w:r>
    </w:p>
    <w:bookmarkStart w:id="21" w:name="introduction"/>
    <w:p>
      <w:pPr>
        <w:pStyle w:val="Heading1"/>
      </w:pPr>
      <w:r>
        <w:t xml:space="preserve">1. Introduction</w:t>
      </w:r>
    </w:p>
    <w:p>
      <w:pPr>
        <w:pStyle w:val="FirstParagraph"/>
      </w:pPr>
      <w:r>
        <w:t xml:space="preserve">A daily price limit prevents stocks from moving beyond a fixed band within a single trading day. Exchanges in Tokyo, Taipei, Seoul, Shenzhen, and Ho Chi Minh City have used limits to cool markets after large shocks, and economists ask whether a limit protects prices or postpones adjustment.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pPr>
        <w:pStyle w:val="BodyText"/>
      </w:pPr>
      <w:r>
        <w:t xml:space="preserve">Studies on band changes have documented the effects on volatility, liquidity, and crash risk (Jia et al., 2024; Lien et al., 2019; Qi, 2023), and account-level data have shown that large investors buy on the limit day and sell on the next (Chen et al., 2019). Among the studies identified by the search described in Supplementary Material S1, only Huang et al. (2001) described the overnight-then-intraday pattern after limit hits, and the records we could access had no magnitudes. None measures the overnight gap and intraday return after a limit close against a benchmark, places the limit result in a family of tests that controls for other price-based signals a researcher could have examined, or examines the 2025 move of the HOSE to a new trading platform.</w:t>
      </w:r>
    </w:p>
    <w:p>
      <w:pPr>
        <w:pStyle w:val="BodyText"/>
      </w:pPr>
      <w:r>
        <w:t xml:space="preserve">We estimate the abnormal return after the ceiling and floor close on the HOSE, split it into an overnight gap and an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This study makes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bookmarkStart w:id="20" w:name="related-literature-and-hypotheses"/>
    <w:p>
      <w:pPr>
        <w:pStyle w:val="Heading2"/>
      </w:pPr>
      <w:r>
        <w:t xml:space="preserve">1.1. Related literature and hypotheses</w:t>
      </w:r>
    </w:p>
    <w:p>
      <w:pPr>
        <w:pStyle w:val="FirstParagraph"/>
      </w:pPr>
      <w:r>
        <w:rPr>
          <w:iCs/>
          <w:i/>
        </w:rPr>
        <w:t xml:space="preserve">Theory.</w:t>
      </w:r>
      <w:r>
        <w:t xml:space="preserve"> </w:t>
      </w:r>
      <w:r>
        <w:t xml:space="preserve">Models predict protection or distortion depending on the source of the shock. Brennan (1986) rationalized limits in futures markets, Kodres and O’Brien (1994) showed that well-chosen limits can be Pareto superior when fundamental news drives prices because they partly insure traders against implementation risk, and Greenwald and Stein (1991) linked crashes to imperfect transactional mechanisms. Subrahmanyam (1994) showed that halts can advance trades in time and raise price variability.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iCs/>
          <w:i/>
        </w:rPr>
        <w:t xml:space="preserve">Classic evidence.</w:t>
      </w:r>
      <w:r>
        <w:t xml:space="preserve"> </w:t>
      </w:r>
      <w:r>
        <w:t xml:space="preserve">Kim and Rhee (1997) found support in Tokyo for three criticisms of limits: they spill volatility into later days, delay price discovery, and interfere with trading. Bildik and Gülay (2006) found the same result in Istanbul, with stronger evidence from price locks than from limit moves alone. Chen (1993) found that serial correlation decreases as the Taiwanese limit widens, which implies delayed adjustment under the narrower limit. Berkman and Lee (2002) examined volatility and trading activity around the revision of the Korean limit system. Huang et al. (2001) reported for Taiwan that the overnight overreaction after limit hits reverses the following day, the timing pattern we test. Cho et al. (2003) found a magnet effect: prices accelerate toward the upper limit in five-minute Taiwanese datasets. Kim and Limpaphayom (2000) showed that small, volatile, and high-volume stocks hit limits more often, whereas Deb et al. (2013) argued that rigid limits in Tokyo can disrupt price discovery and liquidity provision.</w:t>
      </w:r>
    </w:p>
    <w:p>
      <w:pPr>
        <w:pStyle w:val="BodyText"/>
      </w:pPr>
      <w:r>
        <w:rPr>
          <w:iCs/>
          <w:i/>
        </w:rPr>
        <w:t xml:space="preserve">Band changes and investor-level data.</w:t>
      </w:r>
      <w:r>
        <w:t xml:space="preserve"> </w:t>
      </w:r>
      <w:r>
        <w:t xml:space="preserve">After ChiNext widened its band from 10% to 20% in August 2020, Qi (2023) confirmed delayed price discovery, volatility spillover, and trading interference, stronger at the lower limit and with no magnet effect. Zhang et al. (2022) found higher liquidity, volatility, and probability of informed trading, and Jia et al. (2024) found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a stronger long-run reversal (Chen et al., 2019). Stocks with large limit exposures attract attention and earn lower future returns, especially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iCs/>
          <w:i/>
        </w:rPr>
        <w:t xml:space="preserve">Overnight and intraday returns.</w:t>
      </w:r>
      <w:r>
        <w:t xml:space="preserve"> </w:t>
      </w:r>
      <w:r>
        <w:t xml:space="preserve">Kelly and Clark (2011) showed that overnight and intraday returns differ for index funds. In U.S. stocks, positive overnight returns are followed by intraday reversals, concentrated among stocks with recent retail attention (Berkman et al., 2012). Aboody et al. (2018) tied overnight persistence to sentiment, Lou et al. (2019) found overnight and intraday continuation with an offsetting cross-period reversal, Akbas et al. (2022) found that persistent positive-overnight and negative-daytime patterns predict higher returns, Bogousslavsky (2021) linked the split to margin and lending costs, and Lu et al. (2023) linked it to market makers who absorb retail imbalances near the open. In China, overnight returns are negative on average, which Qiao and Dam (2020) linked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iCs/>
          <w:i/>
        </w:rPr>
        <w:t xml:space="preserve">Multiple testing and weekly regressions.</w:t>
      </w:r>
      <w:r>
        <w:t xml:space="preserve"> </w:t>
      </w:r>
      <w:r>
        <w:t xml:space="preserve">Harvey et al. (2016) argued that a new factor needs a</w:t>
      </w:r>
      <w:r>
        <w:t xml:space="preserve"> </w:t>
      </w:r>
      <w:r>
        <w:rPr>
          <w:iCs/>
          <w:i/>
        </w:rPr>
        <w:t xml:space="preserve">t</w:t>
      </w:r>
      <w:r>
        <w:t xml:space="preserve">-statistic above 3.0, Harvey and Liu (2020) tied the hurdle to a chosen FDR, Chordia et al. (2020) put multiple-testing thresholds for cross-sectional regressions near 3.4, and Hou et al. (2020) found that with microcaps mitigated, 65% of 452 anomalies fail the single-test hurdle of 1.96. Petersen (2009) compared standard-error estimators for panel data, which motivates our alternative clusters, and Gutierrez and Kelley (2008) studied weekly returns, the frequency of our regressions. For Vietnam, Huang et al. (2023) found a size effect and an earnings-to-price effect; our search (Supplementary Material S1) identified no peer-reviewed study of post-limit returns on the HOSE.</w:t>
      </w:r>
    </w:p>
    <w:p>
      <w:pPr>
        <w:pStyle w:val="BodyText"/>
      </w:pPr>
      <w:r>
        <w:rPr>
          <w:iCs/>
          <w:i/>
        </w:rPr>
        <w:t xml:space="preserve">Gap and hypotheses.</w:t>
      </w:r>
      <w:r>
        <w:t xml:space="preserve"> </w:t>
      </w:r>
      <w:r>
        <w:t xml:space="preserve">These studies compared band regimes, sorted stocks by limit exposure, or split overnight and intraday returns for all stocks. Among the studies our search identified, only Huang et al. (2001) linked limit hits to the overnight-intraday split, and none controlled for multiple testing or used the 2025 platform change. If a limit delays price discovery, a ceiling close predicts a positive next-day abnormal return, and a floor close predicts a negative one (H</w:t>
      </w:r>
      <w:r>
        <w:rPr>
          <w:vertAlign w:val="subscript"/>
        </w:rPr>
        <w:t xml:space="preserve">1</w:t>
      </w:r>
      <w:r>
        <w:t xml:space="preserve">). If the opening auction absorbs blocked demand, the effect concentrates in the overnight gap (H</w:t>
      </w:r>
      <w:r>
        <w:rPr>
          <w:vertAlign w:val="subscript"/>
        </w:rPr>
        <w:t xml:space="preserve">2</w:t>
      </w:r>
      <w:r>
        <w:t xml:space="preserve">). If the limit itself drives the gap, the gap after a limit close exceeds the gap after moves of a similar size that stop short of the limit (H</w:t>
      </w:r>
      <w:r>
        <w:rPr>
          <w:vertAlign w:val="subscript"/>
        </w:rPr>
        <w:t xml:space="preserve">3</w:t>
      </w:r>
      <w:r>
        <w:t xml:space="preserve">). An investor who buys at the next open earns no positive abnormal returns through the fifth trading day (H</w:t>
      </w:r>
      <w:r>
        <w:rPr>
          <w:vertAlign w:val="subscript"/>
        </w:rPr>
        <w:t xml:space="preserve">4</w:t>
      </w:r>
      <w:r>
        <w:t xml:space="preserve">). A limit effect that survives the screen applied to all 22 characteristics is more credible than a single large estimate.</w:t>
      </w:r>
    </w:p>
    <w:bookmarkEnd w:id="20"/>
    <w:bookmarkEnd w:id="21"/>
    <w:bookmarkStart w:id="24" w:name="materials-and-methods"/>
    <w:p>
      <w:pPr>
        <w:pStyle w:val="Heading1"/>
      </w:pPr>
      <w:r>
        <w:t xml:space="preserve">2. Materials and Methods</w:t>
      </w:r>
    </w:p>
    <w:bookmarkStart w:id="22" w:name="data-and-institutional-setting"/>
    <w:p>
      <w:pPr>
        <w:pStyle w:val="Heading2"/>
      </w:pPr>
      <w:r>
        <w:t xml:space="preserve">2.1. Data and institutional setting</w:t>
      </w:r>
    </w:p>
    <w:p>
      <w:pPr>
        <w:pStyle w:val="FirstParagraph"/>
      </w:pPr>
      <w:r>
        <w:rPr>
          <w:iCs/>
          <w:i/>
        </w:rPr>
        <w:t xml:space="preserve">Data source.</w:t>
      </w:r>
      <w:r>
        <w:t xml:space="preserve"> </w:t>
      </w:r>
      <w:r>
        <w:t xml:space="preserve">On September 24, 2026, we downloaded daily open, high, low, close, and volume series for all HOSE-listed stocks with the vnstock Python library (version 4.0.4; source Vietcap Securities, VCI). A listing file from the same source and date (743 rows for all instrument types) defines the universe. The retrieval returned 405 HOSE stock files with records through September 23, 2026, and we used the 519 trading days from August 21, 2024. Prices are in thousand dong. The vendor does not document corporate-action adjustment, and the files contain no market capitalization, order book, investor type, or news.</w:t>
      </w:r>
    </w:p>
    <w:p>
      <w:pPr>
        <w:pStyle w:val="BodyText"/>
      </w:pPr>
      <w:r>
        <w:rPr>
          <w:iCs/>
          <w:i/>
        </w:rPr>
        <w:t xml:space="preserve">Sample.</w:t>
      </w:r>
      <w:r>
        <w:t xml:space="preserve"> </w:t>
      </w:r>
      <w:r>
        <w:t xml:space="preserve">We kept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iCs/>
          <w:i/>
        </w:rPr>
        <w:t xml:space="preserve">Institutional setting.</w:t>
      </w:r>
      <w:r>
        <w:t xml:space="preserve"> </w:t>
      </w:r>
      <w:r>
        <w:t xml:space="preserve">The HOSE sets a daily price limit of 7% around the reference price, the previous close on normal trading days (Ho Chi Minh City Securities Corporation [HSC], 2025). On May 5, 2025, the HOSE moved to the trading platform of the Korea Exchange (KRX). The band remained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research-design"/>
    <w:p>
      <w:pPr>
        <w:pStyle w:val="Heading2"/>
      </w:pPr>
      <w:r>
        <w:t xml:space="preserve">2.2. Research design</w:t>
      </w:r>
    </w:p>
    <w:p>
      <w:pPr>
        <w:pStyle w:val="FirstParagraph"/>
      </w:pPr>
      <w:r>
        <w:rPr>
          <w:iCs/>
          <w:i/>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whereas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when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iCs/>
          <w:i/>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4.1, vendor price adjustment).</w:t>
      </w:r>
    </w:p>
    <w:p>
      <w:pPr>
        <w:pStyle w:val="BodyText"/>
      </w:pPr>
      <w:r>
        <w:rPr>
          <w:iCs/>
          <w:i/>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by</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iCs/>
          <w:i/>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requires different data. Table 1 requires returns on all five days after the event (3,187 ceiling and 2,105 floor events). Tables 2 to 4 require the opening and closing prices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closing price, and the control benchmark requires at least 30 control stocks on the date (3,100 and 2,047 events). Figure 2 uses event days up to the second-to-last trading day (3,220 ceiling events). No event was dropped for any other reason.</w:t>
      </w:r>
    </w:p>
    <w:p>
      <w:pPr>
        <w:pStyle w:val="BodyText"/>
      </w:pPr>
      <w:r>
        <w:rPr>
          <w:iCs/>
          <w:i/>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calendar weeks (ISO 8601),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 0 for the comparison moves,</w:t>
      </w:r>
      <w:r>
        <w:t xml:space="preserve"> </w:t>
      </w:r>
      <m:oMath>
        <m:r>
          <m:t>α</m:t>
        </m:r>
      </m:oMath>
      <w:r>
        <w:t xml:space="preserve"> </w:t>
      </w:r>
      <w:r>
        <w:t xml:space="preserve">is the intercept, and</w:t>
      </w:r>
      <w:r>
        <w:t xml:space="preserve"> </w:t>
      </w:r>
      <m:oMath>
        <m:sSub>
          <m:e>
            <m:r>
              <m:t>u</m:t>
            </m:r>
          </m:e>
          <m:sub>
            <m:r>
              <m:t>e</m:t>
            </m:r>
          </m:sub>
        </m:sSub>
      </m:oMath>
      <w:r>
        <w:t xml:space="preserve"> </w:t>
      </w:r>
      <w:r>
        <w:t xml:space="preserve">is the error, with date-clustered HC1 standard errors (R package</w:t>
      </w:r>
      <w:r>
        <w:t xml:space="preserve"> </w:t>
      </w:r>
      <w:r>
        <w:rPr>
          <w:iCs/>
          <w:i/>
        </w:rPr>
        <w:t xml:space="preserve">sandwich</w:t>
      </w:r>
      <w:r>
        <w:t xml:space="preserve">).</w:t>
      </w:r>
    </w:p>
    <w:p>
      <w:pPr>
        <w:pStyle w:val="BodyText"/>
      </w:pPr>
      <w:r>
        <w:rPr>
          <w:iCs/>
          <w:i/>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w:t>
      </w:r>
      <w:r>
        <w:t xml:space="preserve">(five-trading-day periods, not the calendar weeks used for clustering),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at least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a weekly intercept</w:t>
      </w:r>
      <w:r>
        <w:t xml:space="preserve"> </w:t>
      </w:r>
      <m:oMath>
        <m:sSub>
          <m:e>
            <m:r>
              <m:t>a</m:t>
            </m:r>
          </m:e>
          <m:sub>
            <m:r>
              <m:t>τ</m:t>
            </m:r>
          </m:sub>
        </m:sSub>
      </m:oMath>
      <w:r>
        <w:t xml:space="preserve">, slope</w:t>
      </w:r>
      <w:r>
        <w:t xml:space="preserve"> </w:t>
      </w:r>
      <m:oMath>
        <m:sSub>
          <m:e>
            <m:r>
              <m:t>γ</m:t>
            </m:r>
          </m:e>
          <m:sub>
            <m:r>
              <m:t>τ</m:t>
            </m:r>
          </m:sub>
        </m:sSub>
      </m:oMath>
      <w:r>
        <w:t xml:space="preserve">, and residual</w:t>
      </w:r>
      <w:r>
        <w:t xml:space="preserve"> </w:t>
      </w:r>
      <m:oMath>
        <m:sSub>
          <m:e>
            <m:r>
              <m:t>ε</m:t>
            </m:r>
          </m:e>
          <m:sub>
            <m:r>
              <m:t>i</m:t>
            </m:r>
            <m:r>
              <m:rPr>
                <m:sty m:val="p"/>
              </m:rPr>
              <m:t>,</m:t>
            </m:r>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West’s (1987) standard errors (four lags, Bartlett weights, and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(MDE)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iCs/>
          <w:i/>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We also report Holm’s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with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pPr>
        <w:pStyle w:val="BodyText"/>
      </w:pPr>
      <w:r>
        <w:rPr>
          <w:iCs/>
          <w:i/>
        </w:rPr>
        <w:t xml:space="preserve">Analysis plan.</w:t>
      </w:r>
      <w:r>
        <w:t xml:space="preserve"> </w:t>
      </w:r>
      <w:r>
        <w:t xml:space="preserve">We fixed the family, estimators, multiplicity control, and survival rule in a written analysis plan before computing the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decomposition, next-open returns, control group, sub-limit comparison, exact hits, two-way clustering, subsamples, terciles, platform split, and outlier exclusion. We also screened several candidate ideas on the same data before choosing this one, so the effect sizes may be overstated.</w:t>
      </w:r>
    </w:p>
    <w:p>
      <w:pPr>
        <w:pStyle w:val="BodyText"/>
      </w:pPr>
      <w:r>
        <w:rPr>
          <w:iCs/>
          <w:i/>
        </w:rPr>
        <w:t xml:space="preserve">Software and code.</w:t>
      </w:r>
      <w:r>
        <w:t xml:space="preserve"> </w:t>
      </w:r>
      <w:r>
        <w:t xml:space="preserve">We use R 4.3.3 (packages sandwich 3.1.0, lmtest 0.9.40, and ggplot2 3.4.4). One script reproduces every number, table, and figure; the code, data, and output tables are public (Section 6.5).</w:t>
      </w:r>
    </w:p>
    <w:bookmarkEnd w:id="23"/>
    <w:bookmarkEnd w:id="24"/>
    <w:bookmarkStart w:id="25" w:name="results"/>
    <w:p>
      <w:pPr>
        <w:pStyle w:val="Heading1"/>
      </w:pPr>
      <w:r>
        <w:t xml:space="preserve">3. Results</w:t>
      </w:r>
    </w:p>
    <w:p>
      <w:pPr>
        <w:pStyle w:val="FirstParagraph"/>
      </w:pPr>
      <w:r>
        <w:t xml:space="preserve">The event sample contains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therefore,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found in Vietnam; therefore, our null result does not contradict theirs. A short sample, which leaves a premium of a tenth of a percentage point per week below the MDE, and limits that censor the highs and lows of range-based characteristics can each produce the null, and we draw no conclusion about market efficiency.</w:t>
      </w:r>
    </w:p>
    <w:p>
      <w:pPr>
        <w:pStyle w:val="BodyText"/>
      </w:pPr>
      <w:r>
        <w:t xml:space="preserve">Table 1 presents the results of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maintain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whereas floor closes carry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occurs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compared with 6.90% for exact hits, and 83% of their closes are not multiples of the tick size. This points to later price adjustment by the vendor rather than closing below the limit. Therefore, the split is weighted toward higher-priced stocks, where the tick is coarser, and we do not read the difference as a gradient toward the limit. The gap appears in both halves of the sample, on days locked at one price from open to close, and, for ceilings, in each tercile of the 60-day average dollar volume (1.52% in the most liquid). Against same-date controls, the ceiling gap is 2.70% and the floor close-to-close return is −1.65%, so the floor effect depends on the benchmark. Floor events cluster on market-wide down days (740 of 2,111 remain without days on which the market fell by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at their high (low).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requires intraday prices, which we lack.</w:t>
      </w:r>
    </w:p>
    <w:p>
      <w:pPr>
        <w:pStyle w:val="BodyText"/>
      </w:pPr>
      <w:r>
        <w:t xml:space="preserve">Table 4 splits the events on May 5, 2025, when the HOSE moved to the KRX platform.</w:t>
      </w:r>
    </w:p>
    <w:p>
      <w:pPr>
        <w:pStyle w:val="BodyText"/>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accounts for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eight quarters (</w:t>
      </w:r>
      <w:r>
        <w:rPr>
          <w:iCs/>
          <w:i/>
        </w:rPr>
        <w:t xml:space="preserve">t</w:t>
      </w:r>
      <w:r>
        <w:t xml:space="preserve"> </w:t>
      </w:r>
      <w:r>
        <w:t xml:space="preserve">from 2.5 to 16.8); its weakest quarter, 2025-Q2, contains the platform change. The floor gap is negative in every quarter and significant at the 5% level in seven of them. Placebo break dates on the first trading day of each month from January 2025 to April 2026 give ceiling-gap differences between −0.45 and 0.72 percentage points (|</w:t>
      </w:r>
      <w:r>
        <w:rPr>
          <w:iCs/>
          <w:i/>
        </w:rPr>
        <w:t xml:space="preserve">t</w:t>
      </w:r>
      <w:r>
        <w:t xml:space="preserve">| at most 1.4); the split at May 5, 2025, gives the largest difference, 0.85 points, but it is not significant either (</w:t>
      </w:r>
      <w:r>
        <w:rPr>
          <w:iCs/>
          <w:i/>
        </w:rPr>
        <w:t xml:space="preserve">t</w:t>
      </w:r>
      <w:r>
        <w:t xml:space="preserve"> </w:t>
      </w:r>
      <w:r>
        <w:t xml:space="preserve">= 1.6). The floor-gap difference is positive at the four placebo dates before the platform change and negative at 11 of the 11 later ones, and the split at May 5, 2025, gives −0.95 points (</w:t>
      </w:r>
      <w:r>
        <w:rPr>
          <w:iCs/>
          <w:i/>
        </w:rPr>
        <w:t xml:space="preserve">t</w:t>
      </w:r>
      <w:r>
        <w:t xml:space="preserve"> </w:t>
      </w:r>
      <w:r>
        <w:t xml:space="preserve">= −3.2), close to the differences at the placebo dates that follow it. Table 5 shows no trend in the floor gap; the pattern coincides with the weak floor gap in 2025-Q2 (−0.34%), the quarter with the most floor events (802). Therefore,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As with the split in Table 4, these comparisons describe timing and do not identify an effect of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w:t>
      </w:r>
      <w:r>
        <w:t xml:space="preserve">for ceilings; the floor effect depends on the benchmark and its drift appears only before the 2025 platform change.</w:t>
      </w:r>
    </w:p>
    <w:bookmarkEnd w:id="25"/>
    <w:bookmarkStart w:id="27" w:name="discussion"/>
    <w:p>
      <w:pPr>
        <w:pStyle w:val="Heading1"/>
      </w:pPr>
      <w:r>
        <w:t xml:space="preserve">4. Discussion</w:t>
      </w:r>
    </w:p>
    <w:p>
      <w:pPr>
        <w:pStyle w:val="FirstParagraph"/>
      </w:pPr>
      <w:r>
        <w:t xml:space="preserve">Our decomposition adds timing to the evidence of Kim and Rhee (1997): on the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identified by our search (Supplementary Material S1) reports the next-day abnormal return, overnight gap, or intraday return after a limit close in a form that matches ours, so Table 6 compares signs, timing, and mechanism.</w:t>
      </w:r>
    </w:p>
    <w:p>
      <w:pPr>
        <w:pStyle w:val="BodyText"/>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the HOSE, like the ChiNext widening that Qi (2023) studied,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The estimates describe what follows limit closes on the HOSE from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Start w:id="26" w:name="limitations"/>
    <w:p>
      <w:pPr>
        <w:pStyle w:val="Heading2"/>
      </w:pPr>
      <w:r>
        <w:t xml:space="preserve">4.1.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largest and smallest daily returns, move frequency, and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26"/>
    <w:bookmarkEnd w:id="27"/>
    <w:bookmarkStart w:id="28" w:name="conclusions"/>
    <w:p>
      <w:pPr>
        <w:pStyle w:val="Heading1"/>
      </w:pPr>
      <w:r>
        <w:t xml:space="preserve">5. Conclusions</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28"/>
    <w:bookmarkStart w:id="36" w:name="declarations"/>
    <w:p>
      <w:pPr>
        <w:pStyle w:val="Heading1"/>
      </w:pPr>
      <w:r>
        <w:t xml:space="preserve">6. Declarations</w:t>
      </w:r>
    </w:p>
    <w:bookmarkStart w:id="29" w:name="ethical-considerations"/>
    <w:p>
      <w:pPr>
        <w:pStyle w:val="Heading2"/>
      </w:pPr>
      <w:r>
        <w:t xml:space="preserve">6.1. Ethical considerations</w:t>
      </w:r>
    </w:p>
    <w:p>
      <w:pPr>
        <w:pStyle w:val="FirstParagraph"/>
      </w:pPr>
      <w:r>
        <w:t xml:space="preserve">Not applicable. The study uses public market prices and involves no human or animal participants.</w:t>
      </w:r>
    </w:p>
    <w:bookmarkEnd w:id="29"/>
    <w:bookmarkStart w:id="30" w:name="use-of-artificial-intelligence-ai"/>
    <w:p>
      <w:pPr>
        <w:pStyle w:val="Heading2"/>
      </w:pPr>
      <w:r>
        <w:t xml:space="preserve">6.2. Use of artificial intelligence (AI)</w:t>
      </w:r>
    </w:p>
    <w:p>
      <w:pPr>
        <w:pStyle w:val="FirstParagraph"/>
      </w:pPr>
      <w: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bookmarkEnd w:id="30"/>
    <w:bookmarkStart w:id="31" w:name="conflict-of-interest"/>
    <w:p>
      <w:pPr>
        <w:pStyle w:val="Heading2"/>
      </w:pPr>
      <w:r>
        <w:t xml:space="preserve">6.3. Conflict of interest</w:t>
      </w:r>
    </w:p>
    <w:p>
      <w:pPr>
        <w:pStyle w:val="FirstParagraph"/>
      </w:pPr>
      <w:r>
        <w:t xml:space="preserve">The authors declare no conflicts of interest.</w:t>
      </w:r>
    </w:p>
    <w:bookmarkEnd w:id="31"/>
    <w:bookmarkStart w:id="32" w:name="funding"/>
    <w:p>
      <w:pPr>
        <w:pStyle w:val="Heading2"/>
      </w:pPr>
      <w:r>
        <w:t xml:space="preserve">6.4. Funding</w:t>
      </w:r>
    </w:p>
    <w:p>
      <w:pPr>
        <w:pStyle w:val="FirstParagraph"/>
      </w:pPr>
      <w:r>
        <w:t xml:space="preserve">This research did not receive any financial support.</w:t>
      </w:r>
    </w:p>
    <w:bookmarkEnd w:id="32"/>
    <w:bookmarkStart w:id="34" w:name="data-availability"/>
    <w:p>
      <w:pPr>
        <w:pStyle w:val="Heading2"/>
      </w:pPr>
      <w:r>
        <w:t xml:space="preserve">6.5. Data availability</w:t>
      </w:r>
    </w:p>
    <w:p>
      <w:pPr>
        <w:pStyle w:val="FirstParagraph"/>
      </w:pPr>
      <w:r>
        <w:t xml:space="preserve">The price files (vnstock 4.0.4, source VCI, retrieved on September 24, 2026), the R code, and the output tables are available at</w:t>
      </w:r>
      <w:r>
        <w:t xml:space="preserve"> </w:t>
      </w:r>
      <w:hyperlink r:id="rId33">
        <w:r>
          <w:rPr>
            <w:rStyle w:val="Hyperlink"/>
          </w:rPr>
          <w:t xml:space="preserve">https://github.com/trungcandygit/black_litterman_2</w:t>
        </w:r>
      </w:hyperlink>
      <w:r>
        <w:t xml:space="preserve"> </w:t>
      </w:r>
      <w:r>
        <w:t xml:space="preserve">(folders data/raw and paper2).</w:t>
      </w:r>
    </w:p>
    <w:bookmarkEnd w:id="34"/>
    <w:bookmarkStart w:id="35" w:name="author-contributions"/>
    <w:p>
      <w:pPr>
        <w:pStyle w:val="Heading2"/>
      </w:pPr>
      <w:r>
        <w:t xml:space="preserve">6.6. Author contributions</w:t>
      </w:r>
    </w:p>
    <w:p>
      <w:pPr>
        <w:pStyle w:val="FirstParagraph"/>
      </w:pPr>
      <w: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bookmarkEnd w:id="35"/>
    <w:bookmarkEnd w:id="36"/>
    <w:bookmarkStart w:id="65" w:name="references"/>
    <w:p>
      <w:pPr>
        <w:pStyle w:val="Heading1"/>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7">
        <w:r>
          <w:rPr>
            <w:rStyle w:val="Hyperlink"/>
          </w:rPr>
          <w:t xml:space="preserve">https://doi.org/10.1016/j.jfineco.2021.09.019</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8">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49">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0">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1">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2">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Ho Chi Minh City Securities Corporation.</w:t>
      </w:r>
      <w:r>
        <w:t xml:space="preserve"> </w:t>
      </w:r>
      <w:hyperlink r:id="rId53">
        <w:r>
          <w:rPr>
            <w:rStyle w:val="Hyperlink"/>
          </w:rPr>
          <w:t xml:space="preserve">https://www.hsc.com.vn/en/important-changes-of-new-trading-system</w:t>
        </w:r>
      </w:hyperlink>
      <w:r>
        <w:t xml:space="preserve">. Accessed on October 5, 2026.</w:t>
      </w:r>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4">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5">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6">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7">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8">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59">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0">
        <w:r>
          <w:rPr>
            <w:rStyle w:val="Hyperlink"/>
          </w:rPr>
          <w:t xml:space="preserve">https://doi.org/10.2307/1913610</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1">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2">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Viet Nam News.</w:t>
      </w:r>
      <w:r>
        <w:t xml:space="preserve"> </w:t>
      </w:r>
      <w:hyperlink r:id="rId63">
        <w:r>
          <w:rPr>
            <w:rStyle w:val="Hyperlink"/>
          </w:rPr>
          <w:t xml:space="preserve">https://vietnamnews.vn/economy/1717047/krx-system-officially-goes-live.html</w:t>
        </w:r>
      </w:hyperlink>
      <w:r>
        <w:t xml:space="preserve">. Accessed on October 5, 2026.</w:t>
      </w:r>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4">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5"/>
    <w:bookmarkStart w:id="66" w:name="figures"/>
    <w:p>
      <w:pPr>
        <w:pStyle w:val="Heading1"/>
      </w:pPr>
      <w:r>
        <w:t xml:space="preserve">Figures</w:t>
      </w:r>
    </w:p>
    <w:p>
      <w:pPr>
        <w:pStyle w:val="FirstParagraph"/>
      </w:pPr>
      <w:r>
        <w:t xml:space="preserve">[[FIG:figures/F1_characteristics.png]]</w:t>
      </w:r>
    </w:p>
    <w:p>
      <w:pPr>
        <w:pStyle w:val="BodyText"/>
      </w:pPr>
      <w:r>
        <w:t xml:space="preserve">[[CAP]] Figure 1 Fama–MacBeth</w:t>
      </w:r>
      <w:r>
        <w:t xml:space="preserve"> </w:t>
      </w:r>
      <w:r>
        <w:rPr>
          <w:iCs/>
          <w:i/>
        </w:rPr>
        <w:t xml:space="preserve">t</w:t>
      </w:r>
      <w:r>
        <w:t xml:space="preserve">-statistics of the 22 characteristics</w:t>
      </w:r>
    </w:p>
    <w:p>
      <w:pPr>
        <w:pStyle w:val="BodyText"/>
      </w:pPr>
      <w:r>
        <w:t xml:space="preserve">[[NOTE]]</w:t>
      </w:r>
      <w:r>
        <w:t xml:space="preserve"> </w:t>
      </w:r>
      <w:r>
        <w:rPr>
          <w:iCs/>
          <w:i/>
        </w:rPr>
        <w:t xml:space="preserve">Note.</w:t>
      </w:r>
      <w:r>
        <w:t xml:space="preserve"> </w:t>
      </w:r>
      <w:r>
        <w:t xml:space="preserve">Full sample, discovery half (first 39 weeks), and confirmation half, ordered by absolute full-sample</w:t>
      </w:r>
      <w:r>
        <w:t xml:space="preserve"> </w:t>
      </w:r>
      <w:r>
        <w:rPr>
          <w:iCs/>
          <w:i/>
        </w:rPr>
        <w:t xml:space="preserve">t</w:t>
      </w:r>
      <w:r>
        <w:t xml:space="preserve">. Dashed lines mark |</w:t>
      </w:r>
      <w:r>
        <w:rPr>
          <w:iCs/>
          <w:i/>
        </w:rPr>
        <w:t xml:space="preserve">t</w:t>
      </w:r>
      <w:r>
        <w:t xml:space="preserve">| = 1.96 and dotted lines |</w:t>
      </w:r>
      <w:r>
        <w:rPr>
          <w:iCs/>
          <w:i/>
        </w:rPr>
        <w:t xml:space="preserve">t</w:t>
      </w:r>
      <w:r>
        <w:t xml:space="preserve">| = 3. Supplementary Material S1 defines the labels.</w:t>
      </w:r>
    </w:p>
    <w:p>
      <w:pPr>
        <w:pStyle w:val="BodyText"/>
      </w:pPr>
      <w:r>
        <w:t xml:space="preserve">[[FIG:figures/F2_break_at_limit.png]]</w:t>
      </w:r>
    </w:p>
    <w:p>
      <w:pPr>
        <w:pStyle w:val="BodyText"/>
      </w:pPr>
      <w:r>
        <w:t xml:space="preserve">[[CAP]] Figure 2 Next-day abnormal return by the size of the day-</w:t>
      </w:r>
      <w:r>
        <w:rPr>
          <w:iCs/>
          <w:i/>
        </w:rPr>
        <w:t xml:space="preserve">d</w:t>
      </w:r>
      <w:r>
        <w:t xml:space="preserve"> </w:t>
      </w:r>
      <w:r>
        <w:t xml:space="preserve">move</w:t>
      </w:r>
    </w:p>
    <w:p>
      <w:pPr>
        <w:pStyle w:val="BodyText"/>
      </w:pPr>
      <w:r>
        <w:t xml:space="preserve">[[NOTE]]</w:t>
      </w:r>
      <w:r>
        <w:t xml:space="preserve"> </w:t>
      </w:r>
      <w:r>
        <w:rPr>
          <w:iCs/>
          <w:i/>
        </w:rPr>
        <w:t xml:space="preserve">Note.</w:t>
      </w:r>
      <w:r>
        <w:t xml:space="preserve"> </w:t>
      </w:r>
      <w:r>
        <w:t xml:space="preserve">Circles are 1-point bins inside the band, triangles are ceiling and floor events, and squares are other moves of 6.5% to 10%. Bars are 95% confidence intervals clustered by date. Market weights are lagged to day</w:t>
      </w:r>
      <w:r>
        <w:t xml:space="preserve"> </w:t>
      </w:r>
      <w:r>
        <w:rPr>
          <w:iCs/>
          <w:i/>
        </w:rPr>
        <w:t xml:space="preserve">d</w:t>
      </w:r>
      <w:r>
        <w:t xml:space="preserve">.</w:t>
      </w:r>
    </w:p>
    <w:bookmarkEnd w:id="66"/>
    <w:bookmarkStart w:id="67" w:name="tables"/>
    <w:p>
      <w:pPr>
        <w:pStyle w:val="Heading1"/>
      </w:pPr>
      <w:r>
        <w:t xml:space="preserve">Tables</w:t>
      </w:r>
    </w:p>
    <w:p>
      <w:pPr>
        <w:pStyle w:val="FirstParagraph"/>
      </w:pPr>
      <w:r>
        <w:t xml:space="preserve">[[CAP]] Table 1 Market-adjusted returns after ceiling and floor closes</w:t>
      </w:r>
    </w:p>
    <w:tbl>
      <w:tblPr>
        <w:tblStyle w:val="Table"/>
        <w:tblW w:type="pct" w:w="5000"/>
        <w:tblLook w:firstRow="1" w:lastRow="0" w:firstColumn="0" w:lastColumn="0" w:noHBand="0" w:noVBand="0" w:val="0020"/>
        <w:jc w:val="start"/>
      </w:tblPr>
      <w:tblGrid>
        <w:gridCol w:w="728"/>
        <w:gridCol w:w="1365"/>
        <w:gridCol w:w="819"/>
        <w:gridCol w:w="1001"/>
        <w:gridCol w:w="1001"/>
        <w:gridCol w:w="1183"/>
        <w:gridCol w:w="1183"/>
        <w:gridCol w:w="637"/>
      </w:tblGrid>
      <w:tr>
        <w:trPr>
          <w:tblHeader w:val="true"/>
        </w:trPr>
        <w:tc>
          <w:tcPr/>
          <w:p>
            <w:pPr>
              <w:pStyle w:val="Compact"/>
              <w:jc w:val="left"/>
            </w:pPr>
            <w:r>
              <w:t xml:space="preserve">Event</w:t>
            </w:r>
          </w:p>
        </w:tc>
        <w:tc>
          <w:tcPr/>
          <w:p>
            <w:pPr>
              <w:pStyle w:val="Compact"/>
              <w:jc w:val="left"/>
            </w:pPr>
            <w:r>
              <w:t xml:space="preserve">Horizon</w:t>
            </w:r>
          </w:p>
        </w:tc>
        <w:tc>
          <w:tcPr/>
          <w:p>
            <w:pPr>
              <w:pStyle w:val="Compact"/>
              <w:jc w:val="left"/>
            </w:pPr>
            <w:r>
              <w:t xml:space="preserve">Mean (%)</w:t>
            </w:r>
          </w:p>
        </w:tc>
        <w:tc>
          <w:tcPr/>
          <w:p>
            <w:pPr>
              <w:pStyle w:val="Compact"/>
              <w:jc w:val="left"/>
            </w:pPr>
            <w:r>
              <w:rPr>
                <w:iCs/>
                <w:i/>
              </w:rPr>
              <w:t xml:space="preserve">t</w:t>
            </w:r>
            <w:r>
              <w:t xml:space="preserve"> </w:t>
            </w:r>
            <w:r>
              <w:t xml:space="preserve">(date)</w:t>
            </w:r>
          </w:p>
        </w:tc>
        <w:tc>
          <w:tcPr/>
          <w:p>
            <w:pPr>
              <w:pStyle w:val="Compact"/>
              <w:jc w:val="left"/>
            </w:pPr>
            <w:r>
              <w:rPr>
                <w:iCs/>
                <w:i/>
              </w:rPr>
              <w:t xml:space="preserve">t</w:t>
            </w:r>
            <w:r>
              <w:t xml:space="preserve"> </w:t>
            </w:r>
            <w:r>
              <w:t xml:space="preserve">(week)</w:t>
            </w:r>
          </w:p>
        </w:tc>
        <w:tc>
          <w:tcPr/>
          <w:p>
            <w:pPr>
              <w:pStyle w:val="Compact"/>
              <w:jc w:val="left"/>
            </w:pPr>
            <w:r>
              <w:rPr>
                <w:iCs/>
                <w:i/>
              </w:rPr>
              <w:t xml:space="preserve">t</w:t>
            </w:r>
            <w:r>
              <w:t xml:space="preserve"> </w:t>
            </w:r>
            <w:r>
              <w:t xml:space="preserve">(10-day)</w:t>
            </w:r>
          </w:p>
        </w:tc>
        <w:tc>
          <w:tcPr/>
          <w:p>
            <w:pPr>
              <w:pStyle w:val="Compact"/>
              <w:jc w:val="left"/>
            </w:pPr>
            <w:r>
              <w:rPr>
                <w:iCs/>
                <w:i/>
              </w:rPr>
              <w:t xml:space="preserve">t</w:t>
            </w:r>
            <w:r>
              <w:t xml:space="preserve"> </w:t>
            </w:r>
            <w:r>
              <w:t xml:space="preserve">(halves)</w:t>
            </w:r>
          </w:p>
        </w:tc>
        <w:tc>
          <w:tcPr/>
          <w:p>
            <w:pPr>
              <w:pStyle w:val="Compact"/>
              <w:jc w:val="left"/>
            </w:pPr>
            <w:r>
              <w:t xml:space="preserve">Events</w:t>
            </w:r>
          </w:p>
        </w:tc>
      </w:tr>
      <w:tr>
        <w:tc>
          <w:tcPr/>
          <w:p>
            <w:pPr>
              <w:pStyle w:val="Compact"/>
              <w:jc w:val="left"/>
            </w:pPr>
            <w:r>
              <w:t xml:space="preserve">Ceiling</w:t>
            </w:r>
          </w:p>
        </w:tc>
        <w:tc>
          <w:tcPr/>
          <w:p>
            <w:pPr>
              <w:pStyle w:val="Compact"/>
              <w:jc w:val="left"/>
            </w:pPr>
            <w:r>
              <w:rPr>
                <w:iCs/>
                <w:i/>
              </w:rPr>
              <w:t xml:space="preserve">d</w:t>
            </w:r>
            <w:r>
              <w:t xml:space="preserve">+1</w:t>
            </w:r>
          </w:p>
        </w:tc>
        <w:tc>
          <w:tcPr/>
          <w:p>
            <w:pPr>
              <w:pStyle w:val="Compact"/>
              <w:jc w:val="left"/>
            </w:pPr>
            <w:r>
              <w:t xml:space="preserve">1.66</w:t>
            </w:r>
          </w:p>
        </w:tc>
        <w:tc>
          <w:tcPr/>
          <w:p>
            <w:pPr>
              <w:pStyle w:val="Compact"/>
              <w:jc w:val="left"/>
            </w:pPr>
            <w:r>
              <w:t xml:space="preserve">4.90</w:t>
            </w:r>
          </w:p>
        </w:tc>
        <w:tc>
          <w:tcPr/>
          <w:p>
            <w:pPr>
              <w:pStyle w:val="Compact"/>
              <w:jc w:val="left"/>
            </w:pPr>
            <w:r>
              <w:t xml:space="preserve">4.67</w:t>
            </w:r>
          </w:p>
        </w:tc>
        <w:tc>
          <w:tcPr/>
          <w:p>
            <w:pPr>
              <w:pStyle w:val="Compact"/>
              <w:jc w:val="left"/>
            </w:pPr>
            <w:r>
              <w:t xml:space="preserve">4.61</w:t>
            </w:r>
          </w:p>
        </w:tc>
        <w:tc>
          <w:tcPr/>
          <w:p>
            <w:pPr>
              <w:pStyle w:val="Compact"/>
              <w:jc w:val="left"/>
            </w:pPr>
            <w:r>
              <w:t xml:space="preserve">2.2 / 13.7</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1.45</w:t>
            </w:r>
          </w:p>
        </w:tc>
        <w:tc>
          <w:tcPr/>
          <w:p>
            <w:pPr>
              <w:pStyle w:val="Compact"/>
              <w:jc w:val="left"/>
            </w:pPr>
            <w:r>
              <w:t xml:space="preserve">4.00</w:t>
            </w:r>
          </w:p>
        </w:tc>
        <w:tc>
          <w:tcPr/>
          <w:p>
            <w:pPr>
              <w:pStyle w:val="Compact"/>
              <w:jc w:val="left"/>
            </w:pPr>
            <w:r>
              <w:t xml:space="preserve">3.67</w:t>
            </w:r>
          </w:p>
        </w:tc>
        <w:tc>
          <w:tcPr/>
          <w:p>
            <w:pPr>
              <w:pStyle w:val="Compact"/>
              <w:jc w:val="left"/>
            </w:pPr>
            <w:r>
              <w:t xml:space="preserve">3.81</w:t>
            </w:r>
          </w:p>
        </w:tc>
        <w:tc>
          <w:tcPr/>
          <w:p>
            <w:pPr>
              <w:pStyle w:val="Compact"/>
              <w:jc w:val="left"/>
            </w:pPr>
            <w:r>
              <w:t xml:space="preserve">1.7 / 5.0</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−0.24</w:t>
            </w:r>
          </w:p>
        </w:tc>
        <w:tc>
          <w:tcPr/>
          <w:p>
            <w:pPr>
              <w:pStyle w:val="Compact"/>
              <w:jc w:val="left"/>
            </w:pPr>
            <w:r>
              <w:t xml:space="preserve">−1.53</w:t>
            </w:r>
          </w:p>
        </w:tc>
        <w:tc>
          <w:tcPr/>
          <w:p>
            <w:pPr>
              <w:pStyle w:val="Compact"/>
              <w:jc w:val="left"/>
            </w:pPr>
            <w:r>
              <w:t xml:space="preserve">−1.11</w:t>
            </w:r>
          </w:p>
        </w:tc>
        <w:tc>
          <w:tcPr/>
          <w:p>
            <w:pPr>
              <w:pStyle w:val="Compact"/>
              <w:jc w:val="left"/>
            </w:pPr>
            <w:r>
              <w:t xml:space="preserve">−1.25</w:t>
            </w:r>
          </w:p>
        </w:tc>
        <w:tc>
          <w:tcPr/>
          <w:p>
            <w:pPr>
              <w:pStyle w:val="Compact"/>
              <w:jc w:val="left"/>
            </w:pPr>
            <w:r>
              <w:t xml:space="preserve">−1.1 / −0.4</w:t>
            </w:r>
          </w:p>
        </w:tc>
        <w:tc>
          <w:tcPr/>
          <w:p>
            <w:pPr>
              <w:pStyle w:val="Compact"/>
              <w:jc w:val="left"/>
            </w:pPr>
            <w:r>
              <w:t xml:space="preserve">3,187</w:t>
            </w:r>
          </w:p>
        </w:tc>
      </w:tr>
      <w:tr>
        <w:tc>
          <w:tcPr/>
          <w:p>
            <w:pPr>
              <w:pStyle w:val="Compact"/>
              <w:jc w:val="left"/>
            </w:pPr>
            <w:r>
              <w:t xml:space="preserve">Floor</w:t>
            </w:r>
          </w:p>
        </w:tc>
        <w:tc>
          <w:tcPr/>
          <w:p>
            <w:pPr>
              <w:pStyle w:val="Compact"/>
              <w:jc w:val="left"/>
            </w:pPr>
            <w:r>
              <w:rPr>
                <w:iCs/>
                <w:i/>
              </w:rPr>
              <w:t xml:space="preserve">d</w:t>
            </w:r>
            <w:r>
              <w:t xml:space="preserve">+1</w:t>
            </w:r>
          </w:p>
        </w:tc>
        <w:tc>
          <w:tcPr/>
          <w:p>
            <w:pPr>
              <w:pStyle w:val="Compact"/>
              <w:jc w:val="left"/>
            </w:pPr>
            <w:r>
              <w:t xml:space="preserve">−0.71</w:t>
            </w:r>
          </w:p>
        </w:tc>
        <w:tc>
          <w:tcPr/>
          <w:p>
            <w:pPr>
              <w:pStyle w:val="Compact"/>
              <w:jc w:val="left"/>
            </w:pPr>
            <w:r>
              <w:t xml:space="preserve">−5.32</w:t>
            </w:r>
          </w:p>
        </w:tc>
        <w:tc>
          <w:tcPr/>
          <w:p>
            <w:pPr>
              <w:pStyle w:val="Compact"/>
              <w:jc w:val="left"/>
            </w:pPr>
            <w:r>
              <w:t xml:space="preserve">−4.66</w:t>
            </w:r>
          </w:p>
        </w:tc>
        <w:tc>
          <w:tcPr/>
          <w:p>
            <w:pPr>
              <w:pStyle w:val="Compact"/>
              <w:jc w:val="left"/>
            </w:pPr>
            <w:r>
              <w:t xml:space="preserve">−6.25</w:t>
            </w:r>
          </w:p>
        </w:tc>
        <w:tc>
          <w:tcPr/>
          <w:p>
            <w:pPr>
              <w:pStyle w:val="Compact"/>
              <w:jc w:val="left"/>
            </w:pPr>
            <w:r>
              <w:t xml:space="preserve">−2.7 / −4.6</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−1.76</w:t>
            </w:r>
          </w:p>
        </w:tc>
        <w:tc>
          <w:tcPr/>
          <w:p>
            <w:pPr>
              <w:pStyle w:val="Compact"/>
              <w:jc w:val="left"/>
            </w:pPr>
            <w:r>
              <w:t xml:space="preserve">−4.74</w:t>
            </w:r>
          </w:p>
        </w:tc>
        <w:tc>
          <w:tcPr/>
          <w:p>
            <w:pPr>
              <w:pStyle w:val="Compact"/>
              <w:jc w:val="left"/>
            </w:pPr>
            <w:r>
              <w:t xml:space="preserve">−4.80</w:t>
            </w:r>
          </w:p>
        </w:tc>
        <w:tc>
          <w:tcPr/>
          <w:p>
            <w:pPr>
              <w:pStyle w:val="Compact"/>
              <w:jc w:val="left"/>
            </w:pPr>
            <w:r>
              <w:t xml:space="preserve">−4.92</w:t>
            </w:r>
          </w:p>
        </w:tc>
        <w:tc>
          <w:tcPr/>
          <w:p>
            <w:pPr>
              <w:pStyle w:val="Compact"/>
              <w:jc w:val="left"/>
            </w:pPr>
            <w:r>
              <w:t xml:space="preserve">−12.3 / −2.2</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−1.10</w:t>
            </w:r>
          </w:p>
        </w:tc>
        <w:tc>
          <w:tcPr/>
          <w:p>
            <w:pPr>
              <w:pStyle w:val="Compact"/>
              <w:jc w:val="left"/>
            </w:pPr>
            <w:r>
              <w:t xml:space="preserve">−2.91</w:t>
            </w:r>
          </w:p>
        </w:tc>
        <w:tc>
          <w:tcPr/>
          <w:p>
            <w:pPr>
              <w:pStyle w:val="Compact"/>
              <w:jc w:val="left"/>
            </w:pPr>
            <w:r>
              <w:t xml:space="preserve">−3.01</w:t>
            </w:r>
          </w:p>
        </w:tc>
        <w:tc>
          <w:tcPr/>
          <w:p>
            <w:pPr>
              <w:pStyle w:val="Compact"/>
              <w:jc w:val="left"/>
            </w:pPr>
            <w:r>
              <w:t xml:space="preserve">−2.81</w:t>
            </w:r>
          </w:p>
        </w:tc>
        <w:tc>
          <w:tcPr/>
          <w:p>
            <w:pPr>
              <w:pStyle w:val="Compact"/>
              <w:jc w:val="left"/>
            </w:pPr>
            <w:r>
              <w:t xml:space="preserve">−8.7 / −1.1</w:t>
            </w:r>
          </w:p>
        </w:tc>
        <w:tc>
          <w:tcPr/>
          <w:p>
            <w:pPr>
              <w:pStyle w:val="Compact"/>
              <w:jc w:val="left"/>
            </w:pPr>
            <w:r>
              <w:t xml:space="preserve">2,105</w:t>
            </w:r>
          </w:p>
        </w:tc>
      </w:tr>
    </w:tbl>
    <w:p>
      <w:pPr>
        <w:pStyle w:val="BodyText"/>
      </w:pPr>
      <w:r>
        <w:t xml:space="preserve">[[NOTE]]</w:t>
      </w:r>
      <w:r>
        <w:t xml:space="preserve"> </w:t>
      </w:r>
      <w:r>
        <w:rPr>
          <w:iCs/>
          <w:i/>
        </w:rPr>
        <w:t xml:space="preserve">Note.</w:t>
      </w:r>
      <w:r>
        <w:t xml:space="preserve"> </w:t>
      </w:r>
      <w:r>
        <w:t xml:space="preserve">Mean returns in percent.</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− 1)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− 1 degrees of freedom;</w:t>
      </w:r>
      <w:r>
        <w:t xml:space="preserve"> </w:t>
      </w:r>
      <w:r>
        <w:rPr>
          <w:iCs/>
          <w:i/>
        </w:rPr>
        <w:t xml:space="preserve">t</w:t>
      </w:r>
      <w:r>
        <w:t xml:space="preserve"> </w:t>
      </w:r>
      <w:r>
        <w:t xml:space="preserve">(halves) is week-clustered for the first and second half of event dates.</w:t>
      </w:r>
    </w:p>
    <w:p>
      <w:pPr>
        <w:pStyle w:val="BodyText"/>
      </w:pPr>
      <w:r>
        <w:t xml:space="preserve">[[CAP]] Table 2 Decomposition of the next-day abnormal return</w:t>
      </w:r>
    </w:p>
    <w:tbl>
      <w:tblPr>
        <w:tblStyle w:val="Table"/>
        <w:tblW w:type="pct" w:w="5000"/>
        <w:tblLook w:firstRow="1" w:lastRow="0" w:firstColumn="0" w:lastColumn="0" w:noHBand="0" w:noVBand="0" w:val="0020"/>
        <w:jc w:val="start"/>
      </w:tblPr>
      <w:tblGrid>
        <w:gridCol w:w="2613"/>
        <w:gridCol w:w="554"/>
        <w:gridCol w:w="1108"/>
        <w:gridCol w:w="1029"/>
        <w:gridCol w:w="1188"/>
        <w:gridCol w:w="1425"/>
      </w:tblGrid>
      <w:tr>
        <w:trPr>
          <w:tblHeader w:val="true"/>
        </w:trPr>
        <w:tc>
          <w:tcPr/>
          <w:p>
            <w:pPr>
              <w:pStyle w:val="Compact"/>
              <w:jc w:val="left"/>
            </w:pPr>
            <w:r>
              <w:t xml:space="preserve">Sample</w:t>
            </w:r>
          </w:p>
        </w:tc>
        <w:tc>
          <w:tcPr/>
          <w:p>
            <w:pPr>
              <w:pStyle w:val="Compact"/>
              <w:jc w:val="left"/>
            </w:pPr>
            <w:r>
              <w:t xml:space="preserve">Events</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r>
      <w:tr>
        <w:tc>
          <w:tcPr/>
          <w:p>
            <w:pPr>
              <w:pStyle w:val="Compact"/>
              <w:jc w:val="left"/>
            </w:pPr>
            <w:r>
              <w:t xml:space="preserve">Ceiling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3,199</w:t>
            </w:r>
          </w:p>
        </w:tc>
        <w:tc>
          <w:tcPr/>
          <w:p>
            <w:pPr>
              <w:pStyle w:val="Compact"/>
              <w:jc w:val="left"/>
            </w:pPr>
            <w:r>
              <w:t xml:space="preserve">2.24 (9.7)</w:t>
            </w:r>
          </w:p>
        </w:tc>
        <w:tc>
          <w:tcPr/>
          <w:p>
            <w:pPr>
              <w:pStyle w:val="Compact"/>
              <w:jc w:val="left"/>
            </w:pPr>
            <w:r>
              <w:t xml:space="preserve">−0.54 (−3.5)</w:t>
            </w:r>
          </w:p>
        </w:tc>
        <w:tc>
          <w:tcPr/>
          <w:p>
            <w:pPr>
              <w:pStyle w:val="Compact"/>
              <w:jc w:val="left"/>
            </w:pPr>
            <w:r>
              <w:t xml:space="preserve">1.66 (4.8)</w:t>
            </w:r>
          </w:p>
        </w:tc>
        <w:tc>
          <w:tcPr/>
          <w:p>
            <w:pPr>
              <w:pStyle w:val="Compact"/>
              <w:jc w:val="left"/>
            </w:pPr>
            <w:r>
              <w:t xml:space="preserve">−0.75 (−2.7)</w:t>
            </w:r>
          </w:p>
        </w:tc>
      </w:tr>
      <w:tr>
        <w:tc>
          <w:tcPr/>
          <w:p>
            <w:pPr>
              <w:pStyle w:val="Compact"/>
              <w:jc w:val="left"/>
            </w:pPr>
            <w:r>
              <w:t xml:space="preserve">All, vs same-date controls</w:t>
            </w:r>
          </w:p>
        </w:tc>
        <w:tc>
          <w:tcPr/>
          <w:p>
            <w:pPr>
              <w:pStyle w:val="Compact"/>
              <w:jc w:val="left"/>
            </w:pPr>
            <w:r>
              <w:t xml:space="preserve">3,100</w:t>
            </w:r>
          </w:p>
        </w:tc>
        <w:tc>
          <w:tcPr/>
          <w:p>
            <w:pPr>
              <w:pStyle w:val="Compact"/>
              <w:jc w:val="left"/>
            </w:pPr>
            <w:r>
              <w:t xml:space="preserve">2.70 (20.2)</w:t>
            </w:r>
          </w:p>
        </w:tc>
        <w:tc>
          <w:tcPr/>
          <w:p>
            <w:pPr>
              <w:pStyle w:val="Compact"/>
              <w:jc w:val="left"/>
            </w:pPr>
            <w:r>
              <w:t xml:space="preserve">−0.50 (−6.0)</w:t>
            </w:r>
          </w:p>
        </w:tc>
        <w:tc>
          <w:tcPr/>
          <w:p>
            <w:pPr>
              <w:pStyle w:val="Compact"/>
              <w:jc w:val="left"/>
            </w:pPr>
            <w:r>
              <w:t xml:space="preserve">2.16 (18.0)</w:t>
            </w:r>
          </w:p>
        </w:tc>
        <w:tc>
          <w:tcPr/>
          <w:p>
            <w:pPr>
              <w:pStyle w:val="Compact"/>
              <w:jc w:val="left"/>
            </w:pPr>
            <w:r>
              <w:t xml:space="preserve">−0.53 (−1.8)</w:t>
            </w:r>
          </w:p>
        </w:tc>
      </w:tr>
      <w:tr>
        <w:tc>
          <w:tcPr/>
          <w:p>
            <w:pPr>
              <w:pStyle w:val="Compact"/>
              <w:jc w:val="left"/>
            </w:pPr>
            <w:r>
              <w:t xml:space="preserve">Exact limit hit</w:t>
            </w:r>
          </w:p>
        </w:tc>
        <w:tc>
          <w:tcPr/>
          <w:p>
            <w:pPr>
              <w:pStyle w:val="Compact"/>
              <w:jc w:val="left"/>
            </w:pPr>
            <w:r>
              <w:t xml:space="preserve">1,642</w:t>
            </w:r>
          </w:p>
        </w:tc>
        <w:tc>
          <w:tcPr/>
          <w:p>
            <w:pPr>
              <w:pStyle w:val="Compact"/>
              <w:jc w:val="left"/>
            </w:pPr>
            <w:r>
              <w:t xml:space="preserve">2.79 (13.8)</w:t>
            </w:r>
          </w:p>
        </w:tc>
        <w:tc>
          <w:tcPr/>
          <w:p>
            <w:pPr>
              <w:pStyle w:val="Compact"/>
              <w:jc w:val="left"/>
            </w:pPr>
            <w:r>
              <w:t xml:space="preserve">−0.74 (−5.3)</w:t>
            </w:r>
          </w:p>
        </w:tc>
        <w:tc>
          <w:tcPr/>
          <w:p>
            <w:pPr>
              <w:pStyle w:val="Compact"/>
              <w:jc w:val="left"/>
            </w:pPr>
            <w:r>
              <w:t xml:space="preserve">2.00 (7.1)</w:t>
            </w:r>
          </w:p>
        </w:tc>
        <w:tc>
          <w:tcPr/>
          <w:p>
            <w:pPr>
              <w:pStyle w:val="Compact"/>
              <w:jc w:val="left"/>
            </w:pPr>
            <w:r>
              <w:t xml:space="preserve">−1.02 (−3.0)</w:t>
            </w:r>
          </w:p>
        </w:tc>
      </w:tr>
      <w:tr>
        <w:tc>
          <w:tcPr/>
          <w:p>
            <w:pPr>
              <w:pStyle w:val="Compact"/>
              <w:jc w:val="left"/>
            </w:pPr>
            <w:r>
              <w:t xml:space="preserve">Near hit</w:t>
            </w:r>
          </w:p>
        </w:tc>
        <w:tc>
          <w:tcPr/>
          <w:p>
            <w:pPr>
              <w:pStyle w:val="Compact"/>
              <w:jc w:val="left"/>
            </w:pPr>
            <w:r>
              <w:t xml:space="preserve">1,557</w:t>
            </w:r>
          </w:p>
        </w:tc>
        <w:tc>
          <w:tcPr/>
          <w:p>
            <w:pPr>
              <w:pStyle w:val="Compact"/>
              <w:jc w:val="left"/>
            </w:pPr>
            <w:r>
              <w:t xml:space="preserve">1.67 (6.4)</w:t>
            </w:r>
          </w:p>
        </w:tc>
        <w:tc>
          <w:tcPr/>
          <w:p>
            <w:pPr>
              <w:pStyle w:val="Compact"/>
              <w:jc w:val="left"/>
            </w:pPr>
            <w:r>
              <w:t xml:space="preserve">−0.32 (−1.6)</w:t>
            </w:r>
          </w:p>
        </w:tc>
        <w:tc>
          <w:tcPr/>
          <w:p>
            <w:pPr>
              <w:pStyle w:val="Compact"/>
              <w:jc w:val="left"/>
            </w:pPr>
            <w:r>
              <w:t xml:space="preserve">1.31 (3.1)</w:t>
            </w:r>
          </w:p>
        </w:tc>
        <w:tc>
          <w:tcPr/>
          <w:p>
            <w:pPr>
              <w:pStyle w:val="Compact"/>
              <w:jc w:val="left"/>
            </w:pPr>
            <w:r>
              <w:t xml:space="preserve">−0.46 (−1.3)</w:t>
            </w:r>
          </w:p>
        </w:tc>
      </w:tr>
      <w:tr>
        <w:tc>
          <w:tcPr/>
          <w:p>
            <w:pPr>
              <w:pStyle w:val="Compact"/>
              <w:jc w:val="left"/>
            </w:pPr>
            <w:r>
              <w:t xml:space="preserve">Locked all day</w:t>
            </w:r>
          </w:p>
        </w:tc>
        <w:tc>
          <w:tcPr/>
          <w:p>
            <w:pPr>
              <w:pStyle w:val="Compact"/>
              <w:jc w:val="left"/>
            </w:pPr>
            <w:r>
              <w:t xml:space="preserve">522</w:t>
            </w:r>
          </w:p>
        </w:tc>
        <w:tc>
          <w:tcPr/>
          <w:p>
            <w:pPr>
              <w:pStyle w:val="Compact"/>
              <w:jc w:val="left"/>
            </w:pPr>
            <w:r>
              <w:t xml:space="preserve">2.91 (3.0)</w:t>
            </w:r>
          </w:p>
        </w:tc>
        <w:tc>
          <w:tcPr/>
          <w:p>
            <w:pPr>
              <w:pStyle w:val="Compact"/>
              <w:jc w:val="left"/>
            </w:pPr>
            <w:r>
              <w:t xml:space="preserve">−1.30 (−5.9)</w:t>
            </w:r>
          </w:p>
        </w:tc>
        <w:tc>
          <w:tcPr/>
          <w:p>
            <w:pPr>
              <w:pStyle w:val="Compact"/>
              <w:jc w:val="left"/>
            </w:pPr>
            <w:r>
              <w:t xml:space="preserve">1.54 (1.4)</w:t>
            </w:r>
          </w:p>
        </w:tc>
        <w:tc>
          <w:tcPr/>
          <w:p>
            <w:pPr>
              <w:pStyle w:val="Compact"/>
              <w:jc w:val="left"/>
            </w:pPr>
            <w:r>
              <w:t xml:space="preserve">−0.76 (−1.5)</w:t>
            </w:r>
          </w:p>
        </w:tc>
      </w:tr>
      <w:tr>
        <w:tc>
          <w:tcPr/>
          <w:p>
            <w:pPr>
              <w:pStyle w:val="Compact"/>
              <w:jc w:val="left"/>
            </w:pPr>
            <w:r>
              <w:t xml:space="preserve">First half of sample</w:t>
            </w:r>
          </w:p>
        </w:tc>
        <w:tc>
          <w:tcPr/>
          <w:p>
            <w:pPr>
              <w:pStyle w:val="Compact"/>
              <w:jc w:val="left"/>
            </w:pPr>
            <w:r>
              <w:t xml:space="preserve">1,615</w:t>
            </w:r>
          </w:p>
        </w:tc>
        <w:tc>
          <w:tcPr/>
          <w:p>
            <w:pPr>
              <w:pStyle w:val="Compact"/>
              <w:jc w:val="left"/>
            </w:pPr>
            <w:r>
              <w:t xml:space="preserve">2.24 (5.4)</w:t>
            </w:r>
          </w:p>
        </w:tc>
        <w:tc>
          <w:tcPr/>
          <w:p>
            <w:pPr>
              <w:pStyle w:val="Compact"/>
              <w:jc w:val="left"/>
            </w:pPr>
            <w:r>
              <w:t xml:space="preserve">−0.77 (−3.3)</w:t>
            </w:r>
          </w:p>
        </w:tc>
        <w:tc>
          <w:tcPr/>
          <w:p>
            <w:pPr>
              <w:pStyle w:val="Compact"/>
              <w:jc w:val="left"/>
            </w:pPr>
            <w:r>
              <w:t xml:space="preserve">1.42 (2.3)</w:t>
            </w:r>
          </w:p>
        </w:tc>
        <w:tc>
          <w:tcPr/>
          <w:p>
            <w:pPr>
              <w:pStyle w:val="Compact"/>
              <w:jc w:val="left"/>
            </w:pPr>
            <w:r>
              <w:t xml:space="preserve">−1.13 (−2.9)</w:t>
            </w:r>
          </w:p>
        </w:tc>
      </w:tr>
      <w:tr>
        <w:tc>
          <w:tcPr/>
          <w:p>
            <w:pPr>
              <w:pStyle w:val="Compact"/>
              <w:jc w:val="left"/>
            </w:pPr>
            <w:r>
              <w:t xml:space="preserve">Second half of sample</w:t>
            </w:r>
          </w:p>
        </w:tc>
        <w:tc>
          <w:tcPr/>
          <w:p>
            <w:pPr>
              <w:pStyle w:val="Compact"/>
              <w:jc w:val="left"/>
            </w:pPr>
            <w:r>
              <w:t xml:space="preserve">1,584</w:t>
            </w:r>
          </w:p>
        </w:tc>
        <w:tc>
          <w:tcPr/>
          <w:p>
            <w:pPr>
              <w:pStyle w:val="Compact"/>
              <w:jc w:val="left"/>
            </w:pPr>
            <w:r>
              <w:t xml:space="preserve">2.25 (13.0)</w:t>
            </w:r>
          </w:p>
        </w:tc>
        <w:tc>
          <w:tcPr/>
          <w:p>
            <w:pPr>
              <w:pStyle w:val="Compact"/>
              <w:jc w:val="left"/>
            </w:pPr>
            <w:r>
              <w:t xml:space="preserve">−0.29 (−2.5)</w:t>
            </w:r>
          </w:p>
        </w:tc>
        <w:tc>
          <w:tcPr/>
          <w:p>
            <w:pPr>
              <w:pStyle w:val="Compact"/>
              <w:jc w:val="left"/>
            </w:pPr>
            <w:r>
              <w:t xml:space="preserve">1.91 (11.3)</w:t>
            </w:r>
          </w:p>
        </w:tc>
        <w:tc>
          <w:tcPr/>
          <w:p>
            <w:pPr>
              <w:pStyle w:val="Compact"/>
              <w:jc w:val="left"/>
            </w:pPr>
            <w:r>
              <w:t xml:space="preserve">−0.36 (−1.2)</w:t>
            </w:r>
          </w:p>
        </w:tc>
      </w:tr>
      <w:tr>
        <w:tc>
          <w:tcPr/>
          <w:p>
            <w:pPr>
              <w:pStyle w:val="Compact"/>
              <w:jc w:val="left"/>
            </w:pPr>
            <w:r>
              <w:t xml:space="preserve">Excluding days with market &lt; −2%</w:t>
            </w:r>
          </w:p>
        </w:tc>
        <w:tc>
          <w:tcPr/>
          <w:p>
            <w:pPr>
              <w:pStyle w:val="Compact"/>
              <w:jc w:val="left"/>
            </w:pPr>
            <w:r>
              <w:t xml:space="preserve">3,125</w:t>
            </w:r>
          </w:p>
        </w:tc>
        <w:tc>
          <w:tcPr/>
          <w:p>
            <w:pPr>
              <w:pStyle w:val="Compact"/>
              <w:jc w:val="left"/>
            </w:pPr>
            <w:r>
              <w:t xml:space="preserve">2.24 (9.6)</w:t>
            </w:r>
          </w:p>
        </w:tc>
        <w:tc>
          <w:tcPr/>
          <w:p>
            <w:pPr>
              <w:pStyle w:val="Compact"/>
              <w:jc w:val="left"/>
            </w:pPr>
            <w:r>
              <w:t xml:space="preserve">−0.53 (−3.4)</w:t>
            </w:r>
          </w:p>
        </w:tc>
        <w:tc>
          <w:tcPr/>
          <w:p>
            <w:pPr>
              <w:pStyle w:val="Compact"/>
              <w:jc w:val="left"/>
            </w:pPr>
            <w:r>
              <w:t xml:space="preserve">1.67 (4.7)</w:t>
            </w:r>
          </w:p>
        </w:tc>
        <w:tc>
          <w:tcPr/>
          <w:p>
            <w:pPr>
              <w:pStyle w:val="Compact"/>
              <w:jc w:val="left"/>
            </w:pPr>
            <w:r>
              <w:t xml:space="preserve">−0.70 (−2.6)</w:t>
            </w:r>
          </w:p>
        </w:tc>
      </w:tr>
      <w:tr>
        <w:tc>
          <w:tcPr/>
          <w:p>
            <w:pPr>
              <w:pStyle w:val="Compact"/>
              <w:jc w:val="left"/>
            </w:pPr>
            <w:r>
              <w:t xml:space="preserve">Floor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2,111</w:t>
            </w:r>
          </w:p>
        </w:tc>
        <w:tc>
          <w:tcPr/>
          <w:p>
            <w:pPr>
              <w:pStyle w:val="Compact"/>
              <w:jc w:val="left"/>
            </w:pPr>
            <w:r>
              <w:t xml:space="preserve">−0.97 (−4.6)</w:t>
            </w:r>
          </w:p>
        </w:tc>
        <w:tc>
          <w:tcPr/>
          <w:p>
            <w:pPr>
              <w:pStyle w:val="Compact"/>
              <w:jc w:val="left"/>
            </w:pPr>
            <w:r>
              <w:t xml:space="preserve">0.30 (1.4)</w:t>
            </w:r>
          </w:p>
        </w:tc>
        <w:tc>
          <w:tcPr/>
          <w:p>
            <w:pPr>
              <w:pStyle w:val="Compact"/>
              <w:jc w:val="left"/>
            </w:pPr>
            <w:r>
              <w:t xml:space="preserve">−0.69 (−4.8)</w:t>
            </w:r>
          </w:p>
        </w:tc>
        <w:tc>
          <w:tcPr/>
          <w:p>
            <w:pPr>
              <w:pStyle w:val="Compact"/>
              <w:jc w:val="left"/>
            </w:pPr>
            <w:r>
              <w:t xml:space="preserve">−0.82 (−1.7)</w:t>
            </w:r>
          </w:p>
        </w:tc>
      </w:tr>
      <w:tr>
        <w:tc>
          <w:tcPr/>
          <w:p>
            <w:pPr>
              <w:pStyle w:val="Compact"/>
              <w:jc w:val="left"/>
            </w:pPr>
            <w:r>
              <w:t xml:space="preserve">All, vs same-date controls</w:t>
            </w:r>
          </w:p>
        </w:tc>
        <w:tc>
          <w:tcPr/>
          <w:p>
            <w:pPr>
              <w:pStyle w:val="Compact"/>
              <w:jc w:val="left"/>
            </w:pPr>
            <w:r>
              <w:t xml:space="preserve">2,047</w:t>
            </w:r>
          </w:p>
        </w:tc>
        <w:tc>
          <w:tcPr/>
          <w:p>
            <w:pPr>
              <w:pStyle w:val="Compact"/>
              <w:jc w:val="left"/>
            </w:pPr>
            <w:r>
              <w:t xml:space="preserve">−1.75 (−4.0)</w:t>
            </w:r>
          </w:p>
        </w:tc>
        <w:tc>
          <w:tcPr/>
          <w:p>
            <w:pPr>
              <w:pStyle w:val="Compact"/>
              <w:jc w:val="left"/>
            </w:pPr>
            <w:r>
              <w:t xml:space="preserve">0.14 (0.6)</w:t>
            </w:r>
          </w:p>
        </w:tc>
        <w:tc>
          <w:tcPr/>
          <w:p>
            <w:pPr>
              <w:pStyle w:val="Compact"/>
              <w:jc w:val="left"/>
            </w:pPr>
            <w:r>
              <w:t xml:space="preserve">−1.65 (−3.4)</w:t>
            </w:r>
          </w:p>
        </w:tc>
        <w:tc>
          <w:tcPr/>
          <w:p>
            <w:pPr>
              <w:pStyle w:val="Compact"/>
              <w:jc w:val="left"/>
            </w:pPr>
            <w:r>
              <w:t xml:space="preserve">−0.36 (−0.6)</w:t>
            </w:r>
          </w:p>
        </w:tc>
      </w:tr>
      <w:tr>
        <w:tc>
          <w:tcPr/>
          <w:p>
            <w:pPr>
              <w:pStyle w:val="Compact"/>
              <w:jc w:val="left"/>
            </w:pPr>
            <w:r>
              <w:t xml:space="preserve">Exact limit hit</w:t>
            </w:r>
          </w:p>
        </w:tc>
        <w:tc>
          <w:tcPr/>
          <w:p>
            <w:pPr>
              <w:pStyle w:val="Compact"/>
              <w:jc w:val="left"/>
            </w:pPr>
            <w:r>
              <w:t xml:space="preserve">1,025</w:t>
            </w:r>
          </w:p>
        </w:tc>
        <w:tc>
          <w:tcPr/>
          <w:p>
            <w:pPr>
              <w:pStyle w:val="Compact"/>
              <w:jc w:val="left"/>
            </w:pPr>
            <w:r>
              <w:t xml:space="preserve">−1.30 (−5.1)</w:t>
            </w:r>
          </w:p>
        </w:tc>
        <w:tc>
          <w:tcPr/>
          <w:p>
            <w:pPr>
              <w:pStyle w:val="Compact"/>
              <w:jc w:val="left"/>
            </w:pPr>
            <w:r>
              <w:t xml:space="preserve">0.41 (1.7)</w:t>
            </w:r>
          </w:p>
        </w:tc>
        <w:tc>
          <w:tcPr/>
          <w:p>
            <w:pPr>
              <w:pStyle w:val="Compact"/>
              <w:jc w:val="left"/>
            </w:pPr>
            <w:r>
              <w:t xml:space="preserve">−0.93 (−5.7)</w:t>
            </w:r>
          </w:p>
        </w:tc>
        <w:tc>
          <w:tcPr/>
          <w:p>
            <w:pPr>
              <w:pStyle w:val="Compact"/>
              <w:jc w:val="left"/>
            </w:pPr>
            <w:r>
              <w:t xml:space="preserve">−0.98 (−1.9)</w:t>
            </w:r>
          </w:p>
        </w:tc>
      </w:tr>
      <w:tr>
        <w:tc>
          <w:tcPr/>
          <w:p>
            <w:pPr>
              <w:pStyle w:val="Compact"/>
              <w:jc w:val="left"/>
            </w:pPr>
            <w:r>
              <w:t xml:space="preserve">Near hit</w:t>
            </w:r>
          </w:p>
        </w:tc>
        <w:tc>
          <w:tcPr/>
          <w:p>
            <w:pPr>
              <w:pStyle w:val="Compact"/>
              <w:jc w:val="left"/>
            </w:pPr>
            <w:r>
              <w:t xml:space="preserve">1,086</w:t>
            </w:r>
          </w:p>
        </w:tc>
        <w:tc>
          <w:tcPr/>
          <w:p>
            <w:pPr>
              <w:pStyle w:val="Compact"/>
              <w:jc w:val="left"/>
            </w:pPr>
            <w:r>
              <w:t xml:space="preserve">−0.66 (−3.7)</w:t>
            </w:r>
          </w:p>
        </w:tc>
        <w:tc>
          <w:tcPr/>
          <w:p>
            <w:pPr>
              <w:pStyle w:val="Compact"/>
              <w:jc w:val="left"/>
            </w:pPr>
            <w:r>
              <w:t xml:space="preserve">0.20 (0.9)</w:t>
            </w:r>
          </w:p>
        </w:tc>
        <w:tc>
          <w:tcPr/>
          <w:p>
            <w:pPr>
              <w:pStyle w:val="Compact"/>
              <w:jc w:val="left"/>
            </w:pPr>
            <w:r>
              <w:t xml:space="preserve">−0.47 (−2.9)</w:t>
            </w:r>
          </w:p>
        </w:tc>
        <w:tc>
          <w:tcPr/>
          <w:p>
            <w:pPr>
              <w:pStyle w:val="Compact"/>
              <w:jc w:val="left"/>
            </w:pPr>
            <w:r>
              <w:t xml:space="preserve">−0.66 (−1.4)</w:t>
            </w:r>
          </w:p>
        </w:tc>
      </w:tr>
      <w:tr>
        <w:tc>
          <w:tcPr/>
          <w:p>
            <w:pPr>
              <w:pStyle w:val="Compact"/>
              <w:jc w:val="left"/>
            </w:pPr>
            <w:r>
              <w:t xml:space="preserve">Locked all day</w:t>
            </w:r>
          </w:p>
        </w:tc>
        <w:tc>
          <w:tcPr/>
          <w:p>
            <w:pPr>
              <w:pStyle w:val="Compact"/>
              <w:jc w:val="left"/>
            </w:pPr>
            <w:r>
              <w:t xml:space="preserve">260</w:t>
            </w:r>
          </w:p>
        </w:tc>
        <w:tc>
          <w:tcPr/>
          <w:p>
            <w:pPr>
              <w:pStyle w:val="Compact"/>
              <w:jc w:val="left"/>
            </w:pPr>
            <w:r>
              <w:t xml:space="preserve">−2.50 (−4.8)</w:t>
            </w:r>
          </w:p>
        </w:tc>
        <w:tc>
          <w:tcPr/>
          <w:p>
            <w:pPr>
              <w:pStyle w:val="Compact"/>
              <w:jc w:val="left"/>
            </w:pPr>
            <w:r>
              <w:t xml:space="preserve">1.11 (2.4)</w:t>
            </w:r>
          </w:p>
        </w:tc>
        <w:tc>
          <w:tcPr/>
          <w:p>
            <w:pPr>
              <w:pStyle w:val="Compact"/>
              <w:jc w:val="left"/>
            </w:pPr>
            <w:r>
              <w:t xml:space="preserve">−1.44 (−3.4)</w:t>
            </w:r>
          </w:p>
        </w:tc>
        <w:tc>
          <w:tcPr/>
          <w:p>
            <w:pPr>
              <w:pStyle w:val="Compact"/>
              <w:jc w:val="left"/>
            </w:pPr>
            <w:r>
              <w:t xml:space="preserve">−3.91 (−3.0)</w:t>
            </w:r>
          </w:p>
        </w:tc>
      </w:tr>
      <w:tr>
        <w:tc>
          <w:tcPr/>
          <w:p>
            <w:pPr>
              <w:pStyle w:val="Compact"/>
              <w:jc w:val="left"/>
            </w:pPr>
            <w:r>
              <w:t xml:space="preserve">First half of sample</w:t>
            </w:r>
          </w:p>
        </w:tc>
        <w:tc>
          <w:tcPr/>
          <w:p>
            <w:pPr>
              <w:pStyle w:val="Compact"/>
              <w:jc w:val="left"/>
            </w:pPr>
            <w:r>
              <w:t xml:space="preserve">1,059</w:t>
            </w:r>
          </w:p>
        </w:tc>
        <w:tc>
          <w:tcPr/>
          <w:p>
            <w:pPr>
              <w:pStyle w:val="Compact"/>
              <w:jc w:val="left"/>
            </w:pPr>
            <w:r>
              <w:t xml:space="preserve">−0.55 (−2.4)</w:t>
            </w:r>
          </w:p>
        </w:tc>
        <w:tc>
          <w:tcPr/>
          <w:p>
            <w:pPr>
              <w:pStyle w:val="Compact"/>
              <w:jc w:val="left"/>
            </w:pPr>
            <w:r>
              <w:t xml:space="preserve">−0.09 (−0.3)</w:t>
            </w:r>
          </w:p>
        </w:tc>
        <w:tc>
          <w:tcPr/>
          <w:p>
            <w:pPr>
              <w:pStyle w:val="Compact"/>
              <w:jc w:val="left"/>
            </w:pPr>
            <w:r>
              <w:t xml:space="preserve">−0.63 (−2.9)</w:t>
            </w:r>
          </w:p>
        </w:tc>
        <w:tc>
          <w:tcPr/>
          <w:p>
            <w:pPr>
              <w:pStyle w:val="Compact"/>
              <w:jc w:val="left"/>
            </w:pPr>
            <w:r>
              <w:t xml:space="preserve">−1.69 (−5.1)</w:t>
            </w:r>
          </w:p>
        </w:tc>
      </w:tr>
      <w:tr>
        <w:tc>
          <w:tcPr/>
          <w:p>
            <w:pPr>
              <w:pStyle w:val="Compact"/>
              <w:jc w:val="left"/>
            </w:pPr>
            <w:r>
              <w:t xml:space="preserve">Second half of sample</w:t>
            </w:r>
          </w:p>
        </w:tc>
        <w:tc>
          <w:tcPr/>
          <w:p>
            <w:pPr>
              <w:pStyle w:val="Compact"/>
              <w:jc w:val="left"/>
            </w:pPr>
            <w:r>
              <w:t xml:space="preserve">1,052</w:t>
            </w:r>
          </w:p>
        </w:tc>
        <w:tc>
          <w:tcPr/>
          <w:p>
            <w:pPr>
              <w:pStyle w:val="Compact"/>
              <w:jc w:val="left"/>
            </w:pPr>
            <w:r>
              <w:t xml:space="preserve">−1.40 (−6.5)</w:t>
            </w:r>
          </w:p>
        </w:tc>
        <w:tc>
          <w:tcPr/>
          <w:p>
            <w:pPr>
              <w:pStyle w:val="Compact"/>
              <w:jc w:val="left"/>
            </w:pPr>
            <w:r>
              <w:t xml:space="preserve">0.70 (4.9)</w:t>
            </w:r>
          </w:p>
        </w:tc>
        <w:tc>
          <w:tcPr/>
          <w:p>
            <w:pPr>
              <w:pStyle w:val="Compact"/>
              <w:jc w:val="left"/>
            </w:pPr>
            <w:r>
              <w:t xml:space="preserve">−0.75 (−4.3)</w:t>
            </w:r>
          </w:p>
        </w:tc>
        <w:tc>
          <w:tcPr/>
          <w:p>
            <w:pPr>
              <w:pStyle w:val="Compact"/>
              <w:jc w:val="left"/>
            </w:pPr>
            <w:r>
              <w:t xml:space="preserve">0.07 (0.1)</w:t>
            </w:r>
          </w:p>
        </w:tc>
      </w:tr>
      <w:tr>
        <w:tc>
          <w:tcPr/>
          <w:p>
            <w:pPr>
              <w:pStyle w:val="Compact"/>
              <w:jc w:val="left"/>
            </w:pPr>
            <w:r>
              <w:t xml:space="preserve">Excluding days with market &lt; −2%</w:t>
            </w:r>
          </w:p>
        </w:tc>
        <w:tc>
          <w:tcPr/>
          <w:p>
            <w:pPr>
              <w:pStyle w:val="Compact"/>
              <w:jc w:val="left"/>
            </w:pPr>
            <w:r>
              <w:t xml:space="preserve">740</w:t>
            </w:r>
          </w:p>
        </w:tc>
        <w:tc>
          <w:tcPr/>
          <w:p>
            <w:pPr>
              <w:pStyle w:val="Compact"/>
              <w:jc w:val="left"/>
            </w:pPr>
            <w:r>
              <w:t xml:space="preserve">−1.83 (−8.7)</w:t>
            </w:r>
          </w:p>
        </w:tc>
        <w:tc>
          <w:tcPr/>
          <w:p>
            <w:pPr>
              <w:pStyle w:val="Compact"/>
              <w:jc w:val="left"/>
            </w:pPr>
            <w:r>
              <w:t xml:space="preserve">0.90 (5.3)</w:t>
            </w:r>
          </w:p>
        </w:tc>
        <w:tc>
          <w:tcPr/>
          <w:p>
            <w:pPr>
              <w:pStyle w:val="Compact"/>
              <w:jc w:val="left"/>
            </w:pPr>
            <w:r>
              <w:t xml:space="preserve">−0.99 (−4.5)</w:t>
            </w:r>
          </w:p>
        </w:tc>
        <w:tc>
          <w:tcPr/>
          <w:p>
            <w:pPr>
              <w:pStyle w:val="Compact"/>
              <w:jc w:val="left"/>
            </w:pPr>
            <w:r>
              <w:t xml:space="preserve">−0.81 (−1.7)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Benchmarks are the volume-weighted market (weights lagged to day</w:t>
      </w:r>
      <w:r>
        <w:t xml:space="preserve"> </w:t>
      </w:r>
      <w:r>
        <w:rPr>
          <w:iCs/>
          <w:i/>
        </w:rPr>
        <w:t xml:space="preserve">d</w:t>
      </w:r>
      <w:r>
        <w:t xml:space="preserve">) or same-date controls in the same liquidity tercile. Crash days have a market return below −2%. Components compound, so they need not sum.</w:t>
      </w:r>
    </w:p>
    <w:p>
      <w:pPr>
        <w:pStyle w:val="BodyText"/>
      </w:pPr>
      <w:r>
        <w:t xml:space="preserve">[[CAP]] Table 3 Limit closes versus near-limit moves</w:t>
      </w:r>
    </w:p>
    <w:tbl>
      <w:tblPr>
        <w:tblStyle w:val="Table"/>
        <w:tblW w:type="pct" w:w="5000"/>
        <w:tblLook w:firstRow="1" w:lastRow="0" w:firstColumn="0" w:lastColumn="0" w:noHBand="0" w:noVBand="0" w:val="0020"/>
        <w:jc w:val="start"/>
      </w:tblPr>
      <w:tblGrid>
        <w:gridCol w:w="2416"/>
        <w:gridCol w:w="939"/>
        <w:gridCol w:w="872"/>
        <w:gridCol w:w="1006"/>
        <w:gridCol w:w="1208"/>
        <w:gridCol w:w="1476"/>
      </w:tblGrid>
      <w:tr>
        <w:trPr>
          <w:tblHeader w:val="true"/>
        </w:trPr>
        <w:tc>
          <w:tcPr/>
          <w:p>
            <w:pPr>
              <w:pStyle w:val="Compact"/>
              <w:jc w:val="left"/>
            </w:pPr>
            <w:r>
              <w:t xml:space="preserve">Contrast</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Comparison stock-days</w:t>
            </w:r>
          </w:p>
        </w:tc>
      </w:tr>
      <w:tr>
        <w:tc>
          <w:tcPr/>
          <w:p>
            <w:pPr>
              <w:pStyle w:val="Compact"/>
              <w:jc w:val="left"/>
            </w:pPr>
            <w:r>
              <w:t xml:space="preserve">Ceiling vs 5–6.5% rises</w:t>
            </w:r>
          </w:p>
        </w:tc>
        <w:tc>
          <w:tcPr/>
          <w:p>
            <w:pPr>
              <w:pStyle w:val="Compact"/>
              <w:jc w:val="left"/>
            </w:pPr>
            <w:r>
              <w:t xml:space="preserve">2.66 (14.0)</w:t>
            </w:r>
          </w:p>
        </w:tc>
        <w:tc>
          <w:tcPr/>
          <w:p>
            <w:pPr>
              <w:pStyle w:val="Compact"/>
              <w:jc w:val="left"/>
            </w:pPr>
            <w:r>
              <w:t xml:space="preserve">−0.31 (−2.1)</w:t>
            </w:r>
          </w:p>
        </w:tc>
        <w:tc>
          <w:tcPr/>
          <w:p>
            <w:pPr>
              <w:pStyle w:val="Compact"/>
              <w:jc w:val="left"/>
            </w:pPr>
            <w:r>
              <w:t xml:space="preserve">2.32 (7.6)</w:t>
            </w:r>
          </w:p>
        </w:tc>
        <w:tc>
          <w:tcPr/>
          <w:p>
            <w:pPr>
              <w:pStyle w:val="Compact"/>
              <w:jc w:val="left"/>
            </w:pPr>
            <w:r>
              <w:t xml:space="preserve">−0.02 (−0.1)</w:t>
            </w:r>
          </w:p>
        </w:tc>
        <w:tc>
          <w:tcPr/>
          <w:p>
            <w:pPr>
              <w:pStyle w:val="Compact"/>
              <w:jc w:val="left"/>
            </w:pPr>
            <w:r>
              <w:t xml:space="preserve">1,751</w:t>
            </w:r>
          </w:p>
        </w:tc>
      </w:tr>
      <w:tr>
        <w:tc>
          <w:tcPr/>
          <w:p>
            <w:pPr>
              <w:pStyle w:val="Compact"/>
              <w:jc w:val="left"/>
            </w:pPr>
            <w:r>
              <w:t xml:space="preserve">same, comparison closes at its high</w:t>
            </w:r>
          </w:p>
        </w:tc>
        <w:tc>
          <w:tcPr/>
          <w:p>
            <w:pPr>
              <w:pStyle w:val="Compact"/>
              <w:jc w:val="left"/>
            </w:pPr>
            <w:r>
              <w:t xml:space="preserve">3.14 (14.5)</w:t>
            </w:r>
          </w:p>
        </w:tc>
        <w:tc>
          <w:tcPr/>
          <w:p>
            <w:pPr>
              <w:pStyle w:val="Compact"/>
              <w:jc w:val="left"/>
            </w:pPr>
            <w:r>
              <w:t xml:space="preserve">−0.66 (−3.4)</w:t>
            </w:r>
          </w:p>
        </w:tc>
        <w:tc>
          <w:tcPr/>
          <w:p>
            <w:pPr>
              <w:pStyle w:val="Compact"/>
              <w:jc w:val="left"/>
            </w:pPr>
            <w:r>
              <w:t xml:space="preserve">2.47 (7.2)</w:t>
            </w:r>
          </w:p>
        </w:tc>
        <w:tc>
          <w:tcPr/>
          <w:p>
            <w:pPr>
              <w:pStyle w:val="Compact"/>
              <w:jc w:val="left"/>
            </w:pPr>
            <w:r>
              <w:t xml:space="preserve">−0.49 (−1.5)</w:t>
            </w:r>
          </w:p>
        </w:tc>
        <w:tc>
          <w:tcPr/>
          <w:p>
            <w:pPr>
              <w:pStyle w:val="Compact"/>
              <w:jc w:val="left"/>
            </w:pPr>
            <w:r>
              <w:t xml:space="preserve">679</w:t>
            </w:r>
          </w:p>
        </w:tc>
      </w:tr>
      <w:tr>
        <w:tc>
          <w:tcPr/>
          <w:p>
            <w:pPr>
              <w:pStyle w:val="Compact"/>
              <w:jc w:val="left"/>
            </w:pPr>
            <w:r>
              <w:t xml:space="preserve">Ceiling vs 3–5% rises</w:t>
            </w:r>
          </w:p>
        </w:tc>
        <w:tc>
          <w:tcPr/>
          <w:p>
            <w:pPr>
              <w:pStyle w:val="Compact"/>
              <w:jc w:val="left"/>
            </w:pPr>
            <w:r>
              <w:t xml:space="preserve">2.40 (11.6)</w:t>
            </w:r>
          </w:p>
        </w:tc>
        <w:tc>
          <w:tcPr/>
          <w:p>
            <w:pPr>
              <w:pStyle w:val="Compact"/>
              <w:jc w:val="left"/>
            </w:pPr>
            <w:r>
              <w:t xml:space="preserve">−0.32 (−2.2)</w:t>
            </w:r>
          </w:p>
        </w:tc>
        <w:tc>
          <w:tcPr/>
          <w:p>
            <w:pPr>
              <w:pStyle w:val="Compact"/>
              <w:jc w:val="left"/>
            </w:pPr>
            <w:r>
              <w:t xml:space="preserve">2.05 (6.1)</w:t>
            </w:r>
          </w:p>
        </w:tc>
        <w:tc>
          <w:tcPr/>
          <w:p>
            <w:pPr>
              <w:pStyle w:val="Compact"/>
              <w:jc w:val="left"/>
            </w:pPr>
            <w:r>
              <w:t xml:space="preserve">−0.45 (−2.2)</w:t>
            </w:r>
          </w:p>
        </w:tc>
        <w:tc>
          <w:tcPr/>
          <w:p>
            <w:pPr>
              <w:pStyle w:val="Compact"/>
              <w:jc w:val="left"/>
            </w:pPr>
            <w:r>
              <w:t xml:space="preserve">5,932</w:t>
            </w:r>
          </w:p>
        </w:tc>
      </w:tr>
      <w:tr>
        <w:tc>
          <w:tcPr/>
          <w:p>
            <w:pPr>
              <w:pStyle w:val="Compact"/>
              <w:jc w:val="left"/>
            </w:pPr>
            <w:r>
              <w:t xml:space="preserve">same, comparison closes at its high</w:t>
            </w:r>
          </w:p>
        </w:tc>
        <w:tc>
          <w:tcPr/>
          <w:p>
            <w:pPr>
              <w:pStyle w:val="Compact"/>
              <w:jc w:val="left"/>
            </w:pPr>
            <w:r>
              <w:t xml:space="preserve">2.81 (13.1)</w:t>
            </w:r>
          </w:p>
        </w:tc>
        <w:tc>
          <w:tcPr/>
          <w:p>
            <w:pPr>
              <w:pStyle w:val="Compact"/>
              <w:jc w:val="left"/>
            </w:pPr>
            <w:r>
              <w:t xml:space="preserve">−0.61 (−3.8)</w:t>
            </w:r>
          </w:p>
        </w:tc>
        <w:tc>
          <w:tcPr/>
          <w:p>
            <w:pPr>
              <w:pStyle w:val="Compact"/>
              <w:jc w:val="left"/>
            </w:pPr>
            <w:r>
              <w:t xml:space="preserve">2.17 (6.4)</w:t>
            </w:r>
          </w:p>
        </w:tc>
        <w:tc>
          <w:tcPr/>
          <w:p>
            <w:pPr>
              <w:pStyle w:val="Compact"/>
              <w:jc w:val="left"/>
            </w:pPr>
            <w:r>
              <w:t xml:space="preserve">−0.64 (−2.7)</w:t>
            </w:r>
          </w:p>
        </w:tc>
        <w:tc>
          <w:tcPr/>
          <w:p>
            <w:pPr>
              <w:pStyle w:val="Compact"/>
              <w:jc w:val="left"/>
            </w:pPr>
            <w:r>
              <w:t xml:space="preserve">1,795</w:t>
            </w:r>
          </w:p>
        </w:tc>
      </w:tr>
      <w:tr>
        <w:tc>
          <w:tcPr/>
          <w:p>
            <w:pPr>
              <w:pStyle w:val="Compact"/>
              <w:jc w:val="left"/>
            </w:pPr>
            <w:r>
              <w:t xml:space="preserve">Floor vs 5–6.5% falls</w:t>
            </w:r>
          </w:p>
        </w:tc>
        <w:tc>
          <w:tcPr/>
          <w:p>
            <w:pPr>
              <w:pStyle w:val="Compact"/>
              <w:jc w:val="left"/>
            </w:pPr>
            <w:r>
              <w:t xml:space="preserve">−1.59 (−9.7)</w:t>
            </w:r>
          </w:p>
        </w:tc>
        <w:tc>
          <w:tcPr/>
          <w:p>
            <w:pPr>
              <w:pStyle w:val="Compact"/>
              <w:jc w:val="left"/>
            </w:pPr>
            <w:r>
              <w:t xml:space="preserve">−0.07 (−0.3)</w:t>
            </w:r>
          </w:p>
        </w:tc>
        <w:tc>
          <w:tcPr/>
          <w:p>
            <w:pPr>
              <w:pStyle w:val="Compact"/>
              <w:jc w:val="left"/>
            </w:pPr>
            <w:r>
              <w:t xml:space="preserve">−1.66 (−11.6)</w:t>
            </w:r>
          </w:p>
        </w:tc>
        <w:tc>
          <w:tcPr/>
          <w:p>
            <w:pPr>
              <w:pStyle w:val="Compact"/>
              <w:jc w:val="left"/>
            </w:pPr>
            <w:r>
              <w:t xml:space="preserve">−1.01 (−2.6)</w:t>
            </w:r>
          </w:p>
        </w:tc>
        <w:tc>
          <w:tcPr/>
          <w:p>
            <w:pPr>
              <w:pStyle w:val="Compact"/>
              <w:jc w:val="left"/>
            </w:pPr>
            <w:r>
              <w:t xml:space="preserve">1,522</w:t>
            </w:r>
          </w:p>
        </w:tc>
      </w:tr>
      <w:tr>
        <w:tc>
          <w:tcPr/>
          <w:p>
            <w:pPr>
              <w:pStyle w:val="Compact"/>
              <w:jc w:val="left"/>
            </w:pPr>
            <w:r>
              <w:t xml:space="preserve">same, comparison closes at its low</w:t>
            </w:r>
          </w:p>
        </w:tc>
        <w:tc>
          <w:tcPr/>
          <w:p>
            <w:pPr>
              <w:pStyle w:val="Compact"/>
              <w:jc w:val="left"/>
            </w:pPr>
            <w:r>
              <w:t xml:space="preserve">−1.81 (−8.7)</w:t>
            </w:r>
          </w:p>
        </w:tc>
        <w:tc>
          <w:tcPr/>
          <w:p>
            <w:pPr>
              <w:pStyle w:val="Compact"/>
              <w:jc w:val="left"/>
            </w:pPr>
            <w:r>
              <w:t xml:space="preserve">−0.13 (−0.6)</w:t>
            </w:r>
          </w:p>
        </w:tc>
        <w:tc>
          <w:tcPr/>
          <w:p>
            <w:pPr>
              <w:pStyle w:val="Compact"/>
              <w:jc w:val="left"/>
            </w:pPr>
            <w:r>
              <w:t xml:space="preserve">−1.95 (−10.7)</w:t>
            </w:r>
          </w:p>
        </w:tc>
        <w:tc>
          <w:tcPr/>
          <w:p>
            <w:pPr>
              <w:pStyle w:val="Compact"/>
              <w:jc w:val="left"/>
            </w:pPr>
            <w:r>
              <w:t xml:space="preserve">−1.23 (−2.8)</w:t>
            </w:r>
          </w:p>
        </w:tc>
        <w:tc>
          <w:tcPr/>
          <w:p>
            <w:pPr>
              <w:pStyle w:val="Compact"/>
              <w:jc w:val="left"/>
            </w:pPr>
            <w:r>
              <w:t xml:space="preserve">722</w:t>
            </w:r>
          </w:p>
        </w:tc>
      </w:tr>
      <w:tr>
        <w:tc>
          <w:tcPr/>
          <w:p>
            <w:pPr>
              <w:pStyle w:val="Compact"/>
              <w:jc w:val="left"/>
            </w:pPr>
            <w:r>
              <w:t xml:space="preserve">Floor vs 3–5% falls</w:t>
            </w:r>
          </w:p>
        </w:tc>
        <w:tc>
          <w:tcPr/>
          <w:p>
            <w:pPr>
              <w:pStyle w:val="Compact"/>
              <w:jc w:val="left"/>
            </w:pPr>
            <w:r>
              <w:t xml:space="preserve">−1.14 (−6.4)</w:t>
            </w:r>
          </w:p>
        </w:tc>
        <w:tc>
          <w:tcPr/>
          <w:p>
            <w:pPr>
              <w:pStyle w:val="Compact"/>
              <w:jc w:val="left"/>
            </w:pPr>
            <w:r>
              <w:t xml:space="preserve">0.14 (0.6)</w:t>
            </w:r>
          </w:p>
        </w:tc>
        <w:tc>
          <w:tcPr/>
          <w:p>
            <w:pPr>
              <w:pStyle w:val="Compact"/>
              <w:jc w:val="left"/>
            </w:pPr>
            <w:r>
              <w:t xml:space="preserve">−1.01 (−7.5)</w:t>
            </w:r>
          </w:p>
        </w:tc>
        <w:tc>
          <w:tcPr/>
          <w:p>
            <w:pPr>
              <w:pStyle w:val="Compact"/>
              <w:jc w:val="left"/>
            </w:pPr>
            <w:r>
              <w:t xml:space="preserve">−0.90 (−2.2)</w:t>
            </w:r>
          </w:p>
        </w:tc>
        <w:tc>
          <w:tcPr/>
          <w:p>
            <w:pPr>
              <w:pStyle w:val="Compact"/>
              <w:jc w:val="left"/>
            </w:pPr>
            <w:r>
              <w:t xml:space="preserve">5,237</w:t>
            </w:r>
          </w:p>
        </w:tc>
      </w:tr>
      <w:tr>
        <w:tc>
          <w:tcPr/>
          <w:p>
            <w:pPr>
              <w:pStyle w:val="Compact"/>
              <w:jc w:val="left"/>
            </w:pPr>
            <w:r>
              <w:t xml:space="preserve">same, comparison closes at its low</w:t>
            </w:r>
          </w:p>
        </w:tc>
        <w:tc>
          <w:tcPr/>
          <w:p>
            <w:pPr>
              <w:pStyle w:val="Compact"/>
              <w:jc w:val="left"/>
            </w:pPr>
            <w:r>
              <w:t xml:space="preserve">−1.35 (−7.4)</w:t>
            </w:r>
          </w:p>
        </w:tc>
        <w:tc>
          <w:tcPr/>
          <w:p>
            <w:pPr>
              <w:pStyle w:val="Compact"/>
              <w:jc w:val="left"/>
            </w:pPr>
            <w:r>
              <w:t xml:space="preserve">0.18 (0.8)</w:t>
            </w:r>
          </w:p>
        </w:tc>
        <w:tc>
          <w:tcPr/>
          <w:p>
            <w:pPr>
              <w:pStyle w:val="Compact"/>
              <w:jc w:val="left"/>
            </w:pPr>
            <w:r>
              <w:t xml:space="preserve">−1.19 (−8.0)</w:t>
            </w:r>
          </w:p>
        </w:tc>
        <w:tc>
          <w:tcPr/>
          <w:p>
            <w:pPr>
              <w:pStyle w:val="Compact"/>
              <w:jc w:val="left"/>
            </w:pPr>
            <w:r>
              <w:t xml:space="preserve">−1.06 (−2.5)</w:t>
            </w:r>
          </w:p>
        </w:tc>
        <w:tc>
          <w:tcPr/>
          <w:p>
            <w:pPr>
              <w:pStyle w:val="Compact"/>
              <w:jc w:val="left"/>
            </w:pPr>
            <w:r>
              <w:t xml:space="preserve">2,228</w:t>
            </w:r>
          </w:p>
        </w:tc>
      </w:tr>
    </w:tbl>
    <w:p>
      <w:pPr>
        <w:pStyle w:val="BodyText"/>
      </w:pPr>
      <w:r>
        <w:t xml:space="preserve">[[NOTE]]</w:t>
      </w:r>
      <w:r>
        <w:t xml:space="preserve"> </w:t>
      </w:r>
      <w:r>
        <w:rPr>
          <w:iCs/>
          <w:i/>
        </w:rPr>
        <w:t xml:space="preserve">Note.</w:t>
      </w:r>
      <w:r>
        <w:t xml:space="preserve"> </w:t>
      </w:r>
      <w:r>
        <w:t xml:space="preserve">Differences in percentage points from same-direction moves of 3–5% or 5–6.5% that did not close at the limit; market-adjusted returns; date-clustered</w:t>
      </w:r>
      <w:r>
        <w:t xml:space="preserve"> </w:t>
      </w:r>
      <w:r>
        <w:rPr>
          <w:iCs/>
          <w:i/>
        </w:rPr>
        <w:t xml:space="preserve">t</w:t>
      </w:r>
      <w:r>
        <w:t xml:space="preserve">-statistics in parentheses.</w:t>
      </w:r>
    </w:p>
    <w:p>
      <w:pPr>
        <w:pStyle w:val="BodyText"/>
      </w:pPr>
      <w:r>
        <w:t xml:space="preserve">[[CAP]] Table 4 Returns before and after the KRX platform change of May 5, 2025</w:t>
      </w:r>
    </w:p>
    <w:tbl>
      <w:tblPr>
        <w:tblStyle w:val="Table"/>
        <w:tblW w:type="pct" w:w="5000"/>
        <w:tblLook w:firstRow="1" w:lastRow="0" w:firstColumn="0" w:lastColumn="0" w:noHBand="0" w:noVBand="0" w:val="0020"/>
        <w:jc w:val="start"/>
      </w:tblPr>
      <w:tblGrid>
        <w:gridCol w:w="646"/>
        <w:gridCol w:w="1454"/>
        <w:gridCol w:w="1454"/>
        <w:gridCol w:w="1373"/>
        <w:gridCol w:w="1050"/>
        <w:gridCol w:w="1939"/>
      </w:tblGrid>
      <w:tr>
        <w:trPr>
          <w:tblHeader w:val="true"/>
        </w:trPr>
        <w:tc>
          <w:tcPr/>
          <w:p>
            <w:pPr>
              <w:pStyle w:val="Compact"/>
              <w:jc w:val="left"/>
            </w:pPr>
            <w:r>
              <w:t xml:space="preserve">Event</w:t>
            </w:r>
          </w:p>
        </w:tc>
        <w:tc>
          <w:tcPr/>
          <w:p>
            <w:pPr>
              <w:pStyle w:val="Compact"/>
              <w:jc w:val="left"/>
            </w:pPr>
            <w:r>
              <w:t xml:space="preserve">Outcome</w:t>
            </w:r>
          </w:p>
        </w:tc>
        <w:tc>
          <w:tcPr/>
          <w:p>
            <w:pPr>
              <w:pStyle w:val="Compact"/>
              <w:jc w:val="left"/>
            </w:pPr>
            <w:r>
              <w:t xml:space="preserve">Before the change</w:t>
            </w:r>
          </w:p>
        </w:tc>
        <w:tc>
          <w:tcPr/>
          <w:p>
            <w:pPr>
              <w:pStyle w:val="Compact"/>
              <w:jc w:val="left"/>
            </w:pPr>
            <w:r>
              <w:t xml:space="preserve">After the change</w:t>
            </w:r>
          </w:p>
        </w:tc>
        <w:tc>
          <w:tcPr/>
          <w:p>
            <w:pPr>
              <w:pStyle w:val="Compact"/>
              <w:jc w:val="left"/>
            </w:pPr>
            <w:r>
              <w:t xml:space="preserve">Difference</w:t>
            </w:r>
          </w:p>
        </w:tc>
        <w:tc>
          <w:tcPr/>
          <w:p>
            <w:pPr>
              <w:pStyle w:val="Compact"/>
              <w:jc w:val="left"/>
            </w:pPr>
            <w:r>
              <w:t xml:space="preserve">Events (before / after)</w:t>
            </w:r>
          </w:p>
        </w:tc>
      </w:tr>
      <w:tr>
        <w:tc>
          <w:tcPr/>
          <w:p>
            <w:pPr>
              <w:pStyle w:val="Compact"/>
              <w:jc w:val="left"/>
            </w:pPr>
            <w:r>
              <w:t xml:space="preserve">Ceiling</w:t>
            </w:r>
          </w:p>
        </w:tc>
        <w:tc>
          <w:tcPr/>
          <w:p>
            <w:pPr>
              <w:pStyle w:val="Compact"/>
              <w:jc w:val="left"/>
            </w:pPr>
            <w:r>
              <w:t xml:space="preserve">Overnight gap</w:t>
            </w:r>
          </w:p>
        </w:tc>
        <w:tc>
          <w:tcPr/>
          <w:p>
            <w:pPr>
              <w:pStyle w:val="Compact"/>
              <w:jc w:val="left"/>
            </w:pPr>
            <w:r>
              <w:t xml:space="preserve">1.65 (3.2)</w:t>
            </w:r>
          </w:p>
        </w:tc>
        <w:tc>
          <w:tcPr/>
          <w:p>
            <w:pPr>
              <w:pStyle w:val="Compact"/>
              <w:jc w:val="left"/>
            </w:pPr>
            <w:r>
              <w:t xml:space="preserve">2.49 (17.9)</w:t>
            </w:r>
          </w:p>
        </w:tc>
        <w:tc>
          <w:tcPr/>
          <w:p>
            <w:pPr>
              <w:pStyle w:val="Compact"/>
              <w:jc w:val="left"/>
            </w:pPr>
            <w:r>
              <w:t xml:space="preserve">0.85 (1.6)</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Intraday</w:t>
            </w:r>
          </w:p>
        </w:tc>
        <w:tc>
          <w:tcPr/>
          <w:p>
            <w:pPr>
              <w:pStyle w:val="Compact"/>
              <w:jc w:val="left"/>
            </w:pPr>
            <w:r>
              <w:t xml:space="preserve">−0.77 (−2.0)</w:t>
            </w:r>
          </w:p>
        </w:tc>
        <w:tc>
          <w:tcPr/>
          <w:p>
            <w:pPr>
              <w:pStyle w:val="Compact"/>
              <w:jc w:val="left"/>
            </w:pPr>
            <w:r>
              <w:t xml:space="preserve">−0.44 (−4.3)</w:t>
            </w:r>
          </w:p>
        </w:tc>
        <w:tc>
          <w:tcPr/>
          <w:p>
            <w:pPr>
              <w:pStyle w:val="Compact"/>
              <w:jc w:val="left"/>
            </w:pPr>
            <w:r>
              <w:t xml:space="preserve">0.34 (0.8)</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Close-to-close</w:t>
            </w:r>
          </w:p>
        </w:tc>
        <w:tc>
          <w:tcPr/>
          <w:p>
            <w:pPr>
              <w:pStyle w:val="Compact"/>
              <w:jc w:val="left"/>
            </w:pPr>
            <w:r>
              <w:t xml:space="preserve">0.83 (1.0)</w:t>
            </w:r>
          </w:p>
        </w:tc>
        <w:tc>
          <w:tcPr/>
          <w:p>
            <w:pPr>
              <w:pStyle w:val="Compact"/>
              <w:jc w:val="left"/>
            </w:pPr>
            <w:r>
              <w:t xml:space="preserve">2.01 (14.6)</w:t>
            </w:r>
          </w:p>
        </w:tc>
        <w:tc>
          <w:tcPr/>
          <w:p>
            <w:pPr>
              <w:pStyle w:val="Compact"/>
              <w:jc w:val="left"/>
            </w:pPr>
            <w:r>
              <w:t xml:space="preserve">1.18 (1.3)</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−0.71 (−1.3)</w:t>
            </w:r>
          </w:p>
        </w:tc>
        <w:tc>
          <w:tcPr/>
          <w:p>
            <w:pPr>
              <w:pStyle w:val="Compact"/>
              <w:jc w:val="left"/>
            </w:pPr>
            <w:r>
              <w:t xml:space="preserve">−0.77 (−2.5)</w:t>
            </w:r>
          </w:p>
        </w:tc>
        <w:tc>
          <w:tcPr/>
          <w:p>
            <w:pPr>
              <w:pStyle w:val="Compact"/>
              <w:jc w:val="left"/>
            </w:pPr>
            <w:r>
              <w:t xml:space="preserve">−0.06 (−0.1)</w:t>
            </w:r>
          </w:p>
        </w:tc>
        <w:tc>
          <w:tcPr/>
          <w:p>
            <w:pPr>
              <w:pStyle w:val="Compact"/>
              <w:jc w:val="left"/>
            </w:pPr>
            <w:r>
              <w:t xml:space="preserve">936 / 2,257</w:t>
            </w:r>
          </w:p>
        </w:tc>
      </w:tr>
      <w:tr>
        <w:tc>
          <w:tcPr/>
          <w:p>
            <w:pPr>
              <w:pStyle w:val="Compact"/>
              <w:jc w:val="left"/>
            </w:pPr>
            <w:r>
              <w:t xml:space="preserve">Floor</w:t>
            </w:r>
          </w:p>
        </w:tc>
        <w:tc>
          <w:tcPr/>
          <w:p>
            <w:pPr>
              <w:pStyle w:val="Compact"/>
              <w:jc w:val="left"/>
            </w:pPr>
            <w:r>
              <w:t xml:space="preserve">Overnight gap</w:t>
            </w:r>
          </w:p>
        </w:tc>
        <w:tc>
          <w:tcPr/>
          <w:p>
            <w:pPr>
              <w:pStyle w:val="Compact"/>
              <w:jc w:val="left"/>
            </w:pPr>
            <w:r>
              <w:t xml:space="preserve">−0.42 (−1.9)</w:t>
            </w:r>
          </w:p>
        </w:tc>
        <w:tc>
          <w:tcPr/>
          <w:p>
            <w:pPr>
              <w:pStyle w:val="Compact"/>
              <w:jc w:val="left"/>
            </w:pPr>
            <w:r>
              <w:t xml:space="preserve">−1.37 (−7.0)</w:t>
            </w:r>
          </w:p>
        </w:tc>
        <w:tc>
          <w:tcPr/>
          <w:p>
            <w:pPr>
              <w:pStyle w:val="Compact"/>
              <w:jc w:val="left"/>
            </w:pPr>
            <w:r>
              <w:t xml:space="preserve">−0.95 (−3.2)</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Intraday</w:t>
            </w:r>
          </w:p>
        </w:tc>
        <w:tc>
          <w:tcPr/>
          <w:p>
            <w:pPr>
              <w:pStyle w:val="Compact"/>
              <w:jc w:val="left"/>
            </w:pPr>
            <w:r>
              <w:t xml:space="preserve">−0.15 (−0.4)</w:t>
            </w:r>
          </w:p>
        </w:tc>
        <w:tc>
          <w:tcPr/>
          <w:p>
            <w:pPr>
              <w:pStyle w:val="Compact"/>
              <w:jc w:val="left"/>
            </w:pPr>
            <w:r>
              <w:t xml:space="preserve">0.64 (4.6)</w:t>
            </w:r>
          </w:p>
        </w:tc>
        <w:tc>
          <w:tcPr/>
          <w:p>
            <w:pPr>
              <w:pStyle w:val="Compact"/>
              <w:jc w:val="left"/>
            </w:pPr>
            <w:r>
              <w:t xml:space="preserve">0.79 (2.0)</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Close-to-close</w:t>
            </w:r>
          </w:p>
        </w:tc>
        <w:tc>
          <w:tcPr/>
          <w:p>
            <w:pPr>
              <w:pStyle w:val="Compact"/>
              <w:jc w:val="left"/>
            </w:pPr>
            <w:r>
              <w:t xml:space="preserve">−0.57 (−2.3)</w:t>
            </w:r>
          </w:p>
        </w:tc>
        <w:tc>
          <w:tcPr/>
          <w:p>
            <w:pPr>
              <w:pStyle w:val="Compact"/>
              <w:jc w:val="left"/>
            </w:pPr>
            <w:r>
              <w:t xml:space="preserve">−0.78 (−5.0)</w:t>
            </w:r>
          </w:p>
        </w:tc>
        <w:tc>
          <w:tcPr/>
          <w:p>
            <w:pPr>
              <w:pStyle w:val="Compact"/>
              <w:jc w:val="left"/>
            </w:pPr>
            <w:r>
              <w:t xml:space="preserve">−0.21 (−0.7)</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−1.73 (−4.7)</w:t>
            </w:r>
          </w:p>
        </w:tc>
        <w:tc>
          <w:tcPr/>
          <w:p>
            <w:pPr>
              <w:pStyle w:val="Compact"/>
              <w:jc w:val="left"/>
            </w:pPr>
            <w:r>
              <w:t xml:space="preserve">−0.15 (−0.3)</w:t>
            </w:r>
          </w:p>
        </w:tc>
        <w:tc>
          <w:tcPr/>
          <w:p>
            <w:pPr>
              <w:pStyle w:val="Compact"/>
              <w:jc w:val="left"/>
            </w:pPr>
            <w:r>
              <w:t xml:space="preserve">1.58 (2.5)</w:t>
            </w:r>
          </w:p>
        </w:tc>
        <w:tc>
          <w:tcPr/>
          <w:p>
            <w:pPr>
              <w:pStyle w:val="Compact"/>
              <w:jc w:val="left"/>
            </w:pPr>
            <w:r>
              <w:t xml:space="preserve">891 / 1,217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Periods are split by the date of the opening that defines the gap; the difference</w:t>
      </w:r>
      <w:r>
        <w:t xml:space="preserve"> </w:t>
      </w:r>
      <w:r>
        <w:rPr>
          <w:iCs/>
          <w:i/>
        </w:rPr>
        <w:t xml:space="preserve">t</w:t>
      </w:r>
      <w:r>
        <w:t xml:space="preserve">-statistic treats the periods as independent.</w:t>
      </w:r>
    </w:p>
    <w:p>
      <w:pPr>
        <w:pStyle w:val="BodyText"/>
      </w:pPr>
      <w:r>
        <w:t xml:space="preserve">[[CAP]] Table 5 Events and overnight gaps by calendar quarter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Quarter</w:t>
            </w:r>
          </w:p>
        </w:tc>
        <w:tc>
          <w:tcPr/>
          <w:p>
            <w:pPr>
              <w:pStyle w:val="Compact"/>
              <w:jc w:val="left"/>
            </w:pPr>
            <w:r>
              <w:t xml:space="preserve">Ceiling events</w:t>
            </w:r>
          </w:p>
        </w:tc>
        <w:tc>
          <w:tcPr/>
          <w:p>
            <w:pPr>
              <w:pStyle w:val="Compact"/>
              <w:jc w:val="left"/>
            </w:pPr>
            <w:r>
              <w:t xml:space="preserve">Ceiling gap</w:t>
            </w:r>
          </w:p>
        </w:tc>
        <w:tc>
          <w:tcPr/>
          <w:p>
            <w:pPr>
              <w:pStyle w:val="Compact"/>
              <w:jc w:val="left"/>
            </w:pPr>
            <w:r>
              <w:t xml:space="preserve">Floor events</w:t>
            </w:r>
          </w:p>
        </w:tc>
        <w:tc>
          <w:tcPr/>
          <w:p>
            <w:pPr>
              <w:pStyle w:val="Compact"/>
              <w:jc w:val="left"/>
            </w:pPr>
            <w:r>
              <w:t xml:space="preserve">Floor gap</w:t>
            </w:r>
          </w:p>
        </w:tc>
      </w:tr>
      <w:tr>
        <w:tc>
          <w:tcPr/>
          <w:p>
            <w:pPr>
              <w:pStyle w:val="Compact"/>
              <w:jc w:val="left"/>
            </w:pPr>
            <w:r>
              <w:t xml:space="preserve">2024-Q4</w:t>
            </w:r>
          </w:p>
        </w:tc>
        <w:tc>
          <w:tcPr/>
          <w:p>
            <w:pPr>
              <w:pStyle w:val="Compact"/>
              <w:jc w:val="left"/>
            </w:pPr>
            <w:r>
              <w:t xml:space="preserve">177</w:t>
            </w:r>
          </w:p>
        </w:tc>
        <w:tc>
          <w:tcPr/>
          <w:p>
            <w:pPr>
              <w:pStyle w:val="Compact"/>
              <w:jc w:val="left"/>
            </w:pPr>
            <w:r>
              <w:t xml:space="preserve">2.16 (5.6)</w:t>
            </w:r>
          </w:p>
        </w:tc>
        <w:tc>
          <w:tcPr/>
          <w:p>
            <w:pPr>
              <w:pStyle w:val="Compact"/>
              <w:jc w:val="left"/>
            </w:pPr>
            <w:r>
              <w:t xml:space="preserve">48</w:t>
            </w:r>
          </w:p>
        </w:tc>
        <w:tc>
          <w:tcPr/>
          <w:p>
            <w:pPr>
              <w:pStyle w:val="Compact"/>
              <w:jc w:val="left"/>
            </w:pPr>
            <w:r>
              <w:t xml:space="preserve">−1.50 (−2.5)</w:t>
            </w:r>
          </w:p>
        </w:tc>
      </w:tr>
      <w:tr>
        <w:tc>
          <w:tcPr/>
          <w:p>
            <w:pPr>
              <w:pStyle w:val="Compact"/>
              <w:jc w:val="left"/>
            </w:pPr>
            <w:r>
              <w:t xml:space="preserve">2025-Q1</w:t>
            </w:r>
          </w:p>
        </w:tc>
        <w:tc>
          <w:tcPr/>
          <w:p>
            <w:pPr>
              <w:pStyle w:val="Compact"/>
              <w:jc w:val="left"/>
            </w:pPr>
            <w:r>
              <w:t xml:space="preserve">295</w:t>
            </w:r>
          </w:p>
        </w:tc>
        <w:tc>
          <w:tcPr/>
          <w:p>
            <w:pPr>
              <w:pStyle w:val="Compact"/>
              <w:jc w:val="left"/>
            </w:pPr>
            <w:r>
              <w:t xml:space="preserve">2.78 (9.1)</w:t>
            </w:r>
          </w:p>
        </w:tc>
        <w:tc>
          <w:tcPr/>
          <w:p>
            <w:pPr>
              <w:pStyle w:val="Compact"/>
              <w:jc w:val="left"/>
            </w:pPr>
            <w:r>
              <w:t xml:space="preserve">79</w:t>
            </w:r>
          </w:p>
        </w:tc>
        <w:tc>
          <w:tcPr/>
          <w:p>
            <w:pPr>
              <w:pStyle w:val="Compact"/>
              <w:jc w:val="left"/>
            </w:pPr>
            <w:r>
              <w:t xml:space="preserve">−1.70 (−3.9)</w:t>
            </w:r>
          </w:p>
        </w:tc>
      </w:tr>
      <w:tr>
        <w:tc>
          <w:tcPr/>
          <w:p>
            <w:pPr>
              <w:pStyle w:val="Compact"/>
              <w:jc w:val="left"/>
            </w:pPr>
            <w:r>
              <w:t xml:space="preserve">2025-Q2</w:t>
            </w:r>
          </w:p>
        </w:tc>
        <w:tc>
          <w:tcPr/>
          <w:p>
            <w:pPr>
              <w:pStyle w:val="Compact"/>
              <w:jc w:val="left"/>
            </w:pPr>
            <w:r>
              <w:t xml:space="preserve">686</w:t>
            </w:r>
          </w:p>
        </w:tc>
        <w:tc>
          <w:tcPr/>
          <w:p>
            <w:pPr>
              <w:pStyle w:val="Compact"/>
              <w:jc w:val="left"/>
            </w:pPr>
            <w:r>
              <w:t xml:space="preserve">1.33 (2.5)</w:t>
            </w:r>
          </w:p>
        </w:tc>
        <w:tc>
          <w:tcPr/>
          <w:p>
            <w:pPr>
              <w:pStyle w:val="Compact"/>
              <w:jc w:val="left"/>
            </w:pPr>
            <w:r>
              <w:t xml:space="preserve">802</w:t>
            </w:r>
          </w:p>
        </w:tc>
        <w:tc>
          <w:tcPr/>
          <w:p>
            <w:pPr>
              <w:pStyle w:val="Compact"/>
              <w:jc w:val="left"/>
            </w:pPr>
            <w:r>
              <w:t xml:space="preserve">−0.34 (−1.5)</w:t>
            </w:r>
          </w:p>
        </w:tc>
      </w:tr>
      <w:tr>
        <w:tc>
          <w:tcPr/>
          <w:p>
            <w:pPr>
              <w:pStyle w:val="Compact"/>
              <w:jc w:val="left"/>
            </w:pPr>
            <w:r>
              <w:t xml:space="preserve">2025-Q3</w:t>
            </w:r>
          </w:p>
        </w:tc>
        <w:tc>
          <w:tcPr/>
          <w:p>
            <w:pPr>
              <w:pStyle w:val="Compact"/>
              <w:jc w:val="left"/>
            </w:pPr>
            <w:r>
              <w:t xml:space="preserve">624</w:t>
            </w:r>
          </w:p>
        </w:tc>
        <w:tc>
          <w:tcPr/>
          <w:p>
            <w:pPr>
              <w:pStyle w:val="Compact"/>
              <w:jc w:val="left"/>
            </w:pPr>
            <w:r>
              <w:t xml:space="preserve">2.99 (16.8)</w:t>
            </w:r>
          </w:p>
        </w:tc>
        <w:tc>
          <w:tcPr/>
          <w:p>
            <w:pPr>
              <w:pStyle w:val="Compact"/>
              <w:jc w:val="left"/>
            </w:pPr>
            <w:r>
              <w:t xml:space="preserve">195</w:t>
            </w:r>
          </w:p>
        </w:tc>
        <w:tc>
          <w:tcPr/>
          <w:p>
            <w:pPr>
              <w:pStyle w:val="Compact"/>
              <w:jc w:val="left"/>
            </w:pPr>
            <w:r>
              <w:t xml:space="preserve">−0.86 (−4.1)</w:t>
            </w:r>
          </w:p>
        </w:tc>
      </w:tr>
      <w:tr>
        <w:tc>
          <w:tcPr/>
          <w:p>
            <w:pPr>
              <w:pStyle w:val="Compact"/>
              <w:jc w:val="left"/>
            </w:pPr>
            <w:r>
              <w:t xml:space="preserve">2025-Q4</w:t>
            </w:r>
          </w:p>
        </w:tc>
        <w:tc>
          <w:tcPr/>
          <w:p>
            <w:pPr>
              <w:pStyle w:val="Compact"/>
              <w:jc w:val="left"/>
            </w:pPr>
            <w:r>
              <w:t xml:space="preserve">426</w:t>
            </w:r>
          </w:p>
        </w:tc>
        <w:tc>
          <w:tcPr/>
          <w:p>
            <w:pPr>
              <w:pStyle w:val="Compact"/>
              <w:jc w:val="left"/>
            </w:pPr>
            <w:r>
              <w:t xml:space="preserve">2.64 (7.4)</w:t>
            </w:r>
          </w:p>
        </w:tc>
        <w:tc>
          <w:tcPr/>
          <w:p>
            <w:pPr>
              <w:pStyle w:val="Compact"/>
              <w:jc w:val="left"/>
            </w:pPr>
            <w:r>
              <w:t xml:space="preserve">280</w:t>
            </w:r>
          </w:p>
        </w:tc>
        <w:tc>
          <w:tcPr/>
          <w:p>
            <w:pPr>
              <w:pStyle w:val="Compact"/>
              <w:jc w:val="left"/>
            </w:pPr>
            <w:r>
              <w:t xml:space="preserve">−1.39 (−2.4)</w:t>
            </w:r>
          </w:p>
        </w:tc>
      </w:tr>
      <w:tr>
        <w:tc>
          <w:tcPr/>
          <w:p>
            <w:pPr>
              <w:pStyle w:val="Compact"/>
              <w:jc w:val="left"/>
            </w:pPr>
            <w:r>
              <w:t xml:space="preserve">2026-Q1</w:t>
            </w:r>
          </w:p>
        </w:tc>
        <w:tc>
          <w:tcPr/>
          <w:p>
            <w:pPr>
              <w:pStyle w:val="Compact"/>
              <w:jc w:val="left"/>
            </w:pPr>
            <w:r>
              <w:t xml:space="preserve">455</w:t>
            </w:r>
          </w:p>
        </w:tc>
        <w:tc>
          <w:tcPr/>
          <w:p>
            <w:pPr>
              <w:pStyle w:val="Compact"/>
              <w:jc w:val="left"/>
            </w:pPr>
            <w:r>
              <w:t xml:space="preserve">2.35 (10.4)</w:t>
            </w:r>
          </w:p>
        </w:tc>
        <w:tc>
          <w:tcPr/>
          <w:p>
            <w:pPr>
              <w:pStyle w:val="Compact"/>
              <w:jc w:val="left"/>
            </w:pPr>
            <w:r>
              <w:t xml:space="preserve">433</w:t>
            </w:r>
          </w:p>
        </w:tc>
        <w:tc>
          <w:tcPr/>
          <w:p>
            <w:pPr>
              <w:pStyle w:val="Compact"/>
              <w:jc w:val="left"/>
            </w:pPr>
            <w:r>
              <w:t xml:space="preserve">−1.39 (−7.8)</w:t>
            </w:r>
          </w:p>
        </w:tc>
      </w:tr>
      <w:tr>
        <w:tc>
          <w:tcPr/>
          <w:p>
            <w:pPr>
              <w:pStyle w:val="Compact"/>
              <w:jc w:val="left"/>
            </w:pPr>
            <w:r>
              <w:t xml:space="preserve">2026-Q2</w:t>
            </w:r>
          </w:p>
        </w:tc>
        <w:tc>
          <w:tcPr/>
          <w:p>
            <w:pPr>
              <w:pStyle w:val="Compact"/>
              <w:jc w:val="left"/>
            </w:pPr>
            <w:r>
              <w:t xml:space="preserve">297</w:t>
            </w:r>
          </w:p>
        </w:tc>
        <w:tc>
          <w:tcPr/>
          <w:p>
            <w:pPr>
              <w:pStyle w:val="Compact"/>
              <w:jc w:val="left"/>
            </w:pPr>
            <w:r>
              <w:t xml:space="preserve">2.08 (7.0)</w:t>
            </w:r>
          </w:p>
        </w:tc>
        <w:tc>
          <w:tcPr/>
          <w:p>
            <w:pPr>
              <w:pStyle w:val="Compact"/>
              <w:jc w:val="left"/>
            </w:pPr>
            <w:r>
              <w:t xml:space="preserve">99</w:t>
            </w:r>
          </w:p>
        </w:tc>
        <w:tc>
          <w:tcPr/>
          <w:p>
            <w:pPr>
              <w:pStyle w:val="Compact"/>
              <w:jc w:val="left"/>
            </w:pPr>
            <w:r>
              <w:t xml:space="preserve">−1.46 (−3.3)</w:t>
            </w:r>
          </w:p>
        </w:tc>
      </w:tr>
      <w:tr>
        <w:tc>
          <w:tcPr/>
          <w:p>
            <w:pPr>
              <w:pStyle w:val="Compact"/>
              <w:jc w:val="left"/>
            </w:pPr>
            <w:r>
              <w:t xml:space="preserve">2026-Q3</w:t>
            </w:r>
          </w:p>
        </w:tc>
        <w:tc>
          <w:tcPr/>
          <w:p>
            <w:pPr>
              <w:pStyle w:val="Compact"/>
              <w:jc w:val="left"/>
            </w:pPr>
            <w:r>
              <w:t xml:space="preserve">239</w:t>
            </w:r>
          </w:p>
        </w:tc>
        <w:tc>
          <w:tcPr/>
          <w:p>
            <w:pPr>
              <w:pStyle w:val="Compact"/>
              <w:jc w:val="left"/>
            </w:pPr>
            <w:r>
              <w:t xml:space="preserve">1.61 (5.4)</w:t>
            </w:r>
          </w:p>
        </w:tc>
        <w:tc>
          <w:tcPr/>
          <w:p>
            <w:pPr>
              <w:pStyle w:val="Compact"/>
              <w:jc w:val="left"/>
            </w:pPr>
            <w:r>
              <w:t xml:space="preserve">175</w:t>
            </w:r>
          </w:p>
        </w:tc>
        <w:tc>
          <w:tcPr/>
          <w:p>
            <w:pPr>
              <w:pStyle w:val="Compact"/>
              <w:jc w:val="left"/>
            </w:pPr>
            <w:r>
              <w:t xml:space="preserve">−1.55 (−2.8)</w:t>
            </w:r>
          </w:p>
        </w:tc>
      </w:tr>
    </w:tbl>
    <w:p>
      <w:pPr>
        <w:pStyle w:val="BodyText"/>
      </w:pPr>
      <w:r>
        <w:t xml:space="preserve">[[NOTE]]</w:t>
      </w:r>
      <w:r>
        <w:t xml:space="preserve"> </w:t>
      </w:r>
      <w:r>
        <w:rPr>
          <w:iCs/>
          <w:i/>
        </w:rPr>
        <w:t xml:space="preserve">Note.</w:t>
      </w:r>
      <w:r>
        <w:t xml:space="preserve"> </w:t>
      </w:r>
      <w:r>
        <w:t xml:space="preserve">Market-adjusted gaps in percent; two-way-clustered</w:t>
      </w:r>
      <w:r>
        <w:t xml:space="preserve"> </w:t>
      </w:r>
      <w:r>
        <w:rPr>
          <w:iCs/>
          <w:i/>
        </w:rPr>
        <w:t xml:space="preserve">t</w:t>
      </w:r>
      <w:r>
        <w:t xml:space="preserve">-statistics in parentheses. Counts are events with a day-</w:t>
      </w:r>
      <w:r>
        <w:rPr>
          <w:iCs/>
          <w:i/>
        </w:rPr>
        <w:t xml:space="preserve">d</w:t>
      </w:r>
      <w:r>
        <w:t xml:space="preserve">+1 open. The first and last quarters are partial; the KRX change falls in 2025-Q2.</w:t>
      </w:r>
    </w:p>
    <w:p>
      <w:pPr>
        <w:pStyle w:val="BodyText"/>
      </w:pPr>
      <w:r>
        <w:t xml:space="preserve">[[CAP]] Table 6 Comparison with earlier studies</w:t>
      </w:r>
    </w:p>
    <w:tbl>
      <w:tblPr>
        <w:tblStyle w:val="Table"/>
        <w:tblW w:type="pct" w:w="5000"/>
        <w:tblLook w:firstRow="1" w:lastRow="0" w:firstColumn="0" w:lastColumn="0" w:noHBand="0" w:noVBand="0" w:val="0020"/>
        <w:jc w:val="start"/>
      </w:tblPr>
      <w:tblGrid>
        <w:gridCol w:w="1073"/>
        <w:gridCol w:w="671"/>
        <w:gridCol w:w="2738"/>
        <w:gridCol w:w="343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Relation to our result</w:t>
            </w:r>
          </w:p>
        </w:tc>
      </w:tr>
      <w:tr>
        <w:tc>
          <w:tcPr/>
          <w:p>
            <w:pPr>
              <w:pStyle w:val="Compact"/>
              <w:jc w:val="left"/>
            </w:pPr>
            <w:r>
              <w:t xml:space="preserve">Kim and Rhee (1997)</w:t>
            </w:r>
          </w:p>
        </w:tc>
        <w:tc>
          <w:tcPr/>
          <w:p>
            <w:pPr>
              <w:pStyle w:val="Compact"/>
              <w:jc w:val="left"/>
            </w:pPr>
            <w:r>
              <w:t xml:space="preserve">Tokyo; limit hits</w:t>
            </w:r>
          </w:p>
        </w:tc>
        <w:tc>
          <w:tcPr/>
          <w:p>
            <w:pPr>
              <w:pStyle w:val="Compact"/>
              <w:jc w:val="left"/>
            </w:pPr>
            <w:r>
              <w:t xml:space="preserve">Volatility spillover, delayed price discovery, and trading interference</w:t>
            </w:r>
          </w:p>
        </w:tc>
        <w:tc>
          <w:tcPr/>
          <w:p>
            <w:pPr>
              <w:pStyle w:val="Compact"/>
              <w:jc w:val="left"/>
            </w:pPr>
            <w:r>
              <w:t xml:space="preserve">Ceiling next-day return consistent with delayed price discovery; spillover and interference not tested</w:t>
            </w:r>
          </w:p>
        </w:tc>
      </w:tr>
      <w:tr>
        <w:tc>
          <w:tcPr/>
          <w:p>
            <w:pPr>
              <w:pStyle w:val="Compact"/>
              <w:jc w:val="left"/>
            </w:pPr>
            <w:r>
              <w:t xml:space="preserve">Berkman and Lee (2002)</w:t>
            </w:r>
          </w:p>
        </w:tc>
        <w:tc>
          <w:tcPr/>
          <w:p>
            <w:pPr>
              <w:pStyle w:val="Compact"/>
              <w:jc w:val="left"/>
            </w:pPr>
            <w:r>
              <w:t xml:space="preserve">Korea; limit revision</w:t>
            </w:r>
          </w:p>
        </w:tc>
        <w:tc>
          <w:tcPr/>
          <w:p>
            <w:pPr>
              <w:pStyle w:val="Compact"/>
              <w:jc w:val="left"/>
            </w:pPr>
            <w:r>
              <w:t xml:space="preserve">Volatility and trading activity around the revision</w:t>
            </w:r>
          </w:p>
        </w:tc>
        <w:tc>
          <w:tcPr/>
          <w:p>
            <w:pPr>
              <w:pStyle w:val="Compact"/>
              <w:jc w:val="left"/>
            </w:pPr>
            <w:r>
              <w:t xml:space="preserve">Different question</w:t>
            </w:r>
          </w:p>
        </w:tc>
      </w:tr>
      <w:tr>
        <w:tc>
          <w:tcPr/>
          <w:p>
            <w:pPr>
              <w:pStyle w:val="Compact"/>
              <w:jc w:val="left"/>
            </w:pPr>
            <w:r>
              <w:t xml:space="preserve">Huang et al. (2001)</w:t>
            </w:r>
          </w:p>
        </w:tc>
        <w:tc>
          <w:tcPr/>
          <w:p>
            <w:pPr>
              <w:pStyle w:val="Compact"/>
              <w:jc w:val="left"/>
            </w:pPr>
            <w:r>
              <w:t xml:space="preserve">Taiwan; limit hits</w:t>
            </w:r>
          </w:p>
        </w:tc>
        <w:tc>
          <w:tcPr/>
          <w:p>
            <w:pPr>
              <w:pStyle w:val="Compact"/>
              <w:jc w:val="left"/>
            </w:pPr>
            <w:r>
              <w:t xml:space="preserve">Overnight overreaction after limit hits corrected the next day</w:t>
            </w:r>
          </w:p>
        </w:tc>
        <w:tc>
          <w:tcPr/>
          <w:p>
            <w:pPr>
              <w:pStyle w:val="Compact"/>
              <w:jc w:val="left"/>
            </w:pPr>
            <w:r>
              <w:t xml:space="preserve">Same timing: positive gap, partial intraday reversal</w:t>
            </w:r>
          </w:p>
        </w:tc>
      </w:tr>
      <w:tr>
        <w:tc>
          <w:tcPr/>
          <w:p>
            <w:pPr>
              <w:pStyle w:val="Compact"/>
              <w:jc w:val="left"/>
            </w:pPr>
            <w:r>
              <w:t xml:space="preserve">Cho et al. (2003)</w:t>
            </w:r>
          </w:p>
        </w:tc>
        <w:tc>
          <w:tcPr/>
          <w:p>
            <w:pPr>
              <w:pStyle w:val="Compact"/>
              <w:jc w:val="left"/>
            </w:pPr>
            <w:r>
              <w:t xml:space="preserve">Taiwan; five-minute data</w:t>
            </w:r>
          </w:p>
        </w:tc>
        <w:tc>
          <w:tcPr/>
          <w:p>
            <w:pPr>
              <w:pStyle w:val="Compact"/>
              <w:jc w:val="left"/>
            </w:pPr>
            <w:r>
              <w:t xml:space="preserve">Prices accelerate toward the upper limit</w:t>
            </w:r>
          </w:p>
        </w:tc>
        <w:tc>
          <w:tcPr/>
          <w:p>
            <w:pPr>
              <w:pStyle w:val="Compact"/>
              <w:jc w:val="left"/>
            </w:pPr>
            <w:r>
              <w:t xml:space="preserve">Not tested; no intraday prices</w:t>
            </w:r>
          </w:p>
        </w:tc>
      </w:tr>
      <w:tr>
        <w:tc>
          <w:tcPr/>
          <w:p>
            <w:pPr>
              <w:pStyle w:val="Compact"/>
              <w:jc w:val="left"/>
            </w:pPr>
            <w:r>
              <w:t xml:space="preserve">Chen et al. (2019)</w:t>
            </w:r>
          </w:p>
        </w:tc>
        <w:tc>
          <w:tcPr/>
          <w:p>
            <w:pPr>
              <w:pStyle w:val="Compact"/>
              <w:jc w:val="left"/>
            </w:pPr>
            <w:r>
              <w:t xml:space="preserve">Shenzhen; accounts</w:t>
            </w:r>
          </w:p>
        </w:tc>
        <w:tc>
          <w:tcPr/>
          <w:p>
            <w:pPr>
              <w:pStyle w:val="Compact"/>
              <w:jc w:val="left"/>
            </w:pPr>
            <w:r>
              <w:t xml:space="preserve">Large investors buy on the limit day and sell the next; their net buying predicts long-run reversal</w:t>
            </w:r>
          </w:p>
        </w:tc>
        <w:tc>
          <w:tcPr/>
          <w:p>
            <w:pPr>
              <w:pStyle w:val="Compact"/>
              <w:jc w:val="left"/>
            </w:pPr>
            <w:r>
              <w:t xml:space="preserve">Consistent with our intraday reversal; no account identities</w:t>
            </w:r>
          </w:p>
        </w:tc>
      </w:tr>
      <w:tr>
        <w:tc>
          <w:tcPr/>
          <w:p>
            <w:pPr>
              <w:pStyle w:val="Compact"/>
              <w:jc w:val="left"/>
            </w:pPr>
            <w:r>
              <w:t xml:space="preserve">Qi (2023)</w:t>
            </w:r>
          </w:p>
        </w:tc>
        <w:tc>
          <w:tcPr/>
          <w:p>
            <w:pPr>
              <w:pStyle w:val="Compact"/>
              <w:jc w:val="left"/>
            </w:pPr>
            <w:r>
              <w:t xml:space="preserve">ChiNext; band 10% to 20%</w:t>
            </w:r>
          </w:p>
        </w:tc>
        <w:tc>
          <w:tcPr/>
          <w:p>
            <w:pPr>
              <w:pStyle w:val="Compact"/>
              <w:jc w:val="left"/>
            </w:pPr>
            <w:r>
              <w:t xml:space="preserve">Delayed price discovery, spillover, and interference, stronger at the lower limit; no magnet effect</w:t>
            </w:r>
          </w:p>
        </w:tc>
        <w:tc>
          <w:tcPr/>
          <w:p>
            <w:pPr>
              <w:pStyle w:val="Compact"/>
              <w:jc w:val="left"/>
            </w:pPr>
            <w:r>
              <w:t xml:space="preserve">Different outcome (market quality); here both limit closes carry a next-day return, the floor effect depending on the benchmark</w:t>
            </w:r>
          </w:p>
        </w:tc>
      </w:tr>
      <w:tr>
        <w:tc>
          <w:tcPr/>
          <w:p>
            <w:pPr>
              <w:pStyle w:val="Compact"/>
              <w:jc w:val="left"/>
            </w:pPr>
            <w:r>
              <w:t xml:space="preserve">Lin et al. (2023); Zeng et al. (2024)</w:t>
            </w:r>
          </w:p>
        </w:tc>
        <w:tc>
          <w:tcPr/>
          <w:p>
            <w:pPr>
              <w:pStyle w:val="Compact"/>
              <w:jc w:val="left"/>
            </w:pPr>
            <w:r>
              <w:t xml:space="preserve">China; cross-section</w:t>
            </w:r>
          </w:p>
        </w:tc>
        <w:tc>
          <w:tcPr/>
          <w:p>
            <w:pPr>
              <w:pStyle w:val="Compact"/>
              <w:jc w:val="left"/>
            </w:pPr>
            <w:r>
              <w:t xml:space="preserve">Large limit exposure or frequent upper-limit hits predict lower returns</w:t>
            </w:r>
          </w:p>
        </w:tc>
        <w:tc>
          <w:tcPr/>
          <w:p>
            <w:pPr>
              <w:pStyle w:val="Compact"/>
              <w:jc w:val="left"/>
            </w:pPr>
            <w:r>
              <w:t xml:space="preserve">Different horizon; a one-day gain can coexist with later reversal, which we do not measure</w:t>
            </w:r>
          </w:p>
        </w:tc>
      </w:tr>
      <w:tr>
        <w:tc>
          <w:tcPr/>
          <w:p>
            <w:pPr>
              <w:pStyle w:val="Compact"/>
              <w:jc w:val="left"/>
            </w:pPr>
            <w:r>
              <w:t xml:space="preserve">Berkman et al. (2012)</w:t>
            </w:r>
          </w:p>
        </w:tc>
        <w:tc>
          <w:tcPr/>
          <w:p>
            <w:pPr>
              <w:pStyle w:val="Compact"/>
              <w:jc w:val="left"/>
            </w:pPr>
            <w:r>
              <w:t xml:space="preserve">U.S.; intraday data</w:t>
            </w:r>
          </w:p>
        </w:tc>
        <w:tc>
          <w:tcPr/>
          <w:p>
            <w:pPr>
              <w:pStyle w:val="Compact"/>
              <w:jc w:val="left"/>
            </w:pPr>
            <w:r>
              <w:t xml:space="preserve">Overnight gains, intraday reversals, concentrated in high-attention stocks</w:t>
            </w:r>
          </w:p>
        </w:tc>
        <w:tc>
          <w:tcPr/>
          <w:p>
            <w:pPr>
              <w:pStyle w:val="Compact"/>
              <w:jc w:val="left"/>
            </w:pPr>
            <w:r>
              <w:t xml:space="preserve">Same signs; the gap also rises with volume and prior return</w:t>
            </w:r>
          </w:p>
        </w:tc>
      </w:tr>
      <w:tr>
        <w:tc>
          <w:tcPr/>
          <w:p>
            <w:pPr>
              <w:pStyle w:val="Compact"/>
              <w:jc w:val="left"/>
            </w:pPr>
            <w:r>
              <w:t xml:space="preserve">Lou et al. (2019)</w:t>
            </w:r>
          </w:p>
        </w:tc>
        <w:tc>
          <w:tcPr/>
          <w:p>
            <w:pPr>
              <w:pStyle w:val="Compact"/>
              <w:jc w:val="left"/>
            </w:pPr>
            <w:r>
              <w:t xml:space="preserve">U.S.; stock returns</w:t>
            </w:r>
          </w:p>
        </w:tc>
        <w:tc>
          <w:tcPr/>
          <w:p>
            <w:pPr>
              <w:pStyle w:val="Compact"/>
              <w:jc w:val="left"/>
            </w:pPr>
            <w:r>
              <w:t xml:space="preserve">Overnight and intraday continuation, offsetting cross-period reversal</w:t>
            </w:r>
          </w:p>
        </w:tc>
        <w:tc>
          <w:tcPr/>
          <w:p>
            <w:pPr>
              <w:pStyle w:val="Compact"/>
              <w:jc w:val="left"/>
            </w:pPr>
            <w:r>
              <w:t xml:space="preserve">Gap-then-reversal has the sign of that cross-period reversal at one day</w:t>
            </w:r>
          </w:p>
        </w:tc>
      </w:tr>
      <w:tr>
        <w:tc>
          <w:tcPr/>
          <w:p>
            <w:pPr>
              <w:pStyle w:val="Compact"/>
              <w:jc w:val="left"/>
            </w:pPr>
            <w:r>
              <w:t xml:space="preserve">Qiao and Dam (2020)</w:t>
            </w:r>
          </w:p>
        </w:tc>
        <w:tc>
          <w:tcPr/>
          <w:p>
            <w:pPr>
              <w:pStyle w:val="Compact"/>
              <w:jc w:val="left"/>
            </w:pPr>
            <w:r>
              <w:t xml:space="preserve">China A-shares</w:t>
            </w:r>
          </w:p>
        </w:tc>
        <w:tc>
          <w:tcPr/>
          <w:p>
            <w:pPr>
              <w:pStyle w:val="Compact"/>
              <w:jc w:val="left"/>
            </w:pPr>
            <w:r>
              <w:t xml:space="preserve">Negative average overnight return; T+1 rule lowers opening prices</w:t>
            </w:r>
          </w:p>
        </w:tc>
        <w:tc>
          <w:tcPr/>
          <w:p>
            <w:pPr>
              <w:pStyle w:val="Compact"/>
              <w:jc w:val="left"/>
            </w:pPr>
            <w:r>
              <w:t xml:space="preserve">Opposite sign: positive overnight return after ceiling closes</w:t>
            </w:r>
          </w:p>
        </w:tc>
      </w:tr>
      <w:tr>
        <w:tc>
          <w:tcPr/>
          <w:p>
            <w:pPr>
              <w:pStyle w:val="Compact"/>
              <w:jc w:val="left"/>
            </w:pPr>
            <w:r>
              <w:t xml:space="preserve">Hou et al. (2020); Harvey et al. (2016)</w:t>
            </w:r>
          </w:p>
        </w:tc>
        <w:tc>
          <w:tcPr/>
          <w:p>
            <w:pPr>
              <w:pStyle w:val="Compact"/>
              <w:jc w:val="left"/>
            </w:pPr>
            <w:r>
              <w:t xml:space="preserve">U.S.; anomalies</w:t>
            </w:r>
          </w:p>
        </w:tc>
        <w:tc>
          <w:tcPr/>
          <w:p>
            <w:pPr>
              <w:pStyle w:val="Compact"/>
              <w:jc w:val="left"/>
            </w:pPr>
            <w:r>
              <w:t xml:space="preserve">With microcaps mitigated, 65% of 452 anomalies fail the 1.96 hurdle; a new factor needs</w:t>
            </w:r>
            <w:r>
              <w:t xml:space="preserve"> </w:t>
            </w:r>
            <w:r>
              <w:rPr>
                <w:iCs/>
                <w:i/>
              </w:rPr>
              <w:t xml:space="preserve">t</w:t>
            </w:r>
            <w:r>
              <w:t xml:space="preserve"> </w:t>
            </w:r>
            <w:r>
              <w:t xml:space="preserve">above 3.0</w:t>
            </w:r>
          </w:p>
        </w:tc>
        <w:tc>
          <w:tcPr/>
          <w:p>
            <w:pPr>
              <w:pStyle w:val="Compact"/>
              <w:jc w:val="left"/>
            </w:pPr>
            <w:r>
              <w:t xml:space="preserve">None of our 22 characteristics reaches 1.96 in the full sample</w:t>
            </w:r>
          </w:p>
        </w:tc>
      </w:tr>
    </w:tbl>
    <w:p>
      <w:pPr>
        <w:pStyle w:val="BodyText"/>
      </w:pPr>
      <w:r>
        <w:t xml:space="preserve">[[NOTE]]</w:t>
      </w:r>
      <w:r>
        <w:t xml:space="preserve"> </w:t>
      </w:r>
      <w:r>
        <w:rPr>
          <w:iCs/>
          <w:i/>
        </w:rPr>
        <w:t xml:space="preserve">Note.</w:t>
      </w:r>
      <w:r>
        <w:t xml:space="preserve"> </w:t>
      </w:r>
      <w:r>
        <w:t xml:space="preserve">Findings as reported in each source’s abstract or in the records we could access.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40"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4" Target="https://doi.org/10.1016/j.frl.2023.104715" TargetMode="External" /><Relationship Type="http://schemas.openxmlformats.org/officeDocument/2006/relationships/hyperlink" Id="rId64" Target="https://doi.org/10.1016/j.frl.2023.104803" TargetMode="External" /><Relationship Type="http://schemas.openxmlformats.org/officeDocument/2006/relationships/hyperlink" Id="rId58"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59"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39" Target="https://doi.org/10.1017/S0022109012000270" TargetMode="External" /><Relationship Type="http://schemas.openxmlformats.org/officeDocument/2006/relationships/hyperlink" Id="rId55"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2" Target="https://doi.org/10.1093/rfs/hhv059" TargetMode="External" /><Relationship Type="http://schemas.openxmlformats.org/officeDocument/2006/relationships/hyperlink" Id="rId49"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2" Target="https://doi.org/10.1111/j.1540-6261.1994.tb04427.x" TargetMode="External" /><Relationship Type="http://schemas.openxmlformats.org/officeDocument/2006/relationships/hyperlink" Id="rId56" Target="https://doi.org/10.1111/j.1540-6261.1997.tb04827.x" TargetMode="External" /><Relationship Type="http://schemas.openxmlformats.org/officeDocument/2006/relationships/hyperlink" Id="rId50"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1"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1" Target="https://doi.org/10.1371/journal.pone.0287548" TargetMode="External" /><Relationship Type="http://schemas.openxmlformats.org/officeDocument/2006/relationships/hyperlink" Id="rId60"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63" Target="https://vietnamnews.vn/economy/1717047/krx-system-officially-goes-live.html" TargetMode="External" /><Relationship Type="http://schemas.openxmlformats.org/officeDocument/2006/relationships/hyperlink" Id="rId53" Target="https://www.hsc.com.vn/en/important-changes-of-new-trading-system"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40"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4" Target="https://doi.org/10.1016/j.frl.2023.104715" TargetMode="External" /><Relationship Type="http://schemas.openxmlformats.org/officeDocument/2006/relationships/hyperlink" Id="rId64" Target="https://doi.org/10.1016/j.frl.2023.104803" TargetMode="External" /><Relationship Type="http://schemas.openxmlformats.org/officeDocument/2006/relationships/hyperlink" Id="rId58"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59"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39" Target="https://doi.org/10.1017/S0022109012000270" TargetMode="External" /><Relationship Type="http://schemas.openxmlformats.org/officeDocument/2006/relationships/hyperlink" Id="rId55"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2" Target="https://doi.org/10.1093/rfs/hhv059" TargetMode="External" /><Relationship Type="http://schemas.openxmlformats.org/officeDocument/2006/relationships/hyperlink" Id="rId49"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2" Target="https://doi.org/10.1111/j.1540-6261.1994.tb04427.x" TargetMode="External" /><Relationship Type="http://schemas.openxmlformats.org/officeDocument/2006/relationships/hyperlink" Id="rId56" Target="https://doi.org/10.1111/j.1540-6261.1997.tb04827.x" TargetMode="External" /><Relationship Type="http://schemas.openxmlformats.org/officeDocument/2006/relationships/hyperlink" Id="rId50"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1"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1" Target="https://doi.org/10.1371/journal.pone.0287548" TargetMode="External" /><Relationship Type="http://schemas.openxmlformats.org/officeDocument/2006/relationships/hyperlink" Id="rId60"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63" Target="https://vietnamnews.vn/economy/1717047/krx-system-officially-goes-live.html" TargetMode="External" /><Relationship Type="http://schemas.openxmlformats.org/officeDocument/2006/relationships/hyperlink" Id="rId53" Target="https://www.hsc.com.vn/en/important-changes-of-new-trading-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2026-10-06T06:17:36Z</dcterms:created>
  <dcterms:modified xsi:type="dcterms:W3CDTF">2026-10-06T06:17:36Z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