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rPr>
          <w:bCs/>
          <w:b/>
        </w:rPr>
        <w:t xml:space="preserve">Manuscript title:</w:t>
      </w:r>
      <w:r>
        <w:t xml:space="preserve"> </w:t>
      </w:r>
      <w:r>
        <w:t xml:space="preserve">Who gains from a market upgrade? Stock liquidity and prices around Vietnam’s FTSE Russell reclassification</w:t>
      </w:r>
    </w:p>
    <w:p>
      <w:pPr>
        <w:pStyle w:val="BodyText"/>
      </w:pPr>
      <w:r>
        <w:rPr>
          <w:bCs/>
          <w:b/>
        </w:rPr>
        <w:t xml:space="preserve">Journal:</w:t>
      </w:r>
      <w:r>
        <w:t xml:space="preserve"> </w:t>
      </w:r>
      <w:r>
        <w:t xml:space="preserve">Finance Research Open</w:t>
      </w:r>
    </w:p>
    <w:p>
      <w:pPr>
        <w:pStyle w:val="BodyText"/>
      </w:pPr>
      <w:r>
        <w:t xml:space="preserve">The authors declare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Nguyen Thanh Binh, Nguyen Van Trung (corresponding author), Nguyen Bach Diep, Ha Hong Hanh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24 September 2026</w:t>
      </w:r>
    </w:p>
    <w:bookmarkEnd w:id="20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2026-09-24T09:25:14Z</dcterms:created>
  <dcterms:modified xsi:type="dcterms:W3CDTF">2026-09-24T09:25:14Z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