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Daily price limits aim to cool markets but can delay price discovery. Few studies trace prices after limit closes in emerging markets, and none we know of tests the limit against other candidate signals. For 347 stocks on the Ho Chi Minh Stock Exchange from August 2024 to September 2026, we run 26 tests under false-discovery-rate control: four price-limit event tests and 22 price- and volume-based characteristics. All four limit tests survive; none of the 22 lower-powered characteristic tests does. After a ceiling close, the next-day abnormal return of 1.7% is an overnight gap of 2.2% less an intraday reversal of 0.5%, and the gap exceeds that after rises of 5% to 6.5% by 2.7 percentage points. A buyer at the next open loses 0.7% against the market by the fifth close. Delayed price discovery fits the pattern, but so do news and attention; without news or order-book data we cannot separate them.</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keepNext/>
      </w:pPr>
      <w:r>
        <w:t xml:space="preserve">1. Introduction</w:t>
      </w:r>
    </w:p>
    <w:p>
      <w:pPr>
        <w:pStyle w:val="FirstParagraph"/>
      </w:pPr>
      <w:r>
        <w:t xml:space="preserve">A daily price limit stops a stock from moving beyond a fixed band within one trading day. Exchanges in Tokyo, Taipei, Seoul, Shenzhen, and Ho Chi Minh City have used limits to cool markets after large shocks, and economists ask whether a limit protects prices or postpones their adjustment. The question is sharpest where limit closes are common and call auctions set the opening and closing prices. The Ho Chi Minh Stock Exchange (HOSE) has both features: one 7% band applies to all stocks, and about 2.0% of stock-days in our event window close at the upper limit (a ceiling close; Section 4) and about 1.4% at the lower limit (a floor close).</w:t>
      </w:r>
    </w:p>
    <w:p>
      <w:pPr>
        <w:pStyle w:val="BodyText"/>
      </w:pPr>
      <w:r>
        <w:t xml:space="preserve">Studies of band changes document effects on volatility, liquidity, and crash risk (Jia et al., 2024; Lien et al., 2019; Qi, 2023), and account-level data show that large investors buy on the limit day and sell on the next (Chen et al., 2019). Of the studies we reviewed, only Huang et al. (2001) describe the overnight-then-intraday pattern after limit hits, and the records we could access give no magnitudes. None measures the overnight gap and the intraday return after a limit close against a benchmark, places the limit result in a family of tests that controls for the other price-based signals a researcher could have examined, or examines the 2025 move of HOSE to a new trading platform.</w:t>
      </w:r>
    </w:p>
    <w:p>
      <w:pPr>
        <w:pStyle w:val="BodyText"/>
      </w:pPr>
      <w:r>
        <w:t xml:space="preserve">We estimate the abnormal return after ceiling and floor closes on HOSE, split it into the overnight gap and the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pPr>
        <w:pStyle w:val="BodyText"/>
      </w:pPr>
      <w:r>
        <w:t xml:space="preserve">Section 2 reviews the literature, Sections 3 and 4 describe the data and design, Section 5 reports results, Section 6 discusses them, and Sections 7 and 8 give limitations and conclusions.</w:t>
      </w:r>
    </w:p>
    <w:bookmarkEnd w:id="20"/>
    <w:bookmarkStart w:id="21" w:name="related-literature-and-hypotheses"/>
    <w:p>
      <w:pPr>
        <w:pStyle w:val="Heading1"/>
        <w:keepNext/>
      </w:pPr>
      <w:r>
        <w:t xml:space="preserve">2. Related literature and hypotheses</w:t>
      </w:r>
    </w:p>
    <w:p>
      <w:pPr>
        <w:pStyle w:val="FirstParagraph"/>
      </w:pPr>
      <w:r>
        <w:rPr>
          <w:bCs/>
          <w:b/>
        </w:rPr>
        <w:t xml:space="preserve">Theory.</w:t>
      </w:r>
      <w:r>
        <w:t xml:space="preserve"> </w:t>
      </w:r>
      <w: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bCs/>
          <w:b/>
        </w:rPr>
        <w:t xml:space="preserve">Classic evidence.</w:t>
      </w:r>
      <w:r>
        <w:t xml:space="preserve"> </w:t>
      </w:r>
      <w: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and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 Kim and Limpaphayom (2000) show that small, volatile, high-volume stocks hit limits more often, and Deb et al. (2013) argue that rigid limits in Tokyo can disrupt price discovery and liquidity provision.</w:t>
      </w:r>
    </w:p>
    <w:p>
      <w:pPr>
        <w:pStyle w:val="BodyText"/>
      </w:pPr>
      <w:r>
        <w:rPr>
          <w:bCs/>
          <w:b/>
        </w:rPr>
        <w:t xml:space="preserve">Band changes and investor-level data.</w:t>
      </w:r>
      <w:r>
        <w:t xml:space="preserve"> </w:t>
      </w:r>
      <w: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bCs/>
          <w:b/>
        </w:rPr>
        <w:t xml:space="preserve">Overnight and intraday returns.</w:t>
      </w:r>
      <w:r>
        <w:t xml:space="preserve"> </w:t>
      </w:r>
      <w: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bCs/>
          <w:b/>
        </w:rPr>
        <w:t xml:space="preserve">Multiple testing and weekly regressions.</w:t>
      </w:r>
      <w:r>
        <w:t xml:space="preserve"> </w:t>
      </w:r>
      <w:r>
        <w:t xml:space="preserve">Harvey et al. (2016) argue that a new factor needs a</w:t>
      </w:r>
      <w:r>
        <w:t xml:space="preserve"> </w:t>
      </w:r>
      <w:r>
        <w:rPr>
          <w:iCs/>
          <w:i/>
        </w:rPr>
        <w:t xml:space="preserve">t</w:t>
      </w:r>
      <w: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we found no peer-reviewed study of post-limit returns on HOSE.</w:t>
      </w:r>
    </w:p>
    <w:p>
      <w:pPr>
        <w:pStyle w:val="BodyText"/>
      </w:pPr>
      <w:r>
        <w:rPr>
          <w:bCs/>
          <w:b/>
        </w:rPr>
        <w:t xml:space="preserve">Gap and hypotheses.</w:t>
      </w:r>
      <w:r>
        <w:t xml:space="preserve"> </w:t>
      </w:r>
      <w:r>
        <w:t xml:space="preserve">These studies compare band regimes, sort stocks by limit exposure, or split overnight and intraday returns for all stocks.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1"/>
    <w:bookmarkStart w:id="22" w:name="data-and-institutional-setting"/>
    <w:p>
      <w:pPr>
        <w:pStyle w:val="Heading1"/>
        <w:keepNext/>
      </w:pPr>
      <w:r>
        <w:t xml:space="preserve">3. Data and institutional setting</w:t>
      </w:r>
    </w:p>
    <w:p>
      <w:pPr>
        <w:pStyle w:val="FirstParagraph"/>
      </w:pPr>
      <w:r>
        <w:rPr>
          <w:bCs/>
          <w:b/>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bCs/>
          <w:b/>
        </w:rPr>
        <w:t xml:space="preserve">Institutional setting.</w:t>
      </w:r>
      <w:r>
        <w:t xml:space="preserve"> </w:t>
      </w:r>
      <w: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design"/>
    <w:p>
      <w:pPr>
        <w:pStyle w:val="Heading1"/>
        <w:keepNext/>
      </w:pPr>
      <w:r>
        <w:t xml:space="preserve">4. Design</w:t>
      </w:r>
    </w:p>
    <w:p>
      <w:pPr>
        <w:pStyle w:val="FirstParagraph"/>
      </w:pPr>
      <w:r>
        <w:rPr>
          <w:bCs/>
          <w:b/>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bCs/>
          <w:b/>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7 on vendor price adjustment).</w:t>
      </w:r>
    </w:p>
    <w:p>
      <w:pPr>
        <w:pStyle w:val="BodyText"/>
      </w:pPr>
      <w:r>
        <w:rPr>
          <w:bCs/>
          <w:b/>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bCs/>
          <w:b/>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 0 for the comparison moves,</w:t>
      </w:r>
      <w:r>
        <w:t xml:space="preserve"> </w:t>
      </w:r>
      <m:oMath>
        <m:r>
          <m:t>α</m:t>
        </m:r>
      </m:oMath>
      <w:r>
        <w:t xml:space="preserve"> </w:t>
      </w:r>
      <w:r>
        <w:t xml:space="preserve">is the intercept, and</w:t>
      </w:r>
      <w:r>
        <w:t xml:space="preserve"> </w:t>
      </w:r>
      <m:oMath>
        <m:sSub>
          <m:e>
            <m:r>
              <m:t>u</m:t>
            </m:r>
          </m:e>
          <m:sub>
            <m:r>
              <m:t>e</m:t>
            </m:r>
          </m:sub>
        </m:sSub>
      </m:oMath>
      <w:r>
        <w:t xml:space="preserve"> </w:t>
      </w:r>
      <w:r>
        <w:t xml:space="preserve">is the error, with date-clustered HC1 standard errors (R package</w:t>
      </w:r>
      <w:r>
        <w:t xml:space="preserve"> </w:t>
      </w:r>
      <w:r>
        <w:rPr>
          <w:iCs/>
          <w:i/>
        </w:rPr>
        <w:t xml:space="preserve">sandwich</w:t>
      </w:r>
      <w:r>
        <w:t xml:space="preserve">).</w:t>
      </w:r>
    </w:p>
    <w:p>
      <w:pPr>
        <w:pStyle w:val="BodyText"/>
      </w:pPr>
      <w:r>
        <w:rPr>
          <w:bCs/>
          <w:b/>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w:t>
      </w:r>
      <w:r>
        <w:t xml:space="preserve">(five-trading-day periods, not the calendar weeks used for clustering),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at least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m:oMath>
        <m:sSub>
          <m:e>
            <m:r>
              <m:t>a</m:t>
            </m:r>
          </m:e>
          <m:sub>
            <m:r>
              <m:t>τ</m:t>
            </m:r>
          </m:sub>
        </m:sSub>
      </m:oMath>
      <w:r>
        <w:t xml:space="preserve">, slope</w:t>
      </w:r>
      <w:r>
        <w:t xml:space="preserve"> </w:t>
      </w:r>
      <m:oMath>
        <m:sSub>
          <m:e>
            <m:r>
              <m:t>γ</m:t>
            </m:r>
          </m:e>
          <m:sub>
            <m:r>
              <m:t>τ</m:t>
            </m:r>
          </m:sub>
        </m:sSub>
      </m:oMath>
      <w:r>
        <w:t xml:space="preserve">, and residual</w:t>
      </w:r>
      <w:r>
        <w:t xml:space="preserve"> </w:t>
      </w:r>
      <m:oMath>
        <m:sSub>
          <m:e>
            <m:r>
              <m:t>ε</m:t>
            </m:r>
          </m:e>
          <m:sub>
            <m:r>
              <m:t>i</m:t>
            </m:r>
            <m:r>
              <m:rPr>
                <m:sty m:val="p"/>
              </m:rPr>
              <m:t>,</m:t>
            </m:r>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 (1987) standard errors (four lags, Bartlett weights, no prewhitening) and 78 degrees of freedom. Appendix A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bCs/>
          <w:b/>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w:t>
      </w:r>
    </w:p>
    <w:p>
      <w:pPr>
        <w:pStyle w:val="BodyText"/>
      </w:pPr>
      <w:r>
        <w:rPr>
          <w:bCs/>
          <w:b/>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bookmarkEnd w:id="23"/>
    <w:bookmarkStart w:id="30" w:name="results"/>
    <w:p>
      <w:pPr>
        <w:pStyle w:val="Heading1"/>
        <w:keepNext/>
      </w:pPr>
      <w:r>
        <w:t xml:space="preserve">5. 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CaptionedFigure"/>
      </w:pPr>
      <w:r>
        <w:drawing>
          <wp:inline>
            <wp:extent cx="5753100" cy="4071424"/>
            <wp:effectExtent b="0" l="0" r="0" t="0"/>
            <wp:docPr descr="Figure 1. t-statistics of the Fama and MacBeth regressions for the 22 characteristics in the full sample, the discovery half (first 39 weeks), and the confirmation half, ordered by absolute full-sample t. Appendix A defines the labels. Dashed lines mark |t| = 1.96 and dotted lines |t| = 3." title="" id="25" name="Picture"/>
            <a:graphic>
              <a:graphicData uri="http://schemas.openxmlformats.org/drawingml/2006/picture">
                <pic:pic>
                  <pic:nvPicPr>
                    <pic:cNvPr descr="../output/figures/F1_characteristics.png" id="26" name="Picture"/>
                    <pic:cNvPicPr>
                      <a:picLocks noChangeArrowheads="1" noChangeAspect="1"/>
                    </pic:cNvPicPr>
                  </pic:nvPicPr>
                  <pic:blipFill>
                    <a:blip r:embed="rId24"/>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(first 39 weeks), and the confirmation half, ordered by absolute full-sample</w:t>
      </w:r>
      <w:r>
        <w:rPr>
          <w:sz w:val="19"/>
        </w:rPr>
        <w:t xml:space="preserve"> </w:t>
      </w:r>
      <w:r>
        <w:rPr>
          <w:iCs/>
          <w:i/>
          <w:sz w:val="19"/>
        </w:rPr>
        <w:t xml:space="preserve">t</w:t>
      </w:r>
      <w:r>
        <w:rPr>
          <w:sz w:val="19"/>
        </w:rPr>
        <w:t xml:space="preserve">. Appendix A defines the labels. Dashed lines mark |</w:t>
      </w:r>
      <w:r>
        <w:rPr>
          <w:iCs/>
          <w:i/>
          <w:sz w:val="19"/>
        </w:rPr>
        <w:t xml:space="preserve">t</w:t>
      </w:r>
      <w:r>
        <w:rPr>
          <w:sz w:val="19"/>
        </w:rPr>
        <w:t xml:space="preserve">| = 1.96 and dotted lines |</w:t>
      </w:r>
      <w:r>
        <w:rPr>
          <w:iCs/>
          <w:i/>
          <w:sz w:val="19"/>
        </w:rPr>
        <w:t xml:space="preserve">t</w:t>
      </w:r>
      <w:r>
        <w:rPr>
          <w:sz w:val="19"/>
        </w:rPr>
        <w:t xml:space="preserve">| = 3.</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keepNext/>
        <w:spacing w:after="60"/>
      </w:pPr>
      <w:r>
        <w:rPr>
          <w:sz w:val="19"/>
        </w:rPr>
        <w:t xml:space="preserve">Table 1. Market-adjusted returns (percent) after ceiling and floor closes.</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cluster by event date, calendar week, and 10-day block, with the factor</w:t>
      </w:r>
      <w:r>
        <w:rPr>
          <w:sz w:val="19"/>
        </w:rPr>
        <w:t xml:space="preserve"> </w:t>
      </w:r>
      <w:r>
        <w:rPr>
          <w:iCs/>
          <w:i/>
          <w:sz w:val="19"/>
        </w:rPr>
        <w:t xml:space="preserve">G</w:t>
      </w:r>
      <w:r>
        <w:rPr>
          <w:sz w:val="19"/>
        </w:rPr>
        <w:t xml:space="preserve">/(</w:t>
      </w:r>
      <w:r>
        <w:rPr>
          <w:iCs/>
          <w:i/>
          <w:sz w:val="19"/>
        </w:rPr>
        <w:t xml:space="preserve">G</w:t>
      </w:r>
      <w:r>
        <w:rPr>
          <w:sz w:val="19"/>
        </w:rPr>
        <w:t xml:space="preserve"> </w:t>
      </w:r>
      <w:r>
        <w:rPr>
          <w:sz w:val="19"/>
        </w:rPr>
        <w:t xml:space="preserve">− 1) for</w:t>
      </w:r>
      <w:r>
        <w:rPr>
          <w:sz w:val="19"/>
        </w:rPr>
        <w:t xml:space="preserve"> </w:t>
      </w:r>
      <w:r>
        <w:rPr>
          <w:iCs/>
          <w:i/>
          <w:sz w:val="19"/>
        </w:rPr>
        <w:t xml:space="preserve">G</w:t>
      </w:r>
      <w:r>
        <w:rPr>
          <w:sz w:val="19"/>
        </w:rPr>
        <w:t xml:space="preserve"> </w:t>
      </w:r>
      <w:r>
        <w:rPr>
          <w:sz w:val="19"/>
        </w:rPr>
        <w:t xml:space="preserve">clusters and a</w:t>
      </w:r>
      <w:r>
        <w:rPr>
          <w:sz w:val="19"/>
        </w:rPr>
        <w:t xml:space="preserve"> </w:t>
      </w:r>
      <w:r>
        <w:rPr>
          <w:iCs/>
          <w:i/>
          <w:sz w:val="19"/>
        </w:rPr>
        <w:t xml:space="preserve">t</w:t>
      </w:r>
      <w:r>
        <w:rPr>
          <w:sz w:val="19"/>
        </w:rPr>
        <w:t xml:space="preserve"> </w:t>
      </w:r>
      <w:r>
        <w:rPr>
          <w:sz w:val="19"/>
        </w:rPr>
        <w:t xml:space="preserve">reference with</w:t>
      </w:r>
      <w:r>
        <w:rPr>
          <w:sz w:val="19"/>
        </w:rPr>
        <w:t xml:space="preserve"> </w:t>
      </w:r>
      <w:r>
        <w:rPr>
          <w:iCs/>
          <w:i/>
          <w:sz w:val="19"/>
        </w:rPr>
        <w:t xml:space="preserve">G</w:t>
      </w:r>
      <w:r>
        <w:rPr>
          <w:sz w:val="19"/>
        </w:rPr>
        <w:t xml:space="preserve"> </w:t>
      </w:r>
      <w:r>
        <w:rPr>
          <w:sz w:val="19"/>
        </w:rPr>
        <w:t xml:space="preserve">− 1 degrees of freedom.</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keepNext/>
        <w:spacing w:after="60"/>
      </w:pPr>
      <w:r>
        <w:rPr>
          <w:sz w:val="19"/>
        </w:rPr>
        <w:t xml:space="preserve">Table 2. Next-day abnormal returns (percent) by component and sample,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control stocks in the same liquidity tercile (Section 4). Open to day</w:t>
      </w:r>
      <w:r>
        <w:rPr>
          <w:sz w:val="19"/>
        </w:rPr>
        <w:t xml:space="preserve"> </w:t>
      </w:r>
      <w:r>
        <w:rPr>
          <w:iCs/>
          <w:i/>
          <w:sz w:val="19"/>
        </w:rPr>
        <w:t xml:space="preserve">d</w:t>
      </w:r>
      <w:r>
        <w:rPr>
          <w:sz w:val="19"/>
        </w:rPr>
        <w:t xml:space="preserve">+5 runs from the day-</w:t>
      </w:r>
      <w:r>
        <w:rPr>
          <w:iCs/>
          <w:i/>
          <w:sz w:val="19"/>
        </w:rPr>
        <w:t xml:space="preserve">d</w:t>
      </w:r>
      <w:r>
        <w:rPr>
          <w:sz w:val="19"/>
        </w:rPr>
        <w:t xml:space="preserve">+1 open to the day-</w:t>
      </w:r>
      <w:r>
        <w:rPr>
          <w:iCs/>
          <w:i/>
          <w:sz w:val="19"/>
        </w:rPr>
        <w:t xml:space="preserve">d</w:t>
      </w:r>
      <w:r>
        <w:rPr>
          <w:sz w:val="19"/>
        </w:rPr>
        <w:t xml:space="preserve">+5 close. Crash days have a market return (Equation (2)) below −2%. Close-to-close need not equal the sum of the components because returns compound. Events are the stock-days that meet the event definition and have the stated return.</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1,642</w:t>
            </w:r>
          </w:p>
        </w:tc>
        <w:tc>
          <w:tcPr>
            <w:tcW w:type="dxa" w:w="1446"/>
          </w:tcPr>
          <w:p>
            <w:pPr>
              <w:pStyle w:val="Compact"/>
              <w:spacing w:after="20" w:before="20" w:line="240" w:lineRule="auto"/>
              <w:jc w:val="center"/>
            </w:pPr>
            <w:r>
              <w:rPr>
                <w:rFonts w:ascii="Times New Roman" w:hAnsi="Times New Roman"/>
                <w:sz w:val="17"/>
              </w:rPr>
              <w:t xml:space="preserve">2.79 (13.8)</w:t>
            </w:r>
          </w:p>
        </w:tc>
        <w:tc>
          <w:tcPr>
            <w:tcW w:type="dxa" w:w="1446"/>
          </w:tcPr>
          <w:p>
            <w:pPr>
              <w:pStyle w:val="Compact"/>
              <w:spacing w:after="20" w:before="20" w:line="240" w:lineRule="auto"/>
              <w:jc w:val="center"/>
            </w:pPr>
            <w:r>
              <w:rPr>
                <w:rFonts w:ascii="Times New Roman" w:hAnsi="Times New Roman"/>
                <w:sz w:val="17"/>
              </w:rPr>
              <w:t xml:space="preserve">−0.74 (−5.3)</w:t>
            </w:r>
          </w:p>
        </w:tc>
        <w:tc>
          <w:tcPr>
            <w:tcW w:type="dxa" w:w="1639"/>
          </w:tcPr>
          <w:p>
            <w:pPr>
              <w:pStyle w:val="Compact"/>
              <w:spacing w:after="20" w:before="20" w:line="240" w:lineRule="auto"/>
              <w:jc w:val="center"/>
            </w:pPr>
            <w:r>
              <w:rPr>
                <w:rFonts w:ascii="Times New Roman" w:hAnsi="Times New Roman"/>
                <w:sz w:val="17"/>
              </w:rPr>
              <w:t xml:space="preserve">2.00 (7.1)</w:t>
            </w:r>
          </w:p>
        </w:tc>
        <w:tc>
          <w:tcPr>
            <w:tcW w:type="dxa" w:w="1446"/>
          </w:tcPr>
          <w:p>
            <w:pPr>
              <w:pStyle w:val="Compact"/>
              <w:spacing w:after="20" w:before="20" w:line="240" w:lineRule="auto"/>
              <w:jc w:val="center"/>
            </w:pPr>
            <w:r>
              <w:rPr>
                <w:rFonts w:ascii="Times New Roman" w:hAnsi="Times New Roman"/>
                <w:sz w:val="17"/>
              </w:rPr>
              <w:t xml:space="preserve">−1.02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1,025</w:t>
            </w:r>
          </w:p>
        </w:tc>
        <w:tc>
          <w:tcPr>
            <w:tcW w:type="dxa" w:w="1446"/>
          </w:tcPr>
          <w:p>
            <w:pPr>
              <w:pStyle w:val="Compact"/>
              <w:spacing w:after="20" w:before="20" w:line="240" w:lineRule="auto"/>
              <w:jc w:val="center"/>
            </w:pPr>
            <w:r>
              <w:rPr>
                <w:rFonts w:ascii="Times New Roman" w:hAnsi="Times New Roman"/>
                <w:sz w:val="17"/>
              </w:rPr>
              <w:t xml:space="preserve">−1.30 (−5.1)</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−0.93 (−5.7)</w:t>
            </w:r>
          </w:p>
        </w:tc>
        <w:tc>
          <w:tcPr>
            <w:tcW w:type="dxa" w:w="1446"/>
          </w:tcPr>
          <w:p>
            <w:pPr>
              <w:pStyle w:val="Compact"/>
              <w:spacing w:after="20" w:before="20" w:line="240" w:lineRule="auto"/>
              <w:jc w:val="center"/>
            </w:pPr>
            <w:r>
              <w:rPr>
                <w:rFonts w:ascii="Times New Roman" w:hAnsi="Times New Roman"/>
                <w:sz w:val="17"/>
              </w:rPr>
              <w:t xml:space="preserve">−0.98 (−1.9)</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CaptionedFigure"/>
      </w:pPr>
      <w:r>
        <w:drawing>
          <wp:inline>
            <wp:extent cx="5753100" cy="2478258"/>
            <wp:effectExtent b="0" l="0" r="0" t="0"/>
            <wp:docPr descr="Figure 2. Next-day abnormal return (overnight gap, intraday, and close-to-close) by the size of the day-d move. Circles are 1-percentage-point bins inside the band, triangles are ceiling and floor events, and squares are other moves of 6.5% to 10% in absolute value. Bars show 95% confidence intervals clustered by date (normal reference, no small-sample factor). Market weights are lagged to day d; the figure uses event days up to the second-to-last trading day." title="" id="28" name="Picture"/>
            <a:graphic>
              <a:graphicData uri="http://schemas.openxmlformats.org/drawingml/2006/picture">
                <pic:pic>
                  <pic:nvPicPr>
                    <pic:cNvPr descr="../output/figures/F2_break_at_limit.png" id="29" name="Picture"/>
                    <pic:cNvPicPr>
                      <a:picLocks noChangeArrowheads="1" noChangeAspect="1"/>
                    </pic:cNvPicPr>
                  </pic:nvPicPr>
                  <pic:blipFill>
                    <a:blip r:embed="rId27"/>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(overnight gap, intraday, and close-to-close) by the size of the day-</w:t>
      </w:r>
      <w:r>
        <w:rPr>
          <w:iCs/>
          <w:i/>
          <w:sz w:val="19"/>
        </w:rPr>
        <w:t xml:space="preserve">d</w:t>
      </w:r>
      <w:r>
        <w:rPr>
          <w:sz w:val="19"/>
        </w:rPr>
        <w:t xml:space="preserve"> </w:t>
      </w:r>
      <w:r>
        <w:rPr>
          <w:sz w:val="19"/>
        </w:rPr>
        <w:t xml:space="preserve">move. 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rPr>
          <w:sz w:val="19"/>
        </w:rPr>
        <w:t xml:space="preserve"> </w:t>
      </w:r>
      <w:r>
        <w:rPr>
          <w:iCs/>
          <w:i/>
          <w:sz w:val="19"/>
        </w:rPr>
        <w:t xml:space="preserve">d</w:t>
      </w:r>
      <w:r>
        <w:rPr>
          <w:sz w:val="19"/>
        </w:rPr>
        <w:t xml:space="preserve">; the figure uses event days up to the second-to-last trading day.</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keepNext/>
        <w:spacing w:after="60"/>
      </w:pPr>
      <w:r>
        <w:rPr>
          <w:sz w:val="19"/>
        </w:rPr>
        <w:t xml:space="preserve">Table 3. Differences in next-day abnormal returns (percentage points) between limit closes and same-direction moves of 3–5% or 5–6.5% that did not close at the limit,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needs intraday prices, which we lack.</w:t>
      </w:r>
    </w:p>
    <w:p>
      <w:pPr>
        <w:pStyle w:val="BodyText"/>
      </w:pPr>
      <w:r>
        <w:t xml:space="preserve">Table 4 splits the events at 5 May 2025, when HOSE moved to the KRX platform.</w:t>
      </w:r>
    </w:p>
    <w:p>
      <w:pPr>
        <w:pStyle w:val="BodyText"/>
        <w:keepNext/>
        <w:spacing w:after="60"/>
      </w:pPr>
      <w:r>
        <w:rPr>
          <w:sz w:val="19"/>
        </w:rPr>
        <w:t xml:space="preserve">Table 4. Next-day abnormal returns (percent) before and after the move to the KRX platform on 5 May 2025, with two-way-clustered</w:t>
      </w:r>
      <w:r>
        <w:rPr>
          <w:sz w:val="19"/>
        </w:rPr>
        <w:t xml:space="preserve"> </w:t>
      </w:r>
      <w:r>
        <w:rPr>
          <w:iCs/>
          <w:i/>
          <w:sz w:val="19"/>
        </w:rPr>
        <w:t xml:space="preserve">t</w:t>
      </w:r>
      <w:r>
        <w:rPr>
          <w:sz w:val="19"/>
        </w:rPr>
        <w:t xml:space="preserve">-statistics in parentheses. The split uses the date of the opening that defines the gap; the difference</w:t>
      </w:r>
      <w:r>
        <w:rPr>
          <w:sz w:val="19"/>
        </w:rPr>
        <w:t xml:space="preserve"> </w:t>
      </w:r>
      <w:r>
        <w:rPr>
          <w:iCs/>
          <w:i/>
          <w:sz w:val="19"/>
        </w:rPr>
        <w:t xml:space="preserve">t</w:t>
      </w:r>
      <w:r>
        <w:rPr>
          <w:sz w:val="19"/>
        </w:rPr>
        <w:t xml:space="preserve">-statistic treats the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w:t>
      </w:r>
    </w:p>
    <w:bookmarkEnd w:id="30"/>
    <w:bookmarkStart w:id="31" w:name="discussion"/>
    <w:p>
      <w:pPr>
        <w:pStyle w:val="Heading1"/>
        <w:keepNext/>
      </w:pPr>
      <w:r>
        <w:t xml:space="preserve">6. Discussion</w:t>
      </w:r>
    </w:p>
    <w:p>
      <w:pPr>
        <w:pStyle w:val="FirstParagraph"/>
      </w:pPr>
      <w: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we reviewed reports the next-day abnormal return, overnight gap, or intraday return after a limit close in a form that matches ours, so Table 5 compares signs, timing, and mechanism.</w:t>
      </w:r>
    </w:p>
    <w:p>
      <w:pPr>
        <w:pStyle w:val="BodyText"/>
        <w:keepNext/>
        <w:spacing w:after="60"/>
      </w:pPr>
      <w:r>
        <w:rPr>
          <w:sz w:val="19"/>
        </w:rPr>
        <w:t xml:space="preserve">Table 5. Comparison with earlier studies. Findings are as reported in each source’s abstract or in the records we could access.</w:t>
      </w:r>
    </w:p>
    <w:tbl>
      <w:tblPr>
        <w:tblStyle w:val="Table"/>
        <w:tblW w:type="dxa" w:w="9070"/>
        <w:tblLook w:firstRow="1" w:lastRow="0" w:firstColumn="0" w:lastColumn="0" w:noHBand="0" w:noVBand="0" w:val="0020"/>
        <w:jc w:val="start"/>
        <w:tblLayout w:type="fixed"/>
      </w:tblPr>
      <w:tblGrid>
        <w:gridCol w:w="2234"/>
        <w:gridCol w:w="1460"/>
        <w:gridCol w:w="2793"/>
        <w:gridCol w:w="2581"/>
      </w:tblGrid>
      <w:tr>
        <w:trPr>
          <w:tblHeader w:val="true"/>
          <w:tblHeader/>
          <w:cantSplit/>
        </w:trPr>
        <w:tc>
          <w:tcPr>
            <w:tcW w:type="dxa" w:w="223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Study</w:t>
            </w:r>
          </w:p>
        </w:tc>
        <w:tc>
          <w:tcPr>
            <w:tcW w:type="dxa" w:w="1460"/>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Setting</w:t>
            </w:r>
          </w:p>
        </w:tc>
        <w:tc>
          <w:tcPr>
            <w:tcW w:type="dxa" w:w="2793"/>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Reported finding</w:t>
            </w:r>
          </w:p>
        </w:tc>
        <w:tc>
          <w:tcPr>
            <w:tcW w:type="dxa" w:w="258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Relation to our result</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Kim and Rhee (1997)</w:t>
            </w:r>
          </w:p>
        </w:tc>
        <w:tc>
          <w:tcPr>
            <w:tcW w:type="dxa" w:w="1460"/>
          </w:tcPr>
          <w:p>
            <w:pPr>
              <w:pStyle w:val="Compact"/>
              <w:keepNext/>
              <w:spacing w:after="20" w:before="20" w:line="240" w:lineRule="auto"/>
              <w:jc w:val="center"/>
            </w:pPr>
            <w:r>
              <w:rPr>
                <w:rFonts w:ascii="Times New Roman" w:hAnsi="Times New Roman"/>
                <w:sz w:val="17"/>
              </w:rPr>
              <w:t xml:space="preserve">Tokyo; limit hits</w:t>
            </w:r>
          </w:p>
        </w:tc>
        <w:tc>
          <w:tcPr>
            <w:tcW w:type="dxa" w:w="2793"/>
          </w:tcPr>
          <w:p>
            <w:pPr>
              <w:pStyle w:val="Compact"/>
              <w:keepNext/>
              <w:spacing w:after="20" w:before="20" w:line="240" w:lineRule="auto"/>
              <w:jc w:val="left"/>
            </w:pPr>
            <w:r>
              <w:rPr>
                <w:rFonts w:ascii="Times New Roman" w:hAnsi="Times New Roman"/>
                <w:sz w:val="17"/>
              </w:rPr>
              <w:t xml:space="preserve">Volatility spillover, delayed price discovery, and trading interference</w:t>
            </w:r>
          </w:p>
        </w:tc>
        <w:tc>
          <w:tcPr>
            <w:tcW w:type="dxa" w:w="2581"/>
          </w:tcPr>
          <w:p>
            <w:pPr>
              <w:pStyle w:val="Compact"/>
              <w:keepNext/>
              <w:spacing w:after="20" w:before="20" w:line="240" w:lineRule="auto"/>
              <w:jc w:val="left"/>
            </w:pPr>
            <w:r>
              <w:rPr>
                <w:rFonts w:ascii="Times New Roman" w:hAnsi="Times New Roman"/>
                <w:sz w:val="17"/>
              </w:rPr>
              <w:t xml:space="preserve">Ceiling next-day return consistent with delayed price discovery; spillover and interference not tested</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and Lee (2002)</w:t>
            </w:r>
          </w:p>
        </w:tc>
        <w:tc>
          <w:tcPr>
            <w:tcW w:type="dxa" w:w="1460"/>
          </w:tcPr>
          <w:p>
            <w:pPr>
              <w:pStyle w:val="Compact"/>
              <w:keepNext/>
              <w:spacing w:after="20" w:before="20" w:line="240" w:lineRule="auto"/>
              <w:jc w:val="center"/>
            </w:pPr>
            <w:r>
              <w:rPr>
                <w:rFonts w:ascii="Times New Roman" w:hAnsi="Times New Roman"/>
                <w:sz w:val="17"/>
              </w:rPr>
              <w:t xml:space="preserve">Korea; limit revision</w:t>
            </w:r>
          </w:p>
        </w:tc>
        <w:tc>
          <w:tcPr>
            <w:tcW w:type="dxa" w:w="2793"/>
          </w:tcPr>
          <w:p>
            <w:pPr>
              <w:pStyle w:val="Compact"/>
              <w:keepNext/>
              <w:spacing w:after="20" w:before="20" w:line="240" w:lineRule="auto"/>
              <w:jc w:val="left"/>
            </w:pPr>
            <w:r>
              <w:rPr>
                <w:rFonts w:ascii="Times New Roman" w:hAnsi="Times New Roman"/>
                <w:sz w:val="17"/>
              </w:rPr>
              <w:t xml:space="preserve">Volatility and trading activity around the revision</w:t>
            </w:r>
          </w:p>
        </w:tc>
        <w:tc>
          <w:tcPr>
            <w:tcW w:type="dxa" w:w="2581"/>
          </w:tcPr>
          <w:p>
            <w:pPr>
              <w:pStyle w:val="Compact"/>
              <w:keepNext/>
              <w:spacing w:after="20" w:before="20" w:line="240" w:lineRule="auto"/>
              <w:jc w:val="left"/>
            </w:pPr>
            <w:r>
              <w:rPr>
                <w:rFonts w:ascii="Times New Roman" w:hAnsi="Times New Roman"/>
                <w:sz w:val="17"/>
              </w:rPr>
              <w:t xml:space="preserve">Different question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Huang et al. (2001)</w:t>
            </w:r>
          </w:p>
        </w:tc>
        <w:tc>
          <w:tcPr>
            <w:tcW w:type="dxa" w:w="1460"/>
          </w:tcPr>
          <w:p>
            <w:pPr>
              <w:pStyle w:val="Compact"/>
              <w:keepNext/>
              <w:spacing w:after="20" w:before="20" w:line="240" w:lineRule="auto"/>
              <w:jc w:val="center"/>
            </w:pPr>
            <w:r>
              <w:rPr>
                <w:rFonts w:ascii="Times New Roman" w:hAnsi="Times New Roman"/>
                <w:sz w:val="17"/>
              </w:rPr>
              <w:t xml:space="preserve">Taiwan; limit hits</w:t>
            </w:r>
          </w:p>
        </w:tc>
        <w:tc>
          <w:tcPr>
            <w:tcW w:type="dxa" w:w="2793"/>
          </w:tcPr>
          <w:p>
            <w:pPr>
              <w:pStyle w:val="Compact"/>
              <w:keepNext/>
              <w:spacing w:after="20" w:before="20" w:line="240" w:lineRule="auto"/>
              <w:jc w:val="left"/>
            </w:pPr>
            <w:r>
              <w:rPr>
                <w:rFonts w:ascii="Times New Roman" w:hAnsi="Times New Roman"/>
                <w:sz w:val="17"/>
              </w:rPr>
              <w:t xml:space="preserve">Overnight overreaction after limit hits corrected the next day</w:t>
            </w:r>
          </w:p>
        </w:tc>
        <w:tc>
          <w:tcPr>
            <w:tcW w:type="dxa" w:w="2581"/>
          </w:tcPr>
          <w:p>
            <w:pPr>
              <w:pStyle w:val="Compact"/>
              <w:keepNext/>
              <w:spacing w:after="20" w:before="20" w:line="240" w:lineRule="auto"/>
              <w:jc w:val="left"/>
            </w:pPr>
            <w:r>
              <w:rPr>
                <w:rFonts w:ascii="Times New Roman" w:hAnsi="Times New Roman"/>
                <w:sz w:val="17"/>
              </w:rPr>
              <w:t xml:space="preserve">Same timing: positive gap, partial intraday reversal</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Cho et al. (2003)</w:t>
            </w:r>
          </w:p>
        </w:tc>
        <w:tc>
          <w:tcPr>
            <w:tcW w:type="dxa" w:w="1460"/>
          </w:tcPr>
          <w:p>
            <w:pPr>
              <w:pStyle w:val="Compact"/>
              <w:keepNext/>
              <w:spacing w:after="20" w:before="20" w:line="240" w:lineRule="auto"/>
              <w:jc w:val="center"/>
            </w:pPr>
            <w:r>
              <w:rPr>
                <w:rFonts w:ascii="Times New Roman" w:hAnsi="Times New Roman"/>
                <w:sz w:val="17"/>
              </w:rPr>
              <w:t xml:space="preserve">Taiwan; five-minute data</w:t>
            </w:r>
          </w:p>
        </w:tc>
        <w:tc>
          <w:tcPr>
            <w:tcW w:type="dxa" w:w="2793"/>
          </w:tcPr>
          <w:p>
            <w:pPr>
              <w:pStyle w:val="Compact"/>
              <w:keepNext/>
              <w:spacing w:after="20" w:before="20" w:line="240" w:lineRule="auto"/>
              <w:jc w:val="left"/>
            </w:pPr>
            <w:r>
              <w:rPr>
                <w:rFonts w:ascii="Times New Roman" w:hAnsi="Times New Roman"/>
                <w:sz w:val="17"/>
              </w:rPr>
              <w:t xml:space="preserve">Prices accelerate toward the upper limit</w:t>
            </w:r>
          </w:p>
        </w:tc>
        <w:tc>
          <w:tcPr>
            <w:tcW w:type="dxa" w:w="2581"/>
          </w:tcPr>
          <w:p>
            <w:pPr>
              <w:pStyle w:val="Compact"/>
              <w:keepNext/>
              <w:spacing w:after="20" w:before="20" w:line="240" w:lineRule="auto"/>
              <w:jc w:val="left"/>
            </w:pPr>
            <w:r>
              <w:rPr>
                <w:rFonts w:ascii="Times New Roman" w:hAnsi="Times New Roman"/>
                <w:sz w:val="17"/>
              </w:rPr>
              <w:t xml:space="preserve">Not tested; no intraday prices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Chen et al. (2019)</w:t>
            </w:r>
          </w:p>
        </w:tc>
        <w:tc>
          <w:tcPr>
            <w:tcW w:type="dxa" w:w="1460"/>
          </w:tcPr>
          <w:p>
            <w:pPr>
              <w:pStyle w:val="Compact"/>
              <w:keepNext/>
              <w:spacing w:after="20" w:before="20" w:line="240" w:lineRule="auto"/>
              <w:jc w:val="center"/>
            </w:pPr>
            <w:r>
              <w:rPr>
                <w:rFonts w:ascii="Times New Roman" w:hAnsi="Times New Roman"/>
                <w:sz w:val="17"/>
              </w:rPr>
              <w:t xml:space="preserve">Shenzhen; accounts</w:t>
            </w:r>
          </w:p>
        </w:tc>
        <w:tc>
          <w:tcPr>
            <w:tcW w:type="dxa" w:w="2793"/>
          </w:tcPr>
          <w:p>
            <w:pPr>
              <w:pStyle w:val="Compact"/>
              <w:keepNext/>
              <w:spacing w:after="20" w:before="20" w:line="240" w:lineRule="auto"/>
              <w:jc w:val="left"/>
            </w:pPr>
            <w:r>
              <w:rPr>
                <w:rFonts w:ascii="Times New Roman" w:hAnsi="Times New Roman"/>
                <w:sz w:val="17"/>
              </w:rPr>
              <w:t xml:space="preserve">Large investors buy on the limit day and sell the next; their net buying predicts long-run reversal</w:t>
            </w:r>
          </w:p>
        </w:tc>
        <w:tc>
          <w:tcPr>
            <w:tcW w:type="dxa" w:w="2581"/>
          </w:tcPr>
          <w:p>
            <w:pPr>
              <w:pStyle w:val="Compact"/>
              <w:keepNext/>
              <w:spacing w:after="20" w:before="20" w:line="240" w:lineRule="auto"/>
              <w:jc w:val="left"/>
            </w:pPr>
            <w:r>
              <w:rPr>
                <w:rFonts w:ascii="Times New Roman" w:hAnsi="Times New Roman"/>
                <w:sz w:val="17"/>
              </w:rPr>
              <w:t xml:space="preserve">Consistent with our intraday reversal; no account identities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 (2023)</w:t>
            </w:r>
          </w:p>
        </w:tc>
        <w:tc>
          <w:tcPr>
            <w:tcW w:type="dxa" w:w="1460"/>
          </w:tcPr>
          <w:p>
            <w:pPr>
              <w:pStyle w:val="Compact"/>
              <w:keepNext/>
              <w:spacing w:after="20" w:before="20" w:line="240" w:lineRule="auto"/>
              <w:jc w:val="center"/>
            </w:pPr>
            <w:r>
              <w:rPr>
                <w:rFonts w:ascii="Times New Roman" w:hAnsi="Times New Roman"/>
                <w:sz w:val="17"/>
              </w:rPr>
              <w:t xml:space="preserve">ChiNext; band 10% to 20%</w:t>
            </w:r>
          </w:p>
        </w:tc>
        <w:tc>
          <w:tcPr>
            <w:tcW w:type="dxa" w:w="2793"/>
          </w:tcPr>
          <w:p>
            <w:pPr>
              <w:pStyle w:val="Compact"/>
              <w:keepNext/>
              <w:spacing w:after="20" w:before="20" w:line="240" w:lineRule="auto"/>
              <w:jc w:val="left"/>
            </w:pPr>
            <w:r>
              <w:rPr>
                <w:rFonts w:ascii="Times New Roman" w:hAnsi="Times New Roman"/>
                <w:sz w:val="17"/>
              </w:rPr>
              <w:t xml:space="preserve">Delayed price discovery, spillover, and interference, stronger at the lower limit; no magnet effect</w:t>
            </w:r>
          </w:p>
        </w:tc>
        <w:tc>
          <w:tcPr>
            <w:tcW w:type="dxa" w:w="2581"/>
          </w:tcPr>
          <w:p>
            <w:pPr>
              <w:pStyle w:val="Compact"/>
              <w:keepNext/>
              <w:spacing w:after="20" w:before="20" w:line="240" w:lineRule="auto"/>
              <w:jc w:val="left"/>
            </w:pPr>
            <w:r>
              <w:rPr>
                <w:rFonts w:ascii="Times New Roman" w:hAnsi="Times New Roman"/>
                <w:sz w:val="17"/>
              </w:rPr>
              <w:t xml:space="preserve">Different outcome (market quality); here both limit closes carry a next-day return, the floor effect depending on the benchmark</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Lin et al. (2023); Zeng et al. (2024)</w:t>
            </w:r>
          </w:p>
        </w:tc>
        <w:tc>
          <w:tcPr>
            <w:tcW w:type="dxa" w:w="1460"/>
          </w:tcPr>
          <w:p>
            <w:pPr>
              <w:pStyle w:val="Compact"/>
              <w:keepNext/>
              <w:spacing w:after="20" w:before="20" w:line="240" w:lineRule="auto"/>
              <w:jc w:val="center"/>
            </w:pPr>
            <w:r>
              <w:rPr>
                <w:rFonts w:ascii="Times New Roman" w:hAnsi="Times New Roman"/>
                <w:sz w:val="17"/>
              </w:rPr>
              <w:t xml:space="preserve">China; cross-section</w:t>
            </w:r>
          </w:p>
        </w:tc>
        <w:tc>
          <w:tcPr>
            <w:tcW w:type="dxa" w:w="2793"/>
          </w:tcPr>
          <w:p>
            <w:pPr>
              <w:pStyle w:val="Compact"/>
              <w:keepNext/>
              <w:spacing w:after="20" w:before="20" w:line="240" w:lineRule="auto"/>
              <w:jc w:val="left"/>
            </w:pPr>
            <w:r>
              <w:rPr>
                <w:rFonts w:ascii="Times New Roman" w:hAnsi="Times New Roman"/>
                <w:sz w:val="17"/>
              </w:rPr>
              <w:t xml:space="preserve">Large limit exposure or frequent upper-limit hits predict lower returns</w:t>
            </w:r>
          </w:p>
        </w:tc>
        <w:tc>
          <w:tcPr>
            <w:tcW w:type="dxa" w:w="2581"/>
          </w:tcPr>
          <w:p>
            <w:pPr>
              <w:pStyle w:val="Compact"/>
              <w:keepNext/>
              <w:spacing w:after="20" w:before="20" w:line="240" w:lineRule="auto"/>
              <w:jc w:val="left"/>
            </w:pPr>
            <w:r>
              <w:rPr>
                <w:rFonts w:ascii="Times New Roman" w:hAnsi="Times New Roman"/>
                <w:sz w:val="17"/>
              </w:rPr>
              <w:t xml:space="preserve">Different horizon; a one-day gain can coexist with later reversal, which we do not measure</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et al. (2012)</w:t>
            </w:r>
          </w:p>
        </w:tc>
        <w:tc>
          <w:tcPr>
            <w:tcW w:type="dxa" w:w="1460"/>
          </w:tcPr>
          <w:p>
            <w:pPr>
              <w:pStyle w:val="Compact"/>
              <w:keepNext/>
              <w:spacing w:after="20" w:before="20" w:line="240" w:lineRule="auto"/>
              <w:jc w:val="center"/>
            </w:pPr>
            <w:r>
              <w:rPr>
                <w:rFonts w:ascii="Times New Roman" w:hAnsi="Times New Roman"/>
                <w:sz w:val="17"/>
              </w:rPr>
              <w:t xml:space="preserve">U.S.; intraday data</w:t>
            </w:r>
          </w:p>
        </w:tc>
        <w:tc>
          <w:tcPr>
            <w:tcW w:type="dxa" w:w="2793"/>
          </w:tcPr>
          <w:p>
            <w:pPr>
              <w:pStyle w:val="Compact"/>
              <w:keepNext/>
              <w:spacing w:after="20" w:before="20" w:line="240" w:lineRule="auto"/>
              <w:jc w:val="left"/>
            </w:pPr>
            <w:r>
              <w:rPr>
                <w:rFonts w:ascii="Times New Roman" w:hAnsi="Times New Roman"/>
                <w:sz w:val="17"/>
              </w:rPr>
              <w:t xml:space="preserve">Overnight gains, intraday reversals, concentrated in high-attention stocks</w:t>
            </w:r>
          </w:p>
        </w:tc>
        <w:tc>
          <w:tcPr>
            <w:tcW w:type="dxa" w:w="2581"/>
          </w:tcPr>
          <w:p>
            <w:pPr>
              <w:pStyle w:val="Compact"/>
              <w:keepNext/>
              <w:spacing w:after="20" w:before="20" w:line="240" w:lineRule="auto"/>
              <w:jc w:val="left"/>
            </w:pPr>
            <w:r>
              <w:rPr>
                <w:rFonts w:ascii="Times New Roman" w:hAnsi="Times New Roman"/>
                <w:sz w:val="17"/>
              </w:rPr>
              <w:t xml:space="preserve">Same signs; the gap also rises with volume and prior return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Lou et al. (2019)</w:t>
            </w:r>
          </w:p>
        </w:tc>
        <w:tc>
          <w:tcPr>
            <w:tcW w:type="dxa" w:w="1460"/>
          </w:tcPr>
          <w:p>
            <w:pPr>
              <w:pStyle w:val="Compact"/>
              <w:keepNext/>
              <w:spacing w:after="20" w:before="20" w:line="240" w:lineRule="auto"/>
              <w:jc w:val="center"/>
            </w:pPr>
            <w:r>
              <w:rPr>
                <w:rFonts w:ascii="Times New Roman" w:hAnsi="Times New Roman"/>
                <w:sz w:val="17"/>
              </w:rPr>
              <w:t xml:space="preserve">U.S.; stock returns</w:t>
            </w:r>
          </w:p>
        </w:tc>
        <w:tc>
          <w:tcPr>
            <w:tcW w:type="dxa" w:w="2793"/>
          </w:tcPr>
          <w:p>
            <w:pPr>
              <w:pStyle w:val="Compact"/>
              <w:keepNext/>
              <w:spacing w:after="20" w:before="20" w:line="240" w:lineRule="auto"/>
              <w:jc w:val="left"/>
            </w:pPr>
            <w:r>
              <w:rPr>
                <w:rFonts w:ascii="Times New Roman" w:hAnsi="Times New Roman"/>
                <w:sz w:val="17"/>
              </w:rPr>
              <w:t xml:space="preserve">Overnight and intraday continuation, offsetting cross-period reversal</w:t>
            </w:r>
          </w:p>
        </w:tc>
        <w:tc>
          <w:tcPr>
            <w:tcW w:type="dxa" w:w="2581"/>
          </w:tcPr>
          <w:p>
            <w:pPr>
              <w:pStyle w:val="Compact"/>
              <w:keepNext/>
              <w:spacing w:after="20" w:before="20" w:line="240" w:lineRule="auto"/>
              <w:jc w:val="left"/>
            </w:pPr>
            <w:r>
              <w:rPr>
                <w:rFonts w:ascii="Times New Roman" w:hAnsi="Times New Roman"/>
                <w:sz w:val="17"/>
              </w:rPr>
              <w:t xml:space="preserve">Gap-then-reversal has the sign of that cross-period reversal at one day</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Qiao and Dam (2020)</w:t>
            </w:r>
          </w:p>
        </w:tc>
        <w:tc>
          <w:tcPr>
            <w:tcW w:type="dxa" w:w="1460"/>
          </w:tcPr>
          <w:p>
            <w:pPr>
              <w:pStyle w:val="Compact"/>
              <w:keepNext/>
              <w:spacing w:after="20" w:before="20" w:line="240" w:lineRule="auto"/>
              <w:jc w:val="center"/>
            </w:pPr>
            <w:r>
              <w:rPr>
                <w:rFonts w:ascii="Times New Roman" w:hAnsi="Times New Roman"/>
                <w:sz w:val="17"/>
              </w:rPr>
              <w:t xml:space="preserve">China A-shares</w:t>
            </w:r>
          </w:p>
        </w:tc>
        <w:tc>
          <w:tcPr>
            <w:tcW w:type="dxa" w:w="2793"/>
          </w:tcPr>
          <w:p>
            <w:pPr>
              <w:pStyle w:val="Compact"/>
              <w:keepNext/>
              <w:spacing w:after="20" w:before="20" w:line="240" w:lineRule="auto"/>
              <w:jc w:val="left"/>
            </w:pPr>
            <w:r>
              <w:rPr>
                <w:rFonts w:ascii="Times New Roman" w:hAnsi="Times New Roman"/>
                <w:sz w:val="17"/>
              </w:rPr>
              <w:t xml:space="preserve">Negative average overnight return; T+1 rule lowers opening prices</w:t>
            </w:r>
          </w:p>
        </w:tc>
        <w:tc>
          <w:tcPr>
            <w:tcW w:type="dxa" w:w="2581"/>
          </w:tcPr>
          <w:p>
            <w:pPr>
              <w:pStyle w:val="Compact"/>
              <w:keepNext/>
              <w:spacing w:after="20" w:before="20" w:line="240" w:lineRule="auto"/>
              <w:jc w:val="left"/>
            </w:pPr>
            <w:r>
              <w:rPr>
                <w:rFonts w:ascii="Times New Roman" w:hAnsi="Times New Roman"/>
                <w:sz w:val="17"/>
              </w:rPr>
              <w:t xml:space="preserve">Opposite sign: positive overnight return after ceiling closes</w:t>
            </w:r>
          </w:p>
        </w:tc>
      </w:tr>
      <w:tr>
        <w:trPr>
          <w:cantSplit/>
        </w:trPr>
        <w:tc>
          <w:tcPr>
            <w:tcW w:type="dxa" w:w="2234"/>
            <w:tcBorders>
              <w:bottom w:val="single" w:sz="8" w:color="000000" w:space="0"/>
            </w:tcBorders>
          </w:tcPr>
          <w:p>
            <w:pPr>
              <w:pStyle w:val="Compact"/>
              <w:spacing w:after="20" w:before="20" w:line="240" w:lineRule="auto"/>
              <w:jc w:val="left"/>
            </w:pPr>
            <w:r>
              <w:rPr>
                <w:rFonts w:ascii="Times New Roman" w:hAnsi="Times New Roman"/>
                <w:sz w:val="17"/>
              </w:rPr>
              <w:t xml:space="preserve">Hou et al. (2020); Harvey et al. (2016)</w:t>
            </w:r>
          </w:p>
        </w:tc>
        <w:tc>
          <w:tcPr>
            <w:tcW w:type="dxa" w:w="1460"/>
            <w:tcBorders>
              <w:bottom w:val="single" w:sz="8" w:color="000000" w:space="0"/>
            </w:tcBorders>
          </w:tcPr>
          <w:p>
            <w:pPr>
              <w:pStyle w:val="Compact"/>
              <w:spacing w:after="20" w:before="20" w:line="240" w:lineRule="auto"/>
              <w:jc w:val="center"/>
            </w:pPr>
            <w:r>
              <w:rPr>
                <w:rFonts w:ascii="Times New Roman" w:hAnsi="Times New Roman"/>
                <w:sz w:val="17"/>
              </w:rPr>
              <w:t xml:space="preserve">U.S.; anomalies</w:t>
            </w:r>
          </w:p>
        </w:tc>
        <w:tc>
          <w:tcPr>
            <w:tcW w:type="dxa" w:w="2793"/>
            <w:tcBorders>
              <w:bottom w:val="single" w:sz="8" w:color="000000" w:space="0"/>
            </w:tcBorders>
          </w:tcPr>
          <w:p>
            <w:pPr>
              <w:pStyle w:val="Compact"/>
              <w:spacing w:after="20" w:before="20" w:line="240" w:lineRule="auto"/>
              <w:jc w:val="left"/>
            </w:pPr>
            <w:r>
              <w:rPr>
                <w:rFonts w:ascii="Times New Roman" w:hAnsi="Times New Roman"/>
                <w:sz w:val="17"/>
              </w:rPr>
              <w:t xml:space="preserve">With microcaps mitigated, 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581"/>
            <w:tcBorders>
              <w:bottom w:val="single" w:sz="8" w:color="000000" w:space="0"/>
            </w:tcBorders>
          </w:tcPr>
          <w:p>
            <w:pPr>
              <w:pStyle w:val="Compact"/>
              <w:spacing w:after="20" w:before="20" w:line="240" w:lineRule="auto"/>
              <w:jc w:val="left"/>
            </w:pPr>
            <w:r>
              <w:rPr>
                <w:rFonts w:ascii="Times New Roman" w:hAnsi="Times New Roman"/>
                <w:sz w:val="17"/>
              </w:rPr>
              <w:t xml:space="preserve">None of our 22 characteristics reaches 1.96 in the full sample</w:t>
            </w:r>
          </w:p>
        </w:tc>
      </w:tr>
    </w:tbl>
    <w:p>
      <w:pPr>
        <w:pStyle w:val="BodyText"/>
        <w:spacing w:before="160"/>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Ceiling closes cover about 2.0% of stock-days in the event window, and the low-powered characteristic null says little about the cross-section, so we make no claim that limit closes explain the cross-section of returns.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End w:id="31"/>
    <w:bookmarkStart w:id="32" w:name="limitations"/>
    <w:p>
      <w:pPr>
        <w:pStyle w:val="Heading1"/>
        <w:keepNext/>
      </w:pPr>
      <w:r>
        <w:t xml:space="preserve">7.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32"/>
    <w:bookmarkStart w:id="33" w:name="conclusion"/>
    <w:p>
      <w:pPr>
        <w:pStyle w:val="Heading1"/>
        <w:keepNext/>
      </w:pPr>
      <w:r>
        <w:t xml:space="preserve">8. Conclusion</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Delayed price discovery at the limit fits the pattern, but news and attention remain possible explanations; longer samples, announcement time stamps, and order-book queues would let future work separate them.</w:t>
      </w:r>
    </w:p>
    <w:bookmarkEnd w:id="33"/>
    <w:bookmarkStart w:id="34" w:name="declarations"/>
    <w:p>
      <w:pPr>
        <w:pStyle w:val="Heading1"/>
        <w:keepNext/>
      </w:pPr>
      <w:r>
        <w:t xml:space="preserve">Declarations</w:t>
      </w:r>
    </w:p>
    <w:p>
      <w:pPr>
        <w:pStyle w:val="FirstParagraph"/>
      </w:pPr>
      <w:r>
        <w:rPr>
          <w:bCs/>
          <w:b/>
        </w:rPr>
        <w:t xml:space="preserve">Generative AI.</w:t>
      </w:r>
      <w:r>
        <w:t xml:space="preserve"> </w:t>
      </w:r>
      <w:r>
        <w:t xml:space="preserve">The authors used Claude (Anthropic) to write analysis code, draft text, and check numbers against output files. The authors are responsible for all content. We checked the references and the institutional facts in Section 3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code and output tables in</w:t>
      </w:r>
      <w:r>
        <w:t xml:space="preserve"> </w:t>
      </w:r>
      <w:r>
        <w:rPr>
          <w:rStyle w:val="VerbatimChar"/>
        </w:rPr>
        <w:t xml:space="preserve">paper2/</w:t>
      </w:r>
      <w:r>
        <w:t xml:space="preserve">). The data come from the vnstock library (version 4.0.4, source VCI), retrieved on 24 September 2026.</w:t>
      </w:r>
    </w:p>
    <w:p>
      <w:pPr>
        <w:pStyle w:val="BodyText"/>
      </w:pPr>
      <w:r>
        <w:rPr>
          <w:bCs/>
          <w:b/>
        </w:rPr>
        <w:t xml:space="preserve">Funding, competing interests, ethics, and author contributions.</w:t>
      </w:r>
      <w:r>
        <w:t xml:space="preserve"> </w:t>
      </w:r>
      <w:r>
        <w:t xml:space="preserve">[To be completed by the authors.]</w:t>
      </w:r>
    </w:p>
    <w:bookmarkEnd w:id="34"/>
    <w:bookmarkStart w:id="67" w:name="references"/>
    <w:p>
      <w:pPr>
        <w:pStyle w:val="Heading1"/>
        <w:keepNext/>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5">
        <w:r>
          <w:rPr>
            <w:rStyle w:val="Hyperlink"/>
          </w:rPr>
          <w:t xml:space="preserve">https://doi.org/10.1016/j.jfineco.2021.09.019</w:t>
        </w:r>
      </w:hyperlink>
    </w:p>
    <w:p>
      <w:pPr>
        <w:pStyle w:val="BodyText"/>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6">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7">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8">
        <w:r>
          <w:rPr>
            <w:rStyle w:val="Hyperlink"/>
          </w:rPr>
          <w:t xml:space="preserve">https://doi.org/10.1111/j.1540-6261.2012.01729.x</w:t>
        </w:r>
      </w:hyperlink>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9">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0">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1">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54">
        <w:r>
          <w:rPr>
            <w:rStyle w:val="Hyperlink"/>
          </w:rPr>
          <w:t xml:space="preserve">https://www.hsc.com.vn/en/important-changes-of-new-trading-system</w:t>
        </w:r>
      </w:hyperlink>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5">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6">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7">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8">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9">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60">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1">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62">
        <w:r>
          <w:rPr>
            <w:rStyle w:val="Hyperlink"/>
          </w:rPr>
          <w:t xml:space="preserve">https://doi.org/10.1086/296071</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3">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4">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65">
        <w:r>
          <w:rPr>
            <w:rStyle w:val="Hyperlink"/>
          </w:rPr>
          <w:t xml:space="preserve">https://vietnamnews.vn/economy/1717047/krx-system-officially-goes-live.html</w:t>
        </w:r>
      </w:hyperlink>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6">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7"/>
    <w:bookmarkStart w:id="68" w:name="appendix-a.-characteristic-definitions"/>
    <w:p>
      <w:pPr>
        <w:pStyle w:val="Heading1"/>
        <w:keepNext/>
      </w:pPr>
      <w:r>
        <w:t xml:space="preserve">Appendix A. Characteristic definitions</w:t>
      </w:r>
    </w:p>
    <w:p>
      <w:pPr>
        <w:pStyle w:val="FirstParagraph"/>
      </w:pPr>
      <w: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bookmarkEnd w:id="6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2026-10-06T01:08:44Z</dcterms:created>
  <dcterms:modified xsi:type="dcterms:W3CDTF">2026-10-06T01:08:44Z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