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400"/>
        <w:gridCol w:w="3700"/>
        <w:gridCol w:w="3688"/>
      </w:tblGrid>
      <w:tr>
        <w:trPr>
          <w:cantSplit/>
          <w:tblHeader/>
        </w:trPr>
        <w:tc>
          <w:tcPr>
            <w:tcW w:w="1400" w:type="dxa"/>
          </w:tcPr>
          <w:p>
            <w:pPr>
              <w:pStyle w:val="Compact"/>
              <w:jc w:val="center"/>
            </w:pPr>
            <w:r>
              <w:rPr>
                <w:b/>
              </w:rPr>
              <w:t xml:space="preserve">Chữ viết tắt</w:t>
            </w:r>
          </w:p>
        </w:tc>
        <w:tc>
          <w:tcPr>
            <w:tcW w:w="3700" w:type="dxa"/>
          </w:tcPr>
          <w:p>
            <w:pPr>
              <w:pStyle w:val="Compact"/>
              <w:jc w:val="center"/>
            </w:pPr>
            <w:r>
              <w:rPr>
                <w:b/>
              </w:rPr>
              <w:t xml:space="preserve">Tiếng Anh</w:t>
            </w:r>
          </w:p>
        </w:tc>
        <w:tc>
          <w:tcPr>
            <w:tcW w:w="3688" w:type="dxa"/>
          </w:tcPr>
          <w:p>
            <w:pPr>
              <w:pStyle w:val="Compact"/>
              <w:jc w:val="center"/>
            </w:pPr>
            <w:r>
              <w:rPr>
                <w:b/>
              </w:rPr>
              <w:t xml:space="preserve">Tiếng Việt</w:t>
            </w:r>
          </w:p>
        </w:tc>
      </w:tr>
      <w:tr>
        <w:trPr>
          <w:cantSplit/>
        </w:trPr>
        <w:tc>
          <w:tcPr>
            <w:tcW w:w="1400" w:type="dxa"/>
          </w:tcPr>
          <w:p>
            <w:pPr>
              <w:pStyle w:val="Compact"/>
            </w:pPr>
            <w:r>
              <w:t xml:space="preserve">ARIMA</w:t>
            </w:r>
          </w:p>
        </w:tc>
        <w:tc>
          <w:tcPr>
            <w:tcW w:w="3700" w:type="dxa"/>
          </w:tcPr>
          <w:p>
            <w:pPr>
              <w:pStyle w:val="Compact"/>
            </w:pPr>
            <w:r>
              <w:t xml:space="preserve">Autoregressive Integrated Moving Average</w:t>
            </w:r>
          </w:p>
        </w:tc>
        <w:tc>
          <w:tcPr>
            <w:tcW w:w="3688" w:type="dxa"/>
          </w:tcPr>
          <w:p>
            <w:pPr>
              <w:pStyle w:val="Compact"/>
            </w:pPr>
            <w:r>
              <w:t xml:space="preserve">Mô hình tự hồi quy tích hợp trung bình trượt</w:t>
            </w:r>
          </w:p>
        </w:tc>
      </w:tr>
      <w:tr>
        <w:trPr>
          <w:cantSplit/>
        </w:trPr>
        <w:tc>
          <w:tcPr>
            <w:tcW w:w="1400" w:type="dxa"/>
          </w:tcPr>
          <w:p>
            <w:pPr>
              <w:pStyle w:val="Compact"/>
            </w:pPr>
            <w:r>
              <w:t xml:space="preserve">CS</w:t>
            </w:r>
          </w:p>
        </w:tc>
        <w:tc>
          <w:tcPr>
            <w:tcW w:w="3700" w:type="dxa"/>
          </w:tcPr>
          <w:p>
            <w:pPr>
              <w:pStyle w:val="Compact"/>
            </w:pPr>
            <w:r>
              <w:t xml:space="preserve">Không có</w:t>
            </w:r>
          </w:p>
        </w:tc>
        <w:tc>
          <w:tcPr>
            <w:tcW w:w="3688" w:type="dxa"/>
          </w:tcPr>
          <w:p>
            <w:pPr>
              <w:pStyle w:val="Compact"/>
            </w:pPr>
            <w:r>
              <w:t xml:space="preserve">Rổ cổ phiếu chuyển sàn (ký hiệu của đề tài)</w:t>
            </w:r>
          </w:p>
        </w:tc>
      </w:tr>
      <w:tr>
        <w:trPr>
          <w:cantSplit/>
        </w:trPr>
        <w:tc>
          <w:tcPr>
            <w:tcW w:w="1400" w:type="dxa"/>
          </w:tcPr>
          <w:p>
            <w:pPr>
              <w:pStyle w:val="Compact"/>
            </w:pPr>
            <w:r>
              <w:t xml:space="preserve">GDP</w:t>
            </w:r>
          </w:p>
        </w:tc>
        <w:tc>
          <w:tcPr>
            <w:tcW w:w="3700" w:type="dxa"/>
          </w:tcPr>
          <w:p>
            <w:pPr>
              <w:pStyle w:val="Compact"/>
            </w:pPr>
            <w:r>
              <w:t xml:space="preserve">Gross Domestic Product</w:t>
            </w:r>
          </w:p>
        </w:tc>
        <w:tc>
          <w:tcPr>
            <w:tcW w:w="3688" w:type="dxa"/>
          </w:tcPr>
          <w:p>
            <w:pPr>
              <w:pStyle w:val="Compact"/>
            </w:pPr>
            <w:r>
              <w:t xml:space="preserve">Tổng sản phẩm trong nước</w:t>
            </w:r>
          </w:p>
        </w:tc>
      </w:tr>
      <w:tr>
        <w:trPr>
          <w:cantSplit/>
        </w:trPr>
        <w:tc>
          <w:tcPr>
            <w:tcW w:w="1400" w:type="dxa"/>
          </w:tcPr>
          <w:p>
            <w:pPr>
              <w:pStyle w:val="Compact"/>
            </w:pPr>
            <w:r>
              <w:t xml:space="preserve">GFCI</w:t>
            </w:r>
          </w:p>
        </w:tc>
        <w:tc>
          <w:tcPr>
            <w:tcW w:w="3700" w:type="dxa"/>
          </w:tcPr>
          <w:p>
            <w:pPr>
              <w:pStyle w:val="Compact"/>
            </w:pPr>
            <w:r>
              <w:t xml:space="preserve">Global Financial Centres Index</w:t>
            </w:r>
          </w:p>
        </w:tc>
        <w:tc>
          <w:tcPr>
            <w:tcW w:w="3688" w:type="dxa"/>
          </w:tcPr>
          <w:p>
            <w:pPr>
              <w:pStyle w:val="Compact"/>
            </w:pPr>
            <w:r>
              <w:t xml:space="preserve">Chỉ số Trung tâm Tài chính Toàn cầu</w:t>
            </w:r>
          </w:p>
        </w:tc>
      </w:tr>
      <w:tr>
        <w:trPr>
          <w:cantSplit/>
        </w:trPr>
        <w:tc>
          <w:tcPr>
            <w:tcW w:w="1400" w:type="dxa"/>
          </w:tcPr>
          <w:p>
            <w:pPr>
              <w:pStyle w:val="Compact"/>
            </w:pPr>
            <w:r>
              <w:t xml:space="preserve">H</w:t>
            </w:r>
          </w:p>
        </w:tc>
        <w:tc>
          <w:tcPr>
            <w:tcW w:w="3700" w:type="dxa"/>
          </w:tcPr>
          <w:p>
            <w:pPr>
              <w:pStyle w:val="Compact"/>
            </w:pPr>
            <w:r>
              <w:t xml:space="preserve">Không có</w:t>
            </w:r>
          </w:p>
        </w:tc>
        <w:tc>
          <w:tcPr>
            <w:tcW w:w="3688" w:type="dxa"/>
          </w:tcPr>
          <w:p>
            <w:pPr>
              <w:pStyle w:val="Compact"/>
            </w:pPr>
            <w:r>
              <w:t xml:space="preserve">Rổ cổ phiếu HOSE được ghép với rổ CS (ký hiệu của đề tài, khác với H</w:t>
            </w:r>
            <w:r>
              <w:rPr>
                <w:vertAlign w:val="subscript"/>
              </w:rPr>
              <w:t xml:space="preserve">1</w:t>
            </w:r>
            <w:r>
              <w:t xml:space="preserve">–H</w:t>
            </w:r>
            <w:r>
              <w:rPr>
                <w:vertAlign w:val="subscript"/>
              </w:rPr>
              <w:t xml:space="preserve">4</w:t>
            </w:r>
            <w:r>
              <w:t xml:space="preserve"> là ký hiệu các giả thuyết)</w:t>
            </w:r>
          </w:p>
        </w:tc>
      </w:tr>
      <w:tr>
        <w:trPr>
          <w:cantSplit/>
        </w:trPr>
        <w:tc>
          <w:tcPr>
            <w:tcW w:w="1400" w:type="dxa"/>
          </w:tcPr>
          <w:p>
            <w:pPr>
              <w:pStyle w:val="Compact"/>
            </w:pPr>
            <w:r>
              <w:t xml:space="preserve">HNX</w:t>
            </w:r>
          </w:p>
        </w:tc>
        <w:tc>
          <w:tcPr>
            <w:tcW w:w="3700" w:type="dxa"/>
          </w:tcPr>
          <w:p>
            <w:pPr>
              <w:pStyle w:val="Compact"/>
            </w:pPr>
            <w:r>
              <w:t xml:space="preserve">Hanoi Stock Exchange</w:t>
            </w:r>
          </w:p>
        </w:tc>
        <w:tc>
          <w:tcPr>
            <w:tcW w:w="3688" w:type="dxa"/>
          </w:tcPr>
          <w:p>
            <w:pPr>
              <w:pStyle w:val="Compact"/>
            </w:pPr>
            <w:r>
              <w:t xml:space="preserve">Sở Giao dịch Chứng khoán Hà Nội</w:t>
            </w:r>
          </w:p>
        </w:tc>
      </w:tr>
      <w:tr>
        <w:trPr>
          <w:cantSplit/>
        </w:trPr>
        <w:tc>
          <w:tcPr>
            <w:tcW w:w="1400" w:type="dxa"/>
          </w:tcPr>
          <w:p>
            <w:pPr>
              <w:pStyle w:val="Compact"/>
            </w:pPr>
            <w:r>
              <w:t xml:space="preserve">HOSE</w:t>
            </w:r>
          </w:p>
        </w:tc>
        <w:tc>
          <w:tcPr>
            <w:tcW w:w="3700" w:type="dxa"/>
          </w:tcPr>
          <w:p>
            <w:pPr>
              <w:pStyle w:val="Compact"/>
            </w:pPr>
            <w:r>
              <w:t xml:space="preserve">Ho Chi Minh City Stock Exchange</w:t>
            </w:r>
          </w:p>
        </w:tc>
        <w:tc>
          <w:tcPr>
            <w:tcW w:w="3688" w:type="dxa"/>
          </w:tcPr>
          <w:p>
            <w:pPr>
              <w:pStyle w:val="Compact"/>
            </w:pPr>
            <w:r>
              <w:t xml:space="preserve">Sở Giao dịch Chứng khoán Thành phố Hồ Chí Minh</w:t>
            </w:r>
          </w:p>
        </w:tc>
      </w:tr>
      <w:tr>
        <w:trPr>
          <w:cantSplit/>
        </w:trPr>
        <w:tc>
          <w:tcPr>
            <w:tcW w:w="1400" w:type="dxa"/>
          </w:tcPr>
          <w:p>
            <w:pPr>
              <w:pStyle w:val="Compact"/>
            </w:pPr>
            <w:r>
              <w:t xml:space="preserve">MQI</w:t>
            </w:r>
          </w:p>
        </w:tc>
        <w:tc>
          <w:tcPr>
            <w:tcW w:w="3700" w:type="dxa"/>
          </w:tcPr>
          <w:p>
            <w:pPr>
              <w:pStyle w:val="Compact"/>
            </w:pPr>
            <w:r>
              <w:t xml:space="preserve">Market Quality Index</w:t>
            </w:r>
          </w:p>
        </w:tc>
        <w:tc>
          <w:tcPr>
            <w:tcW w:w="3688" w:type="dxa"/>
          </w:tcPr>
          <w:p>
            <w:pPr>
              <w:pStyle w:val="Compact"/>
            </w:pPr>
            <w:r>
              <w:t xml:space="preserve">Chỉ số chất lượng thị trường vốn</w:t>
            </w:r>
          </w:p>
        </w:tc>
      </w:tr>
      <w:tr>
        <w:trPr>
          <w:cantSplit/>
        </w:trPr>
        <w:tc>
          <w:tcPr>
            <w:tcW w:w="1400" w:type="dxa"/>
          </w:tcPr>
          <w:p>
            <w:pPr>
              <w:pStyle w:val="Compact"/>
            </w:pPr>
            <w:r>
              <w:t xml:space="preserve">OECD</w:t>
            </w:r>
          </w:p>
        </w:tc>
        <w:tc>
          <w:tcPr>
            <w:tcW w:w="3700" w:type="dxa"/>
          </w:tcPr>
          <w:p>
            <w:pPr>
              <w:pStyle w:val="Compact"/>
            </w:pPr>
            <w:r>
              <w:t xml:space="preserve">Organisation for Economic Co-operation and Development</w:t>
            </w:r>
          </w:p>
        </w:tc>
        <w:tc>
          <w:tcPr>
            <w:tcW w:w="3688" w:type="dxa"/>
          </w:tcPr>
          <w:p>
            <w:pPr>
              <w:pStyle w:val="Compact"/>
            </w:pPr>
            <w:r>
              <w:t xml:space="preserve">Tổ chức Hợp tác và Phát triển Kinh tế</w:t>
            </w:r>
          </w:p>
        </w:tc>
      </w:tr>
      <w:tr>
        <w:trPr>
          <w:cantSplit/>
        </w:trPr>
        <w:tc>
          <w:tcPr>
            <w:tcW w:w="1400" w:type="dxa"/>
          </w:tcPr>
          <w:p>
            <w:pPr>
              <w:pStyle w:val="Compact"/>
            </w:pPr>
            <w:r>
              <w:t xml:space="preserve">OSF</w:t>
            </w:r>
          </w:p>
        </w:tc>
        <w:tc>
          <w:tcPr>
            <w:tcW w:w="3700" w:type="dxa"/>
          </w:tcPr>
          <w:p>
            <w:pPr>
              <w:pStyle w:val="Compact"/>
            </w:pPr>
            <w:r>
              <w:t xml:space="preserve">Open Science Framework</w:t>
            </w:r>
          </w:p>
        </w:tc>
        <w:tc>
          <w:tcPr>
            <w:tcW w:w="3688" w:type="dxa"/>
          </w:tcPr>
          <w:p>
            <w:pPr>
              <w:pStyle w:val="Compact"/>
            </w:pPr>
            <w:r>
              <w:t xml:space="preserve">Nền tảng khoa học mở</w:t>
            </w:r>
          </w:p>
        </w:tc>
      </w:tr>
      <w:tr>
        <w:trPr>
          <w:cantSplit/>
        </w:trPr>
        <w:tc>
          <w:tcPr>
            <w:tcW w:w="1400" w:type="dxa"/>
          </w:tcPr>
          <w:p>
            <w:pPr>
              <w:pStyle w:val="Compact"/>
            </w:pPr>
            <w:r>
              <w:t xml:space="preserve">SMD</w:t>
            </w:r>
          </w:p>
        </w:tc>
        <w:tc>
          <w:tcPr>
            <w:tcW w:w="3700" w:type="dxa"/>
          </w:tcPr>
          <w:p>
            <w:pPr>
              <w:pStyle w:val="Compact"/>
            </w:pPr>
            <w:r>
              <w:t xml:space="preserve">Stock Market Development</w:t>
            </w:r>
          </w:p>
        </w:tc>
        <w:tc>
          <w:tcPr>
            <w:tcW w:w="3688" w:type="dxa"/>
          </w:tcPr>
          <w:p>
            <w:pPr>
              <w:pStyle w:val="Compact"/>
            </w:pPr>
            <w:r>
              <w:t xml:space="preserve">Chỉ báo phát triển thị trường cổ phiếu</w:t>
            </w:r>
          </w:p>
        </w:tc>
      </w:tr>
      <w:tr>
        <w:trPr>
          <w:cantSplit/>
        </w:trPr>
        <w:tc>
          <w:tcPr>
            <w:tcW w:w="1400" w:type="dxa"/>
          </w:tcPr>
          <w:p>
            <w:pPr>
              <w:pStyle w:val="Compact"/>
            </w:pPr>
            <w:r>
              <w:t xml:space="preserve">UPCoM</w:t>
            </w:r>
          </w:p>
        </w:tc>
        <w:tc>
          <w:tcPr>
            <w:tcW w:w="3700" w:type="dxa"/>
          </w:tcPr>
          <w:p>
            <w:pPr>
              <w:pStyle w:val="Compact"/>
            </w:pPr>
            <w:r>
              <w:t xml:space="preserve">Unlisted Public Company Market</w:t>
            </w:r>
          </w:p>
        </w:tc>
        <w:tc>
          <w:tcPr>
            <w:tcW w:w="3688" w:type="dxa"/>
          </w:tcPr>
          <w:p>
            <w:pPr>
              <w:pStyle w:val="Compact"/>
            </w:pPr>
            <w:r>
              <w:t xml:space="preserve">Thị trường giao dịch cổ phiếu của công ty đại chúng chưa niêm yết</w:t>
            </w:r>
          </w:p>
        </w:tc>
      </w:tr>
      <w:tr>
        <w:trPr>
          <w:cantSplit/>
        </w:trPr>
        <w:tc>
          <w:tcPr>
            <w:tcW w:w="1400" w:type="dxa"/>
          </w:tcPr>
          <w:p>
            <w:pPr>
              <w:pStyle w:val="Compact"/>
            </w:pPr>
            <w:r>
              <w:t xml:space="preserve">VNX</w:t>
            </w:r>
          </w:p>
        </w:tc>
        <w:tc>
          <w:tcPr>
            <w:tcW w:w="3700" w:type="dxa"/>
          </w:tcPr>
          <w:p>
            <w:pPr>
              <w:pStyle w:val="Compact"/>
            </w:pPr>
            <w:r>
              <w:t xml:space="preserve">Vietnam Exchange</w:t>
            </w:r>
          </w:p>
        </w:tc>
        <w:tc>
          <w:tcPr>
            <w:tcW w:w="36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Đề tài không đề xuất mô hình trung tâm tài chính (câu hỏi thứ nhất của bài toán) hay nền tảng công nghệ cho thị trường tài chính (câu hỏi thứ ba).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các khái niệm sau với nghĩa cố định. Năng lực cạnh tranh của trung tâm tài chính là khả năng giữ và thu hút các tổ chức tài chính và cung cấp dịch vụ đáp ứng nhu cầu trong nước và quốc tế (Yao, 2012), đo bằng điểm GFCI.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khác với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chứng khoán phái sinh, và thị trường giao dịch cổ phiếu của công ty đại chúng chưa niêm yết (UPCoM) khi thị trường này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hợp nhất đã bị lùi hai lần: hạn chuyển cổ phiếu niêm yết từ HNX sang HOSE là năm 2023 theo Thông tư số 57/2021/TT-BTC, hết năm 2025 theo Thông tư số 69/2023/TT-BTC (Bộ Tài chính, 2023) và hết ngày 31/12/2026 theo Thông tư số 139/2025/TT-BTC (Bộ Tài chính, 2025). Theo thông báo ngày 30/9/2026 của Sở Giao dịch Chứng khoán Việt Nam (VNX), cổ phiếu niêm yết tại HNX giao dịch phiên cuối ngày 23/12/2026, tạm ngừng hai ngày 24 và 25/12/2026, và giao dịch tại HOSE từ ngày 28/12/2026 (Sở Giao dịch Chứng khoán Việt Nam, 2026).</w:t>
      </w:r>
    </w:p>
    <w:p w:rsidR="005D3DB2" w:rsidRDefault="00000000">
      <w:pPr>
        <w:pStyle w:val="BodyText"/>
      </w:pPr>
      <w:r>
        <w:t xml:space="preserve">Hạn chuyển cổ phiếu UPCoM sang HOSE cũng là hết ngày 31/12/2026, do Thông tư số 69/2023/TT-BTC đặt và không bị Thông tư số 139/2025/TT-BTC sửa (Bộ Tài chính, 2023). Tuy vậy, thông báo của VNX chỉ áp dụng cho cổ phiếu niêm yết, báo chí cho biết cổ phiếu UPCoM không thuộc diện chuyển trong đợt này (Báo Đầu tư Chứng khoán, 2026), và chưa có văn bản công bố lịch chuyển cổ phiếu UPCoM [CẦN XÁC MINH kế hoạch chuyển cổ phiếu đăng ký giao dịch theo khoản 4 Điều 4 Thông tư số 57/2021/TT-BTC].</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ở Trung Quốc, Thượng Hải là trung tâm thương mại, Bắc Kinh là trung tâm chính trị và quản lý, Hồng Kông là trung tâm hải ngoại (Lai, 2012), và Bắc Kinh là trung tâm tài chính lớn dù không có sở giao dịch chứng khoán tầm quốc gia trong phần lớn quá trình phát triển (Naeem, 2023). Với Hà Nội, câu hỏi sau hợp nhất là nên chuyên môn hóa vào những thị trường nào (Yao, 2012).</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về thanh khoản lẫn khả năng đầu tư.</w:t>
      </w:r>
    </w:p>
    <w:p w14:paraId="019D1985" w14:textId="77777777" w:rsidR="005D3DB2" w:rsidRDefault="00000000">
      <w:pPr>
        <w:pStyle w:val="BodyText"/>
      </w:pPr>
      <w:r>
        <w:t xml:space="preserve">Tài liệu hiện có để ngỏ ba vấn đề. Thứ nhất, 17 yếu tố mà Naeem (2023) dùng để giải thích thứ hạng GFCI không có chỉ báo nào về thị trường cổ phiếu, còn các nghiên cứu khác xét nhiều nhóm yếu tố cùng lúc (Moosa và cộng sự, 2016; Eichengreen &amp; Shah, 2020). Thứ hai, bằng chứng về hợp nhất sàn chủ yếu đến từ thị trường phát triển, trái chiều theo quy mô doanh nghiệp và chỉ đo thanh khoản (Nielsson, 2009; Hisada, 2018). Thứ ba, các công trình về Việt Nam tập trung vào HOSE (Vo &amp; Phan, 2017; Hoang &amp; Luu, 2024; Goutte và cộng sự, 2025) và chưa có nghiên cứu nào về đợt hợp nhất năm 2026.</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p>
    <w:p w:rsidR="005D3DB2" w:rsidRDefault="00000000">
      <w:pPr>
        <w:pStyle w:val="BodyText"/>
      </w:pPr>
      <w:r>
        <w:t xml:space="preserve">Bốn mục tiêu cụ thể là: (i) ước lượng liên hệ giữa mức phát triển thị trường cổ phiếu và điểm GFCI trên dữ liệu bảng quốc tế; (ii) xây dựng Chỉ số chất lượng thị trường vốn theo tháng cho sàn niêm yết HNX, UPCoM và HOSE; (iii) ước lượng tác động của việc chuyển sàn lên thanh khoản và khả năng đầu tư, kể cả mức thay đổi của tác động theo mức chịu cú sốc biên độ, bước giá, chỉ số và theo trụ sở doanh nghiệp; (iv) tổng hợp định tính các kết quả thành định hướng chuyên môn hóa và hạ tầng dữ liệu cho thị trường vốn Hà Nội. Trong bốn giả thuyết ở mục 4.3.2, H</w:t>
      </w:r>
      <w:r>
        <w:rPr>
          <w:vertAlign w:val="subscript"/>
        </w:rPr>
        <w:t xml:space="preserve">3</w:t>
      </w:r>
      <w:r>
        <w:t xml:space="preserve"> là kiểm định trọng tâm;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b/>
          <w:bCs/>
        </w:rPr>
        <w:t xml:space="preserve">Đóng góp dự kiến.</w:t>
      </w:r>
      <w:r>
        <w:t xml:space="preserve"> So với Yao (2012), Eichengreen và Shah (2020) và Naeem (2023), đề tài đưa riêng mức phát triển thị trường cổ phiếu vào mô hình điểm GFCI. So với Nielsson (2009) và Hisada (2018), đề tài nghiên cứu hợp nhất hai sàn trong một quốc gia mới nổi, dùng suy luận phù hợp với một sự kiện duy nhất và đo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Chỉ số chất lượng thị trường vốn có thể là một cấu phần của sản phẩm “Hệ thống dữ liệu tài chính đô thị” mà bài toán số 19 nêu, còn báo cáo định hướng chuyên môn hóa là một đầu vào phân tích cho sản phẩm “Trung tâm tài chính quốc tế tại Hà Nội”. Đề tài không thiết kế sản phẩm thứ hai, và Nghị quyết số 222/2025/QH15 hiện chỉ đặt trung tâm tài chính quốc tế tại Thành phố Hồ Chí Minh và Đà Nẵng.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ba sàn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nhu cầu sử dụng kết quả của ít nhất một đơn vị, ưu tiên HNX.</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t xml:space="preserve"> Kindleberger (1974) và Gehrig (2000) giải thích sự tập trung của hoạt động tài chính bằng lợi thế quy mô và thông tin. Yao (2012) xác định các yếu tố quyết định sức hấp dẫn của trung tâm đối với ngành quỹ đầu tư qua trường hợp Luxembourg. Moosa và cộng sự (2016) kiểm tra độ vững của các yếu tố quyết định vị thế trung tâm, còn Eichengreen và Shah (2020) xếp các yếu tố thành năm nhóm, trong đó có nhóm phát triển tài chính và vốn hóa thị trường.</w:t>
      </w:r>
    </w:p>
    <w:p>
      <w:pPr>
        <w:pStyle w:val="FirstParagraph"/>
      </w:pPr>
      <w:r>
        <w:t xml:space="preserve">Naeem (2023) hồi quy thứ hạng GFCI của 196 trung tâm giai đoạn 2007–2020 theo 17 yếu tố chọn bằng phương pháp cây quyết định, không gồm chỉ báo thị trường cổ phiếu; Cetorelli và Peristiani (2013) đo vị thế trung tâm qua mạng lưới niêm yết quốc tế của sàn. Ở Trung Quốc, Lai (2012) và Wang và cộng sự (2007) mô tả sự phân vai giữa Bắc Kinh, Thượng Hải và Hồng Kông, Chen và Chen (2015) nhấn mạnh vai trò dẫn dắt của nhà nước, và Elliott (2011) cho rằng không có công thức chung để xây dựng một trung tâm toàn cầu.</w:t>
      </w:r>
    </w:p>
    <w:p>
      <w:pPr>
        <w:pStyle w:val="FirstParagraph"/>
      </w:pPr>
      <w:r>
        <w:rPr>
          <w:i/>
          <w:iCs/>
        </w:rPr>
        <w:t xml:space="preserve">(B) Chất lượng thị trường vốn.</w:t>
      </w:r>
      <w:r>
        <w:t xml:space="preserve"> Thanh khoản thường được đo từ dữ liệu ngày bằng độ phi thanh khoản (Amihud, 2002), tần suất ngày có lợi suất bằng 0 (Lesmond và cộng sự, 1999; Bekaert và cộng sự, 2007) và chênh lệch mua-bán ước lượng từ giá cao nhất và thấp nhất (Corwin &amp; Schultz, 2012); Lesmond (2005) và Fong và cộng sự (2017) đánh giá chỉ báo nào đo thanh khoản tốt nhất. Hiệu quả thông tin được đo bằng tỷ số phương sai (Lo &amp; MacKinlay, 1988) và độ trễ giá (Hou &amp; Moskowitz, 2005), dù các thước đo này có thể sai lệch khi môi trường thông tin khác nhau (Griffin và cộng sự, 2010). Lang và cộng sự (2012) nối minh bạch với thanh khoản, và Čihák và cộng sự (2012) xây dựng Cơ sở dữ liệu Phát triển Tài chính Toàn cầu. Các thước đo này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t xml:space="preserve"> Huang và Stoll (1996) so sánh chi phí giao dịch của các cặp cổ phiếu tương đồng trên hai sàn, và Christie và Huang (1994) đo thanh khoản của cùng một cổ phiếu khi doanh nghiệp đổi sàn. Khi Sở Giao dịch Chứng khoán Tel Aviv chuyển cổ phiếu sang cơ chế có thêm phiên giao dịch liên tục, lợi suất bất thường tích lũy điều chỉnh theo thị trường đạt khoảng 5,5% từ năm ngày trước công bố đến 30 ngày sau khi giao dịch theo cơ chế mới, và thanh khoản tăng cùng giá (Amihud và cộng sự, 1997).</w:t>
      </w:r>
    </w:p>
    <w:p w:rsidR="005D3DB2" w:rsidRDefault="00000000">
      <w:pPr>
        <w:pStyle w:val="FirstParagraph"/>
      </w:pPr>
      <w:r>
        <w:t xml:space="preserve">Việc hình thành Euronext làm thanh khoản tăng ở doanh nghiệp lớn và doanh nghiệp có doanh thu nước ngoài, nhưng không tăng ở doanh nghiệp nhỏ (Nielsson, 2009). Sau khi thị trường cổ phiếu của Osaka được hợp nhất vào Tokyo ngày 16/7/2013, thanh khoản của các cổ phiếu sẵn có trên Sở Giao dịch Chứng khoán Tokyo tăng trong ngắn hạn rồi giảm sau một năm, với hiệu ứng tâm lý mạnh hơn ở cổ phiếu nhỏ (Hisada, 2018); Arnold và cộng sự (1999, dẫn theo Hisada, 2018) cũng thấy hợp nhất sàn làm thanh khoản tăng. Wójcik (2007) phân tích quan hệ hai chiều giữa sàn chứng khoán và trung tâm tài chính.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t xml:space="preserve"> Tối ưu hóa trung bình-phương sai (Markowitz, 1952) dồn trọng số vào tài sản có sai số ước lượng lớn (Michaud, 1989), và hiệu quả ngoài mẫu giảm khi dùng ước lượng mẫu thay tham số tổng thể (Kan &amp; Zhou, 2007). Các cách khắc phục gồm co rút ma trận hiệp phương sai (Ledoit &amp; Wolf, 2004), mô hình Black-Litterman (Black &amp; Litterman, 1992; Bessler và cộng sự, 2017) và danh mục vững chắc (Garlappi và cộng sự, 2007). Dù vậy, không mô hình nào vượt quy tắc 1/N một cách nhất quán (DeMiguel và cộng sự, 2009), và 1/N xấp xỉ tối ưu khi mức mơ hồ về mô hình cao (Pflug và cộng sự, 2012);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t xml:space="preserve"> Vo và Phan (2017) tìm thấy hành vi bầy đàn trên các công ty niêm yết tại HOSE giai đoạn 2005–2015, còn Hoang và Luu (2024), trong một bản thảo công bố trực tuyến, phân tích chế độ biến động của VN-Index. Về danh mục, Ta và Vuong (2020), Nguyen và cộng sự (2020), Goutte và cộng sự (2025) và bài báo của chính thí sinh (Nguyễn &amp; Nguyễn, 2026a) áp dụng các mô hình Black-Litterman, co rút hiệp phương sai và ra quyết định đa tiêu chí trên cổ phiếu HOSE. Các công trình này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tìm kiếm trên SSRN, RePEc/IDEAS, ScienceDirect, Oxford Academic, Wiley, Springer, Taylor &amp; Francis, MDPI và arXiv đến ngày 30/9/2026, chưa gồm Scopus, Web of Science và các tạp chí trong nước. Thí sinh mới đọc tóm tắt và thông tin thư mục của phần lớn các nguồn; việc đọc toàn văn và mở rộng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hiệu quả mà nhà đầu tư đạt được phụ thuộc vào chất lượng của tập cổ phiếu đầu tư được (Markowitz, 1952; Michaud, 1989; Kan &amp; Zhou, 2007). Ba khối nối thành một chuỗi: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và khoảng tin cậy; các tương tác của tác động H</w:t>
      </w:r>
      <w:r>
        <w:rPr>
          <w:vertAlign w:val="subscript"/>
        </w:rPr>
        <w:t xml:space="preserve">3</w:t>
      </w:r>
      <w:r>
        <w:t xml:space="preserve">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Với H</w:t>
      </w:r>
      <w:r>
        <w:rPr>
          <w:vertAlign w:val="subscript"/>
        </w:rPr>
        <w:t xml:space="preserve">2</w:t>
      </w:r>
      <w:r>
        <w:t xml:space="preserve">, chênh lệch có thể do quy mô doanh nghiệp và do biên độ dao động giá, hiện là ±7% ở HOSE, ±10% ở HNX và ±15% ở UPCoM; theo Điều 4 Thông tư số 120/2020/TT-BTC, biên độ do VNX quyết định sau khi Ủy ban Chứng khoán Nhà nước chấp thuận, và Ủy ban có thể điều chỉnh khi cần ổn định thị trường (Bộ Tài chính, 2020) [CẦN XÁC MINH các lần thay đổi biên độ trong giai đoạn 2009–2025]. Vì vậy, chỉ số được so sánh trên mẫu đối sánh theo quy mô và ngành, và được tính lại khi bỏ hai chỉ báo bị biên độ cắt trực tiếp là độ phi thanh khoản Amihud và chênh lệch Corwin–Schultz.</w:t>
      </w:r>
    </w:p>
    <w:p w:rsidR="005D3DB2" w:rsidRDefault="00000000">
      <w:pPr>
        <w:pStyle w:val="BodyText"/>
      </w:pPr>
      <w:r>
        <w:t xml:space="preserve">Bước giá cũng khác nhau. Với giao dịch khớp lệnh cổ phiếu, bước giá ở HOSE là 10 đồng khi giá dưới 10.000 đồng, 50 đồng khi giá từ 10.000 đến 49.950 đồng và 100 đồng từ 50.000 đồng trở lên (Sở Giao dịch Chứng khoán Thành phố Hồ Chí Minh, 2025), còn ở HNX là 100 đồng cho mọi mức giá [CẦN ĐỐI CHIẾU quy chế giao dịch gốc của HNX và bước giá của HOSE trước ngày 12/9/2016]. Khi chuyển sàn, bước giá vì vậy giảm mười lần ở mã giá dưới 10.000 đồng, giảm một nửa ở mã giá từ 10.000 đến 49.950 đồng và không đổi ở mã giá cao hơn.</w:t>
      </w:r>
    </w:p>
    <w:p w:rsidR="005D3DB2" w:rsidRDefault="00000000">
      <w:pPr>
        <w:pStyle w:val="BodyText"/>
      </w:pPr>
      <w:r>
        <w:t xml:space="preserve">Vì tỷ lệ ngày lợi suất bằng 0 và chênh lệch Corwin–Schultz phản ánh một phần bước giá, nhất là ở cổ phiếu giá thấp, hai chỉ báo này được báo cáo theo nhóm mức giá, và thay đổi của tỷ lệ ngày lợi suất bằng 0 trong H</w:t>
      </w:r>
      <w:r>
        <w:rPr>
          <w:vertAlign w:val="subscript"/>
        </w:rPr>
        <w:t xml:space="preserve">3</w:t>
      </w:r>
      <w:r>
        <w:t xml:space="preserve"> được đọc cùng với mức giảm bước giá khi chuyển sàn.</w:t>
      </w:r>
    </w:p>
    <w:p w:rsidR="005D3DB2" w:rsidRDefault="00000000">
      <w:pPr>
        <w:pStyle w:val="BodyText"/>
      </w:pPr>
      <w:r>
        <w:t xml:space="preserve">Với H</w:t>
      </w:r>
      <w:r>
        <w:rPr>
          <w:vertAlign w:val="subscript"/>
        </w:rPr>
        <w:t xml:space="preserve">3</w:t>
      </w:r>
      <w:r>
        <w:t xml:space="preserve">,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có lợi suất tuyệt đối khoảng 7% đến 10% đều thành ngày chạm biên độ và bị loại.</w:t>
      </w:r>
    </w:p>
    <w:p w:rsidR="005D3DB2" w:rsidRDefault="00000000">
      <w:pPr>
        <w:pStyle w:val="BodyText"/>
      </w:pPr>
      <w:r>
        <w:t xml:space="preserve">Đề tài vì vậy tính Amihud, ở cả hai nhóm và hai giai đoạn, chỉ trên các ngày có lợi suất tuyệt đối dưới một ngưỡng chung và không liền sau một ngày vượt ngưỡng này. Ngưỡng thấp hơn mức lợi suất lớn nhất đạt được ở biên độ ±7%, tính sau khi giá trần được làm tròn xuống và giá sàn được làm tròn lên theo đơn vị yết giá của HOSE (Sở Giao dịch Chứng khoán Thành phố Hồ Chí Minh, 2025). Vì ngưỡng giống nhau cho mọi cổ phiếu và mọi giai đoạn, tập ngày bị loại không đổi theo sàn. Giá trị ngưỡng và số ngày hợp lệ tối thiểu mỗi tháng được ghi trong tệp đăng ký; tỷ lệ ngày bị loại được báo cáo theo nhóm và giai đoạn. Giá trị giao dịch chỉ gồm giao dịch khớp lệnh, và vòng quay, thước đo không dùng lợi suất, là thước đo đối chiếu.</w:t>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các kỳ 1–40, do Z/Yen công bố công khai từ năm 2007, được thí sinh số hóa từ báo cáo từng kỳ sau khi xin phép Long Finance và ghép với các chỉ báo thị trường cổ phiếu cấp quốc gia (Čihák và cộng sự, 2012) và các chỉ số quản trị nhà nước (Kaufmann và cộng sự, 2011).</w:t>
      </w:r>
    </w:p>
    <w:p w:rsidR="005D3DB2" w:rsidRDefault="00000000">
      <w:pPr>
        <w:pStyle w:val="FirstParagraph"/>
      </w:pPr>
      <w:r>
        <w:t xml:space="preserve">Bộ dữ liệu Việt Nam gồm giá điều chỉnh, khối lượng và giá trị giao dịch theo ngày của cổ phiếu trên sàn niêm yết HNX, UPCoM và HOSE, kể cả mã đã hủy niêm yết hoặc chuyển sàn, cùng các chỉ số thị trường, lợi suất trái phiếu chính phủ kỳ hạn một năm và thời điểm công bố báo cáo tài chính quý. Nguồn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bắt đầu có giao dịch. Vì HNX ngừng nhận niêm yết mới từ ngày 01/7/2025, giai đoạn tham chiếu kết thúc ngày 30/6/2025. Giai đoạn từ tháng 7/2025 đến tháng 12/2026 là giai đoạn chuyển tiếp, chỉ dùng trong phiên bản nghiên cứu sự kiện; giai đoạn sau sự kiện kéo dài 24 tháng từ tháng 1/2027.</w:t>
      </w:r>
    </w:p>
    <w:p w:rsidR="005D3DB2" w:rsidRDefault="00000000">
      <w:pPr>
        <w:pStyle w:val="BodyText"/>
      </w:pPr>
      <w:r>
        <w:t xml:space="preserve">Ngày bị đình chỉ giao dịch được loại khỏi mẫu số của tỷ lệ ngày lợi suất bằng 0. Độ phi thanh khoản Amihud được winsorize tại phân vị 1% và 99% tính trên mẫu gộp các sàn trong từng tháng, để ngưỡng không đổi khi cổ phiếu đổi sàn.</w:t>
      </w:r>
    </w:p>
    <w:p w:rsidR="005D3DB2" w:rsidRDefault="00000000">
      <w:pPr>
        <w:pStyle w:val="BodyText"/>
      </w:pPr>
      <w:r>
        <w:t xml:space="preserve">Giai đoạn căng thẳng, chỉ dùng cho phân tích mô tả, gồm đại dịch COVID-19 năm 2020 (Dao và cộng sự, 2021) và biến cố thị trường trái phiếu doanh nghiệp từ quý 4/2022 (International Monetary Fund, 2023; Vu và cộng sự, 2024).</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Hai chỉ báo đầu là chỉ báo chính vì đã được dùng rộng rãi ở thị trường mới nổi (Lesmond, 2005; Bekaert và cộng sự, 2007) và đã được so sánh với chuẩn tính từ dữ liệu trong ngày trên mẫu toàn cầu (Fong và cộng sự, 2017).</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chỉ số được tính lại khi bỏ chiều này. Chiều minh bạch là số ngày trễ hạn công bố báo cáo tài chính quý.</w:t>
      </w:r>
    </w:p>
    <w:p w:rsidR="005D3DB2" w:rsidRDefault="00000000">
      <w:pPr>
        <w:pStyle w:val="FirstParagraph"/>
      </w:pPr>
      <w:r>
        <w:t xml:space="preserve">Các chỉ báo cổ phiếu được gộp lên cấp sàn bằng trung vị có trọng số theo vốn hóa; độ phi thanh khoản Amihud được điều chỉnh theo tổng vốn hóa thị trường so với tháng 6/2025 để chỉ số không thay đổi chỉ vì quy mô danh nghĩa của thị trường.</w:t>
      </w:r>
    </w:p>
    <w:p>
      <w:pPr>
        <w:pStyle w:val="FirstParagraph"/>
      </w:pPr>
      <w:r>
        <w:t xml:space="preserve">Các chỉ báo được gộp thành Chỉ số chất lượng thị trường vốn theo hướng dẫn của OECD (2008). Mỗi chỉ báo được chuẩn hóa thành điểm z theo mẫu gộp các sàn trong giai đoạn tham chiếu, để giá trị đã công bố không phải tính lại,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vững (OECD, 2008).</w:t>
      </w:r>
      <w:r>
        <w:rPr>
          <w:vertAlign w:val="subscript"/>
        </w:rPr>
        <w:t xml:space="preserve"/>
      </w:r>
      <w:r>
        <w:t xml:space="preserve"/>
      </w:r>
      <w:r>
        <w:rPr>
          <w:vertAlign w:val="subscript"/>
        </w:rPr>
        <w:t xml:space="preserve"/>
      </w:r>
      <w:r>
        <w:t xml:space="preserve"/>
      </w:r>
    </w:p>
    <w:p>
      <w:pPr>
        <w:pStyle w:val="FirstParagraph"/>
      </w:pPr>
      <w:r>
        <w:t xml:space="preserve">H</w:t>
      </w:r>
      <w:r>
        <w:rPr>
          <w:vertAlign w:val="subscript"/>
        </w:rPr>
        <w:t xml:space="preserve">2</w:t>
      </w:r>
      <w:r>
        <w:t xml:space="preserve"> được kiểm định trên chuỗi chênh lệch chỉ số theo tháng giữa HOSE và sàn niêm yết HNX, và được ủng hộ khi chênh lệch bình quân trong giai đoạn tham chiếu dương với giá trị p bootstrap khối dừng (Politis &amp; Romano, 1994) nhỏ hơn ngưỡng Holm tương ứng. Chênh lệch trong giai đoạn chuyển tiếp, chênh lệch giữa HOSE và UPCoM, chênh lệch theo giai đoạn căng thẳng và điểm gãy cấu trúc (Bai &amp; Perron, 1998) được báo cáo ở dạng mô tả.</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và cho quy tắc có trạng thái thị trường (Hamilton, 1989; Kritzman và cộng sự, 2012). Bình quân theo bảy mô hình làm kết luận ít phụ thuộc vào sai số ước lượng của một mô hình, còn độ phân tán giữa các mô hình cho biết mức phụ thuộc đó.</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 xml:space="preserve">Siêu tham số của các mô hình được chọn từ một lưới cho trước, với cùng quy tắc và cùng ngân sách tinh chỉnh. Vì M</w:t>
      </w:r>
      <w:r>
        <w:rPr>
          <w:vertAlign w:val="subscript"/>
        </w:rPr>
        <w:t xml:space="preserve">5</w:t>
      </w:r>
      <w:r>
        <w:t xml:space="preserve"> do thí sinh phát triển, kết quả được báo cáo cả khi có lẫn khi không có M</w:t>
      </w:r>
      <w:r>
        <w:rPr>
          <w:vertAlign w:val="subscript"/>
        </w:rPr>
        <w:t xml:space="preserve">5</w:t>
      </w:r>
      <w:r>
        <w:t xml:space="preserve">.</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OSF Registries trước ngày 28/12/2026, sau khi xin góp ý của người hướng dẫn dự kiến, và khai rõ phạm vi sàn, giai đoạn và chỉ báo đã tính trong các bài trước.</w:t>
      </w:r>
    </w:p>
    <w:p w:rsidR="005D3DB2" w:rsidRDefault="00000000">
      <w:pPr>
        <w:pStyle w:val="BodyText"/>
      </w:pPr>
      <w:r>
        <w:t xml:space="preserve">Tệp đăng ký cố định trước mọi lựa chọn có thể ảnh hưởng tới kết quả: chỉ báo và trọng số; quy tắc lập rổ và ghép đối chứng; chi phí giao dịch và siêu tham số của bảy mô hình; đặc tả các phương trình (5)–(7) và thủ tục suy luận; ngưỡng lợi suất khi tính Amihud; định nghĩa mức chịu cú sốc và biến trụ sở; mức ý nghĩa và cách hiệu chỉnh so sánh bội.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chỉ là thước đo phụ, vì khi lợi suất vượt trội trung bình âm, thường gặp trong giai đoạn căng thẳng, danh mục biến động mạnh hơn lại có tỷ số Sharpe ít âm hơn.</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Đề tài dùng hai cấu hình chi phí. Cấu hình A dùng tỷ lệ cố định nhân với vòng quay danh mục. Cấu hình B dùng chi phí theo cổ phiếu và theo tháng, gồm phí giao dịch, thuế và một nửa chênh lệch mua-bán (giá chào đóng cửa nếu có, nếu không thì ước lượng theo Corwin &amp; Schultz, 2012),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tính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m,t</w:t>
      </w:r>
      <w:r>
        <w:t xml:space="preserve"> theo m.</w:t>
      </w:r>
    </w:p>
    <w:p>
      <w:pPr>
        <w:pStyle w:val="FirstParagraph"/>
      </w:pPr>
      <w:r>
        <w:t xml:space="preserve">Rổ CS gồm tối đa 30 cổ phiếu chuyển sàn có giá trị giao dịch bình quân ba tháng lớn nhất tại ngày tham chiếu 30/6/2025. Rổ H gồm, cho mỗi mã của rổ CS, cổ phiếu HOSE gần nhất về vốn hóa, ngành và độ phi thanh khoản tại cùng ngày, ghép có hoàn lại. Thành phần hai rổ được giữ nguyên để so sánh cùng các cổ phiếu quanh sự kiện; vì hai rổ được lập theo cùng quy tắc, thiên lệch do thông tin lỗi thời hay hồi quy về trung bình tác động lên cả hai.</w:t>
      </w:r>
    </w:p>
    <w:p w14:paraId="20510674" w14:textId="77777777" w:rsidR="005D3DB2" w:rsidRDefault="00000000">
      <w:pPr>
        <w:pStyle w:val="BodyText"/>
      </w:pPr>
      <w:r>
        <w:t xml:space="preserve">Mỗi mô hình được ước lượng trên cửa sổ 104 tuần và đánh giá trên cửa sổ 3 tháng không chồng lấn (Hình 2): 20 cửa sổ từ quý 3/2020 đến quý 2/2025 và 8 cửa sổ từ quý 1/2027 đến quý 4/2028. Cửa sổ ước lượng sau sự kiện vẫn chứa dữ liệu trước ngày chuyển sàn, nên khoảng cách của M</w:t>
      </w:r>
      <w:r>
        <w:rPr>
          <w:vertAlign w:val="subscript"/>
        </w:rPr>
        <w:t xml:space="preserve">1</w:t>
      </w:r>
      <w:r>
        <w:t xml:space="preserve">, mô hình không cần ước lượng tham số, được báo cáo riêng như phép so sánh sạch nhất.</w:t>
      </w:r>
    </w:p>
    <w:p w:rsidR="005D3DB2" w:rsidRDefault="00000000">
      <w:pPr>
        <w:pStyle w:val="BodyText"/>
      </w:pPr>
      <w:r>
        <w:t xml:space="preserve">Vì số cửa sổ ít và lợi suất tương đương chắc chắn có phương sai lớn, H</w:t>
      </w:r>
      <w:r>
        <w:rPr>
          <w:vertAlign w:val="subscript"/>
        </w:rPr>
        <w:t xml:space="preserve">4</w:t>
      </w:r>
      <w:r>
        <w:t xml:space="preserve"> được báo cáo ở dạng ước lượng, kèm hiệu ứng nhỏ nhất phát hiện được tính trên dữ liệu tham chiếu.</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w:t>
      </w:r>
      <w:r>
        <w:t xml:space="preserve">,</w:t>
      </w:r>
      <w:r>
        <w:rPr>
          <w:vertAlign w:val="subscript"/>
        </w:rPr>
        <w:t xml:space="preserve">t</w:t>
      </w:r>
      <w:r>
        <w:t xml:space="preserve"> là logarit của độ phi thanh khoản Amihud tính trên các ngày có lợi suất tuyệt đối dưới ngưỡng chung và không liền sau một ngày vượt ngưỡng này (mục 4.3.2);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w:t>
      </w:r>
    </w:p>
    <w:p>
      <w:pPr>
        <w:pStyle w:val="BodyText"/>
      </w:pPr>
      <w:r>
        <w:t xml:space="preserve">Phương trình (5) được ước lượng trên giai đoạn tham chiếu (đến tháng 6/2025) và giai đoạn sau sự kiện (từ tháng 1/2027); các tháng từ 7/2025 đến 12/2026, gồm tháng chuyển sàn, chỉ được đưa vào phương trình (6). Vì giai đoạn tham chiếu dài 16 năm, cửa sổ trước của ước lượng chính bắt đầu sau điểm gãy cấu trúc cuối cùng của chuỗi chênh lệch theo tháng (Bai &amp; Perron, 1998), và ước lượng với cửa sổ trước 24 tháng (7/2023–6/2025) được báo cáo kèm.</w:t>
      </w:r>
    </w:p>
    <w:p>
      <w:pPr>
        <w:pStyle w:val="FirstParagraph"/>
      </w:pPr>
      <w:r>
        <w:t xml:space="preserve">Nhóm đối chứng chính gồm cổ phiếu HOSE ghép láng giềng gần nhất theo vốn hóa, ngành và độ phi thanh khoản tại ngày 30/6/2025, có hoàn lại, trong vùng hỗ trợ chung. Vì ghép theo độ phi thanh khoản có thể tạo hồi quy về trung bình, kết quả khi chỉ ghép theo vốn hóa và ngành được báo cáo thêm (Daw &amp; Hatfield, 2018). Nhóm đối chứng phụ gồm cổ phiếu UPCoM trong thời gian thị trường này còn do HNX vận hành.</w:t>
      </w:r>
    </w:p>
    <w:p>
      <w:pPr>
        <w:pStyle w:val="FirstParagraph"/>
      </w:pPr>
      <w:r>
        <w:t xml:space="preserve">Vì mọi cổ phiếu chuyển sàn cùng một ngày, suy luận chính dựa trên chuỗi d</w:t>
      </w:r>
      <w:r>
        <w:rPr>
          <w:vertAlign w:val="subscript"/>
        </w:rPr>
        <w:t xml:space="preserve">t</w:t>
      </w:r>
      <w:r>
        <w:t xml:space="preserve">, là chênh lệch trung bình logarit Amihud giữa cổ phiếu chuyển sàn và cổ phiếu đối chứng ghép cặp trong tháng t. Thống kê kiểm định là trung bình của d</w:t>
      </w:r>
      <w:r>
        <w:rPr>
          <w:vertAlign w:val="subscript"/>
        </w:rPr>
        <w:t xml:space="preserve">t</w:t>
      </w:r>
      <w:r>
        <w:t xml:space="preserve"> sau sự kiện trừ trung bình trong cửa sổ trước. Giá trị p chính được tính bằng bootstrap tự hồi quy trên d</w:t>
      </w:r>
      <w:r>
        <w:rPr>
          <w:vertAlign w:val="subscript"/>
        </w:rPr>
        <w:t xml:space="preserve">t</w:t>
      </w:r>
      <w:r>
        <w:t xml:space="preserve">, với mô hình tự hồi quy ước lượng trên giai đoạn tham chiếu, hệ số được hiệu chỉnh độ chệch, và kích thước kiểm định được kiểm tra bằng mô phỏng trước ngày đăng ký.</w:t>
      </w:r>
    </w:p>
    <w:p>
      <w:pPr>
        <w:pStyle w:val="FirstParagraph"/>
      </w:pPr>
      <w:r>
        <w:t xml:space="preserve">Suy luận trên các ngày giả định trong giai đoạn tham chiếu, theo tinh thần của Conley và Taber (2011), chỉ là kiểm tra bổ sung: các cửa sổ giả chồng lấn nhau, chỉ tạo khoảng sáu cửa sổ độc lập, và mô phỏng sơ bộ của thí sinh cho thấy kiểm định này bác bỏ giả thuyết gốc với tần suất cao hơn đáng kể so với mức danh nghĩa. H</w:t>
      </w:r>
      <w:r>
        <w:rPr>
          <w:vertAlign w:val="subscript"/>
        </w:rPr>
        <w:t xml:space="preserve">3</w:t>
      </w:r>
      <w:r>
        <w:t xml:space="preserve"> được ủng hộ khi δ âm và giá trị p bootstrap tự hồi quy nhỏ hơn ngưỡng Holm tương ứng.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giả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w:t>
      </w:r>
      <w:r>
        <w:rPr>
          <w:vertAlign w:val="subscript"/>
        </w:rPr>
        <w:t xml:space="preserve">k</w:t>
      </w:r>
      <w:r>
        <w:t xml:space="preserve"> từ tháng 1/2024 đến tháng 5/2025 bằng 0. Độ nhạy của kết luận trước các vi phạm xu hướng song song được đánh giá theo Rambachan và Roth (2023). Vì giữa tháng gốc và giai đoạn sau có 18 tháng chuyển tiếp, khoảng tin cậy theo cách này có thể rất rộng.</w:t>
      </w:r>
      <w:r>
        <w:rPr>
          <w:vertAlign w:val="subscript"/>
        </w:rPr>
        <w:t xml:space="preserve"/>
      </w:r>
      <w:r>
        <w:t xml:space="preserve"/>
      </w:r>
    </w:p>
    <w:p>
      <w:pPr>
        <w:pStyle w:val="FirstParagraph"/>
      </w:pPr>
      <w:r>
        <w:t xml:space="preserve">Việc chuyển sàn đổi ba quy tắc cùng lúc, và mỗi quy tắc tác động mạnh yếu khác nhau tùy cổ phiếu: biên độ hẹp lại chỉ ràng buộc mã thường có lợi suất ngày lớn; bước giá nhỏ đi chủ yếu ở mã giá thấp; việc vào VN-Index và các chỉ số khác của HOSE tạo áp lực cầu lớn hơn ở mã có vốn hóa lớn so với giá trị giao dịch [CẦN XÁC MINH cách HOSE xử lý mã chuyển sàn trong các chỉ số]. Ba mức chịu cú sốc tương ứng được đo bằng dữ liệu đến ngày 30/6/2025: tỷ lệ ngày có lợi suất tuyệt đối từ 7% đến dưới 10%; nghịch đảo của giá đóng cửa bình quân; và tỷ số giữa vốn hóa toàn phần và giá trị giao dịch bình quân ngày, vì VN-Index không điều chỉnh tỷ lệ tự do chuyển nhượng (Sở Giao dịch Chứng khoán Thành phố Hồ Chí Minh, 2026).</w:t>
      </w:r>
    </w:p>
    <w:p>
      <w:pPr>
        <w:pStyle w:val="FirstParagraph"/>
      </w:pPr>
      <w:r>
        <w:t xml:space="preserve">Bộ quy tắc của FTSE Russell coi cả HOSE và HNX là sàn đủ điều kiện ở Việt Nam (FTSE Russell, 2026a), nên việc đổi sàn tự nó không thay đổi tư cách được sàng lọc của một mã và không được coi là một kênh tác động qua chỉ số FTSE. Danh sách cổ phiếu đủ điều kiện, lập với dữ liệu đến ngày 30/6/2026, chỉ gồm mã niêm yết tại HOSE (FTSE Russell, 2026b) và được dùng để loại mã khỏi nhóm đối chứng; nếu mã chuyển sàn nào được đưa vào chỉ số ở các kỳ sau, δ được ước lượng thêm khi loại các mã này.</w:t>
      </w:r>
    </w:p>
    <w:p>
      <w:pPr>
        <w:pStyle w:val="FirstParagraph"/>
      </w:pPr>
      <w:r>
        <w:t xml:space="preserve">Phương trình (5) được mở rộng bằng các số hạng D</w:t>
      </w:r>
      <w:r>
        <w:rPr>
          <w:vertAlign w:val="subscript"/>
        </w:rPr>
        <w:t xml:space="preserve">i</w:t>
      </w:r>
      <w:r>
        <w:t xml:space="preserve">·Post</w:t>
      </w:r>
      <w:r>
        <w:rPr>
          <w:vertAlign w:val="subscript"/>
        </w:rPr>
        <w:t xml:space="preserve">t</w:t>
      </w:r>
      <w:r>
        <w:t xml:space="preserve">·E</w:t>
      </w:r>
      <w:r>
        <w:rPr>
          <w:vertAlign w:val="subscript"/>
        </w:rPr>
        <w:t xml:space="preserve">s</w:t>
      </w:r>
      <w:r>
        <w:t xml:space="preserve">,</w:t>
      </w:r>
      <w:r>
        <w:rPr>
          <w:vertAlign w:val="subscript"/>
        </w:rPr>
        <w:t xml:space="preserve">i</w:t>
      </w:r>
      <w:r>
        <w:t xml:space="preserve">, trong đó E</w:t>
      </w:r>
      <w:r>
        <w:rPr>
          <w:vertAlign w:val="subscript"/>
        </w:rPr>
        <w:t xml:space="preserve">s</w:t>
      </w:r>
      <w:r>
        <w:t xml:space="preserve">,</w:t>
      </w:r>
      <w:r>
        <w:rPr>
          <w:vertAlign w:val="subscript"/>
        </w:rPr>
        <w:t xml:space="preserve">i</w:t>
      </w:r>
      <w:r>
        <w:t xml:space="preserve"> là mức chịu cú sốc s của cổ phiếu i, trừ trung bình và chia cho độ lệch chuẩn giữa các mã chuyển sàn, nên δ là tác động tại mức chịu cú sốc trung bình.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cho mỗi mức chịu cú sốc một hiệu ứng theo tháng riêng, ước lượng trên mã đối chứng đo được cùng thước đo: mã UPCoM với biên độ, mã HOSE với bước giá và chỉ số. Nếu cổ phiếu UPCoM chuyển sang HOSE trong cửa sổ sau (mục 4.3.10), mức chịu cú sốc biên độ của mọi mã được đo bằng tỷ lệ ngày có lợi suất tuyệt đối từ ngưỡng chung trở lên và được ước lượng trên mã HOSE đối chứng; thước đo này chỉ đại diện cho mức chịu ràng buộc của biên độ.</w:t>
      </w:r>
    </w:p>
    <w:p>
      <w:pPr>
        <w:pStyle w:val="BodyText"/>
      </w:pPr>
      <w:r>
        <w:t xml:space="preserve">Giả định nhận dạng là: nếu không chuyển sàn, chênh lệch thanh khoản giữa mã chịu cú sốc mạnh và mã chịu cú sốc yếu trong nhóm chuyển sàn sẽ biến động như ở nhóm đối chứng; giả định này được kiểm tra bằng các hệ số trước sự kiện. Vì các mức chịu cú sốc có thể tương quan với nhau và với quy mô, hệ số tương tác không đo riêng tác động của từng quy tắc; mô hình có thêm tương tác với quy mô và với logarit Amihud ban đầu.</w:t>
      </w:r>
    </w:p>
    <w:p>
      <w:pPr>
        <w:pStyle w:val="FirstParagraph"/>
      </w:pPr>
      <w:r>
        <w:t xml:space="preserve">Mỗi hệ số tương tác được suy luận như δ, vì sai số chuẩn phân cụm theo cổ phiếu bác bỏ quá thường xuyên khi cú sốc chung theo tháng tác động mạnh hơn lên mã chịu cú sốc mạnh: với từng tháng, đề tài lấy hệ số góc của logarit Amihud theo mức chịu cú sốc ở mã chuyển sàn trừ hệ số góc ở mã đối chứng, rồi áp dụng bootstrap tự hồi quy cho chuỗi này. Các hệ số tương tác, kể cả theo trụ sở, là phân tích phụ đăng ký trước, không đưa vào thủ tục Holm.</w:t>
      </w:r>
    </w:p>
    <w:p>
      <w:pPr>
        <w:pStyle w:val="FirstParagraph"/>
      </w:pPr>
      <w:r>
        <w:t xml:space="preserve">Phân tích theo trụ sở kiểm tra xem việc chuyển sàn có tác động khác nhau đến doanh nghiệp có trụ sở tại Hà Nội và doanh nghiệp ở nơi khác hay không. Văn liệu cho thấy nhà quản lý quỹ ưa nắm giữ cổ phiếu của doanh nghiệp có trụ sở gần mình (Coval &amp; Moskowitz, 1999) và thanh khoản của cổ phiếu phụ thuộc vào vị trí trụ sở (Loughran &amp; Schultz, 2005) [CẦN ĐỐI CHIẾU bản gốc của hai bài], nhưng hai bài này nói về khoảng cách giữa nhà đầu tư và doanh nghiệp, không nói về vị trí của sàn. Kênh mà đề tài kiểm tra là sự chú ý và thông tin gắn với nơi đặt sàn: nếu kênh này có thật, cổ phiếu của doanh nghiệp có trụ sở tại Hà Nội được lợi ít hơn khi chuyển sang HOSE.</w:t>
      </w:r>
    </w:p>
    <w:p>
      <w:pPr>
        <w:pStyle w:val="FirstParagraph"/>
      </w:pPr>
      <w:r>
        <w:t xml:space="preserve">Chênh lệch này được ước lượng bằng tương tác giữa 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kèm tích của biến giả này với hiệu ứng cố định theo tháng (ước lượng trên các mã HOSE đối chứng có trụ sở tại Hà Nội) và tương tác với quy mô và ngành.</w:t>
      </w:r>
    </w:p>
    <w:p>
      <w:pPr>
        <w:pStyle w:val="FirstParagraph"/>
      </w:pPr>
      <w:r>
        <w:t xml:space="preserve">Chênh lệch theo trụ sở là ước lượng dị biệt trong cùng một thiết kế, không phải tác động nhân quả của vị trí trụ sở, và không đo lượng thanh khoản mà thị trường vốn Hà Nội mất, vì mọi mã đều chuyển sang HOSE. Khoảng tin cậy hẹp quanh 0 sẽ không ủng hộ vai trò của vị trí sàn khi giao dịch đã điện tử hóa toàn quốc.</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Điểm GFCI đã chứa vốn hóa, giá trị và khối lượng giao dịch cổ phiếu từ Liên đoàn các Sở Giao dịch Thế giới (3 trong 144 nhân tố của kỳ GFCI 40; Wardle &amp; Mainelli, 2026), và trung tâm mạnh có thể kéo theo giao dịch cổ phiếu, nên </w:t>
      </w:r>
      <w:r>
        <w:rPr>
          <w:i/>
          <w:iCs/>
        </w:rPr>
        <w:t xml:space="preserve">β</w:t>
      </w:r>
      <w:r>
        <w:t xml:space="preserve"> được gọi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Nhóm đối chứng HOSE chịu ba thay đổi trùng thời gian: FTSE Russell đưa cổ phiếu Việt Nam vào chỉ số theo bốn đợt từ tháng 9/2026 đến tháng 9/2027 (FTSE Russell, 2026b); HOSE dự kiến công bố phân loại cổ phiếu vào Bảng Chính và Bảng Tiêu chuẩn lần đầu ngày 28/12/2026, theo dự thảo quy chế đang lấy ý kiến (Tuổi Trẻ Online, 2026); và VN-Index, vốn tự động cập nhật danh mục sau ngày giao dịch đầu tiên của cổ phiếu niêm yết mới (Sở Giao dịch Chứng khoán Thành phố Hồ Chí Minh, 2026), nhiều khả năng nhận các mã chuyển sàn từ phiên thứ hai trên HOSE [CẦN XÁC MINH cách HOSE xử lý mã chuyển sàn trong VN-Index và quy chế phân bảng chính thức].</w:t>
      </w:r>
    </w:p>
    <w:p w:rsidR="005D3DB2" w:rsidRDefault="00000000">
      <w:pPr>
        <w:pStyle w:val="FirstParagraph"/>
      </w:pPr>
      <w:r>
        <w:t xml:space="preserve">Vì vậy nhóm đối chứng HOSE loại các mã thuộc danh sách đủ điều kiện của FTSE Russell, δ được ước lượng thêm với biến giả nhóm bảng phân loại, và thanh khoản của từng nhóm đối chứng được so với xu hướng trước của chính nhóm đó.</w:t>
      </w:r>
    </w:p>
    <w:p w:rsidR="005D3DB2" w:rsidRDefault="00000000">
      <w:pPr>
        <w:pStyle w:val="FirstParagraph"/>
      </w:pPr>
      <w:r>
        <w:t xml:space="preserve">Ủy ban Chứng khoán Nhà nước cũng đang nghiên cứu nới biên độ và giao dịch xuyên trưa (Thời báo Tài chính Việt Nam, 2026). Nếu các thay đổi này được áp dụng trong cửa sổ sau, ngày áp dụng được ghi là một cú sốc trùng thời gian và ước lượng được báo cáo thêm với cửa sổ sau cắt tại ngày đó.</w:t>
      </w:r>
    </w:p>
    <w:p w:rsidR="005D3DB2" w:rsidRDefault="00000000">
      <w:pPr>
        <w:pStyle w:val="FirstParagraph"/>
      </w:pPr>
      <w:r>
        <w:t xml:space="preserve">Nếu nhóm đối chứng HOSE mất thanh khoản do dòng lệnh chuyển sang cổ phiếu chuyển sàn, δ phóng đại tác động, và ước lượng với nhóm đối chứng UPCoM, nếu nhóm này còn dữ liệu sau sự kiện, là một cận khác. Ngược lại, nếu thanh khoản lan tỏa dương sang nhóm đối chứng HOSE, như đã ghi nhận ở Tel Aviv (Amihud và cộng sự, 1997) và quanh đợt hợp nhất Tokyo–Osaka (Hisada, 2018), δ đánh giá thấp tác động.</w:t>
      </w:r>
    </w:p>
    <w:p w:rsidR="005D3DB2" w:rsidRDefault="00000000">
      <w:pPr>
        <w:pStyle w:val="FirstParagraph"/>
      </w:pPr>
      <w:r>
        <w:t xml:space="preserve">Thứ ba, việc rời mẫu không liên quan đến sự kiện; đề tài báo cáo tỷ lệ mã hủy niêm yết ở từng nhóm và ước lượng lại trên bảng cân bằng. Vì việc chuyển sàn đổi cùng lúc biên độ, bước giá, hệ thống giao dịch và tư cách thành phần chỉ số, δ đo tác động gộp của sàn, không đo riêng từng quy tắc.</w:t>
      </w:r>
    </w:p>
    <w:p w14:paraId="6A2099F9" w14:textId="77777777" w:rsidR="005D3DB2" w:rsidRDefault="00000000">
      <w:pPr>
        <w:pStyle w:val="BodyText"/>
      </w:pPr>
      <w:r>
        <w:rPr>
          <w:b/>
          <w:bCs/>
        </w:rPr>
        <w:t xml:space="preserve">Từ bằng chứng đến định hướng cho Hà Nội.</w:t>
      </w:r>
      <w:r>
        <w:t xml:space="preserve"> Kết quả H</w:t>
      </w:r>
      <w:r>
        <w:rPr>
          <w:vertAlign w:val="subscript"/>
        </w:rPr>
        <w:t xml:space="preserve">1</w:t>
      </w:r>
      <w:r>
        <w:t xml:space="preserve">–H</w:t>
      </w:r>
      <w:r>
        <w:rPr>
          <w:vertAlign w:val="subscript"/>
        </w:rPr>
        <w:t xml:space="preserve">4</w:t>
      </w:r>
      <w:r>
        <w:t xml:space="preserve"> được tổng hợp cùng phép so sánh vai trò của Hà Nội với Bắc Kinh và Thượng Hải (Lai, 2012; Wang và cộng sự, 2007) và với Thành phố Hồ Chí Minh, dựa trên văn bản chính sách và dữ liệu công khai, thành định hướng chuyên môn hóa cho các thị trường mà HNX tiếp tục vận hành. Phần này là tổng hợp định tính, không kiểm định giả thuyết.</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chủ yếu vào số tháng trước và sau sự kiện, phương sai và mức tự tương quan của chuỗi chênh lệch theo tháng, và chỉ phụ thuộc yếu vào số cổ phiếu.</w:t>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Chẳng hạn, với σ = 0,2 và φ = 0,6, đề tài chỉ phát hiện được mức giảm logarit Amihud từ khoảng 0,25, tương đương độ phi thanh khoản giảm khoảng 22%. Đây là giả định minh họa; σ, φ và hiệu ứng nhỏ nhất phát hiện được sẽ được ước lượng lại từ giai đoạn tham chiếu và ghi vào tệp đăng ký.</w:t>
      </w:r>
    </w:p>
    <w:p w:rsidR="005D3DB2" w:rsidRDefault="00000000">
      <w:pPr>
        <w:pStyle w:val="FirstParagraph"/>
      </w:pPr>
      <w:r>
        <w:t xml:space="preserve">H</w:t>
      </w:r>
      <w:r>
        <w:rPr>
          <w:vertAlign w:val="subscript"/>
        </w:rPr>
        <w:t xml:space="preserve">4</w:t>
      </w:r>
      <w:r>
        <w:t xml:space="preserve"> có ít cửa sổ nên chỉ được báo cáo ở dạng ước lượng, và so sánh theo hai giai đoạn căng thẳng chỉ ở dạng mô tả. Giá trị p đưa vào thủ tục Holm (1979) ở mức 5% là giá trị p một phía: phân cụm theo quốc gia cho H</w:t>
      </w:r>
      <w:r>
        <w:rPr>
          <w:vertAlign w:val="subscript"/>
        </w:rPr>
        <w:t xml:space="preserve">1</w:t>
      </w:r>
      <w:r>
        <w:t xml:space="preserve">, bootstrap khối dừng cho H</w:t>
      </w:r>
      <w:r>
        <w:rPr>
          <w:vertAlign w:val="subscript"/>
        </w:rPr>
        <w:t xml:space="preserve">2</w:t>
      </w:r>
      <w:r>
        <w:t xml:space="preserve"> và bootstrap tự hồi quy cho H</w:t>
      </w:r>
      <w:r>
        <w:rPr>
          <w:vertAlign w:val="subscript"/>
        </w:rPr>
        <w:t xml:space="preserve">3</w:t>
      </w:r>
      <w:r>
        <w:t xml:space="preserve">.</w:t>
      </w:r>
    </w:p>
    <w:p w:rsidR="005D3DB2" w:rsidRDefault="00000000">
      <w:pPr>
        <w:pStyle w:val="FirstParagraph"/>
      </w:pPr>
      <w:r>
        <w:t xml:space="preserve">Ở H</w:t>
      </w:r>
      <w:r>
        <w:rPr>
          <w:vertAlign w:val="subscript"/>
        </w:rPr>
        <w:t xml:space="preserve">1</w:t>
      </w:r>
      <w:r>
        <w:t xml:space="preserve">, đề tài kiểm tra độ vững trên mẫu các trung tâm có ít nhất năm kỳ và trên mẫu cân bằng. Vì kỳ GFCI 40 đã có nhân tố trùng với </w:t>
      </w:r>
      <w:r>
        <w:rPr>
          <w:i/>
          <w:iCs/>
        </w:rPr>
        <w:t xml:space="preserve">SMD</w:t>
      </w:r>
      <w:r>
        <w:t xml:space="preserve"> (Wardle &amp; Mainelli, 2026), H</w:t>
      </w:r>
      <w:r>
        <w:rPr>
          <w:vertAlign w:val="subscript"/>
        </w:rPr>
        <w:t xml:space="preserve">1</w:t>
      </w:r>
      <w:r>
        <w:t xml:space="preserve"> được ước lượng lại trên các kỳ không trùng lặp nếu đủ số kỳ.</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Đợt chuyển ngày 28/12/2026 không gồm UPCoM (Báo Đầu tư Chứng khoán, 2026), nhưng hạn chuyển cổ phiếu UPCoM sang HOSE vẫn là hết ngày 31/12/2026 (Bộ Tài chính, 2023), nên UPCoM có thể chuyển sàn trong cửa sổ sau, theo một đợt riêng hoặc sau khi mốc này được lùi. Khi đó, nhóm đối chứng UPCoM và chỉ số của UPCoM chỉ được dùng đến tháng liền trước ngày chuyển, ước lượng chính dựa vào nhóm đối chứng HOSE, và tương tác theo biên độ dùng thước đo thay thế ở mục 4.3.7.</w:t>
      </w:r>
    </w:p>
    <w:p w:rsidR="005D3DB2" w:rsidRDefault="00000000">
      <w:pPr>
        <w:pStyle w:val="BodyText"/>
      </w:pPr>
      <w:r>
        <w:t xml:space="preserve">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toàn bộ tháng có sẵn và rổ 20 cổ phiếu.</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là cấu hình cơ sở của bảy mô hình phân bổ. Thị trường trái phiếu và phái sinh chỉ được xét trong phần định hướng chuyên môn hóa. Đề tài không đánh giá chính sách nào khác ngoài đợt chuyển sàn và không khảo sát nhà đầu tư.</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một sự kiện, khi các giả định ở mục 4.3.8 được thỏa mãn; kết luận về H</w:t>
      </w:r>
      <w:r>
        <w:rPr>
          <w:vertAlign w:val="subscript"/>
        </w:rPr>
        <w:t xml:space="preserve">4</w:t>
      </w:r>
      <w:r>
        <w:t xml:space="preserve"> chỉ áp dụng cho rổ CS.</w:t>
      </w:r>
    </w:p>
    <w:p>
      <w:pPr>
        <w:pStyle w:val="BodyText"/>
      </w:pPr>
      <w:r>
        <w:t xml:space="preserve">Đề tài không giải quyết trọn bài toán số 19: câu hỏi số 2 và số 4 nằm ngoài phạm vi, và với câu hỏi số 3, đề tài chỉ cung cấp thước đo nền.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w:t>
      </w:r>
    </w:p>
    <w:p>
      <w:pPr>
        <w:pStyle w:val="BodyText"/>
      </w:pPr>
      <w:r>
        <w:t xml:space="preserve">Trước khi nộp hồ sơ đề nghị hỗ trợ, thí sinh sẽ xin văn bản xác nhận nhu cầu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Thứ nhất, theo Thông báo tuyển sinh năm 2026, chương trình Tiến sĩ Kinh tế và Quản lý có tính liên ngành, tập trung vào kinh tế hành vi và quản lý trong lĩnh vực kinh tế; đề tài thuộc tài chính định lượng và giao thoa với quản lý ở phần định hướng chuyên môn hóa thị trường vốn Hà Nội.</w:t>
      </w:r>
    </w:p>
    <w:p w:rsidR="005D3DB2" w:rsidRDefault="00000000">
      <w:pPr>
        <w:pStyle w:val="BodyText"/>
      </w:pPr>
      <w:r>
        <w:t xml:space="preserve">Thứ hai, chương trình giảng dạy bằng tiếng Anh hoặc tiếng Việt. Học bằng tiếng Anh thuận lợi cho công bố quốc tế, và thí sinh có chứng chỉ tiếng Anh Bậc 4 theo Khung năng lực ngoại ngữ 6 bậc dùng cho Việt Nam. Thứ ba,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 xml:space="preserve">Trong hai quý đầu năm thứ nhất, thí sinh hoàn thành 9 tín chỉ học bổ sung (học phần Hành vi tổ chức và Lãnh đạo cùng hai học phần tự chọn) và các học phần theo chương trình, ưu tiên học phần tự chọn về kinh tế lượng chuỗi thời gian và phương pháp nghiên cứu định lượng.</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số 7 ở Bảng 7, về thanh khoản cổ phiếu quanh đợt nâng hạng thị trường của FTSE Russell, cho thí sinh kinh nghiệm với nghiên cứu sự kiện trên thanh khoản, công cụ trực tiếp của H</w:t>
      </w:r>
      <w:r>
        <w:rPr>
          <w:vertAlign w:val="subscript"/>
        </w:rPr>
        <w:t xml:space="preserve">3</w:t>
      </w:r>
      <w:r>
        <w:t xml:space="preserve">; bản thảo số 5, về điểm gãy cấu trúc của thanh khoản, cho thí sinh kinh nghiệm với độ phi thanh khoản Amihud và phương pháp Bai-Perron. Bài báo Nguyễn và Nguyễn (2026a) là nền của mô hình M</w:t>
      </w:r>
      <w:r>
        <w:rPr>
          <w:vertAlign w:val="subscript"/>
        </w:rPr>
        <w:t xml:space="preserve">5</w:t>
      </w:r>
      <w:r>
        <w:t xml:space="preserve">, và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 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Chỉ số chất lượng thị trường vốn sang thị trường trái phiếu chính phủ và phái sinh do HNX vận hành, đánh giá tác động dài hạn của đợt hợp nhất,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Báo Đầu tư Chứng khoán. (2026). HNX nhập HOSE, UPCoM còn doanh nghiệp nào đang chia cổ tức tốt với P/E rẻ? [Bài báo ngày 06/10/2026].</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(2025). </w:t>
      </w:r>
      <w:r>
        <w:rPr>
          <w:i/>
          <w:iCs/>
        </w:rPr>
        <w:t xml:space="preserve">Quy định giao dịch đăng website HOSE</w:t>
      </w:r>
      <w:r>
        <w:t xml:space="preserve"> [Kèm theo Tờ trình số 51/TTr-HTGD ngày 26/4/2025].</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https://doi.org/10.1111/1475-6773.12993</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(2026a, September). </w:t>
      </w:r>
      <w:r>
        <w:rPr>
          <w:i/>
          <w:iCs/>
        </w:rPr>
        <w:t xml:space="preserve">FTSE Global Equity Index Series ground rules</w:t>
      </w:r>
      <w:r>
        <w:t xml:space="preserve"> (Version 14.4). LSEG.</w:t>
      </w:r>
    </w:p>
    <w:p>
      <w:pPr>
        <w:pStyle w:val="Reference"/>
      </w:pPr>
      <w:r>
        <w:t xml:space="preserve">FTSE Russell. (2026b,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