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bước giá của HOSE trước ngày 12/9/2016].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bắt đầu có giao dịch [CẦN XÁC MINH ngày giao dịch đầu tiên của UPCoM trên văn bản của HNX].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k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k</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nary>
          <m:naryPr>
            <m:chr m:val="∑"/>
            <m:limLoc m:val="undOvr"/>
            <m:ctrlPr>
              <w:rPr>
                <w:rFonts w:ascii="Cambria Math" w:hAnsi="Cambria Math"/>
              </w:rPr>
            </m:ctrlPr>
          </m:naryPr>
          <m:sub>
            <m: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J</m:t>
            </m:r>
          </m:sup>
          <m:e>
            <m:sSub>
              <m:sSubPr>
                <m:ctrlPr>
                  <w:rPr>
                    <w:rFonts w:ascii="Cambria Math" w:hAnsi="Cambria Math"/>
                  </w:rPr>
                </m:ctrlPr>
              </m:sSubPr>
              <m:e>
                <m:r>
                  <w:rPr>
                    <w:rFonts w:ascii="Cambria Math" w:hAnsi="Cambria Math"/>
                  </w:rPr>
                  <m:t xml:space="preserve">w</m:t>
                </m:r>
              </m:e>
              <m:sub>
                <m:r>
                  <w:rPr>
                    <w:rFonts w:ascii="Cambria Math" w:hAnsi="Cambria Math"/>
                  </w:rPr>
                  <m:t xml:space="preserve">j</m:t>
                </m:r>
              </m:sub>
            </m:sSub>
            <m:sSub>
              <m:sSubPr>
                <m:ctrlPr>
                  <w:rPr>
                    <w:rFonts w:ascii="Cambria Math" w:hAnsi="Cambria Math"/>
                  </w:rPr>
                </m:ctrlPr>
              </m:sSubPr>
              <m:e>
                <m:r>
                  <w:rPr>
                    <w:rFonts w:ascii="Cambria Math" w:hAnsi="Cambria Math"/>
                  </w:rPr>
                  <m:t xml:space="preserve">z</m:t>
                </m:r>
              </m:e>
              <m:sub>
                <m:r>
                  <w:rPr>
                    <w:rFonts w:ascii="Cambria Math" w:hAnsi="Cambria Math"/>
                  </w:rPr>
                  <m:t xml:space="preserve">j</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
                  <w:rPr>
                    <w:rFonts w:ascii="Cambria Math" w:hAnsi="Cambria Math"/>
                  </w:rPr>
                  <m:t xml:space="preserve">t</m:t>
                </m:r>
              </m:sub>
            </m:sSub>
          </m:e>
        </m:nary>
      </m:oMath>
      <w:r>
        <w:t xml:space="preserve"> </w:t>
        <w:tab/>
        <w:t>(1)</w:t>
      </w:r>
    </w:p>
    <w:p>
      <w:pPr>
        <w:pStyle w:val="FirstParagraph"/>
      </w:pPr>
      <w:r>
        <w:t xml:space="preserve">trong đó MQI là Chỉ số chất lượng thị trường vốn, J = 6 là số chỉ báo, </w:t>
      </w:r>
      <w:r>
        <w:rPr>
          <w:i/>
          <w:iCs/>
        </w:rPr>
        <w:t xml:space="preserve">z</w:t>
      </w:r>
      <w:r>
        <w:rPr>
          <w:vertAlign w:val="subscript"/>
        </w:rPr>
        <w:t xml:space="preserve">j,k,t</w:t>
      </w:r>
      <w:r>
        <w:t xml:space="preserve"> là điểm z của chỉ báo j, và </w:t>
      </w:r>
      <w:r>
        <w:rPr>
          <w:i/>
          <w:iCs/>
        </w:rPr>
        <w:t xml:space="preserve">w</w:t>
      </w:r>
      <w:r>
        <w:rPr>
          <w:vertAlign w:val="subscript"/>
        </w:rPr>
        <w:t xml:space="preserve">j</w:t>
      </w:r>
      <w:r>
        <w:t xml:space="preserve"> = 1/(3·</w:t>
      </w:r>
      <w:r>
        <w:rPr>
          <w:i/>
          <w:iCs/>
        </w:rPr>
        <w:t xml:space="preserve">n</w:t>
      </w:r>
      <w:r>
        <w:rPr>
          <w:vertAlign w:val="subscript"/>
        </w:rPr>
        <w:t xml:space="preserve">d(j)</w:t>
      </w:r>
      <w:r>
        <w:t xml:space="preserve">) là trọng số, với </w:t>
      </w:r>
      <w:r>
        <w:rPr>
          <w:i/>
          <w:iCs/>
        </w:rPr>
        <w:t xml:space="preserve">n</w:t>
      </w:r>
      <w:r>
        <w:rPr>
          <w:vertAlign w:val="subscript"/>
        </w:rPr>
        <w:t xml:space="preserve">d(j)</w:t>
      </w:r>
      <w:r>
        <w:t xml:space="preserve"> là số chỉ báo thuộc chiều chứa chỉ báo j; k chỉ sàn (sàn niêm yết HNX, UPCoM hoặc HOSE). Trọng số từ thành phần chính thứ nhất và cách gộp bỏ lần lượt từng chiều là kiểm tra độ vững (OECD, 2008).</w:t>
      </w:r>
      <w:r>
        <w:rPr>
          <w:vertAlign w:val="subscript"/>
        </w:rPr>
        <w:t xml:space="preserve"/>
      </w:r>
      <w:r>
        <w:t xml:space="preserve"/>
      </w:r>
      <w:r>
        <w:rPr>
          <w:vertAlign w:val="subscript"/>
        </w:rPr>
        <w:t xml:space="preserve"/>
      </w:r>
      <w:r>
        <w:t xml:space="preserve"/>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Việt Nam trong bài báo Nguyễn và Nguyễn (2026a) và trong các bản thảo số 5 và số 7 ở Bảng 7 [CẦN XÁC MINH phạm vi sàn của từng bài].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Gọi M = {M</w:t>
      </w:r>
      <w:r>
        <w:rPr>
          <w:vertAlign w:val="subscript"/>
        </w:rPr>
        <w:t xml:space="preserve">1</w:t>
      </w:r>
      <w:r>
        <w:t xml:space="preserve">, …, M</w:t>
      </w:r>
      <w:r>
        <w:rPr>
          <w:vertAlign w:val="subscript"/>
        </w:rPr>
        <w:t xml:space="preserve">7</w:t>
      </w:r>
      <w:r>
        <w:t xml:space="preserve">} là tập mô hình ở Bảng 3 và b ∈ {H, CS} là rổ, trong đó CS là rổ cổ phiếu chuyển sàn và H là rổ cổ phiếu HOSE được ghép với CS. Với cửa sổ đánh giá kết thúc tại t, </w:t>
      </w:r>
      <w:r>
        <w:rPr>
          <w:i/>
          <w:iCs/>
        </w:rPr>
        <w:t xml:space="preserve">μ</w:t>
      </w:r>
      <w:r>
        <w:rPr>
          <w:vertAlign w:val="subscript"/>
        </w:rPr>
        <w:t xml:space="preserve">m,b,t</w:t>
      </w:r>
      <w:r>
        <w:t xml:space="preserve"> và </w:t>
      </w:r>
      <w:r>
        <w:rPr>
          <w:i/>
          <w:iCs/>
        </w:rPr>
        <w:t xml:space="preserve">σ</w:t>
      </w:r>
      <w:r>
        <w:t xml:space="preserve">²</w:t>
      </w:r>
      <w:r>
        <w:rPr>
          <w:vertAlign w:val="subscript"/>
        </w:rPr>
        <w:t xml:space="preserve">m,b,t</w:t>
      </w:r>
      <w:r>
        <w:t xml:space="preserve">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μ</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bSup>
          <m:sSubSupPr>
            <m:ctrlPr>
              <w:rPr>
                <w:rFonts w:ascii="Cambria Math" w:hAnsi="Cambria Math"/>
              </w:rPr>
            </m:ctrlPr>
          </m:sSubSupPr>
          <m:e>
            <m:r>
              <w:rPr>
                <w:rFonts w:ascii="Cambria Math" w:hAnsi="Cambria Math"/>
              </w:rPr>
              <m:t xml:space="preserve">σ</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t</m:t>
            </m:r>
          </m:sub>
          <m:sup>
            <m:r>
              <m:rPr>
                <m:sty m:val="p"/>
              </m:rPr>
              <w:rPr>
                <w:rFonts w:ascii="Cambria Math" w:hAnsi="Cambria Math"/>
              </w:rPr>
              <m:t xml:space="preserve">2</m:t>
            </m:r>
          </m:sup>
        </m:sSub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m:rPr>
                <m:sty m:val="p"/>
              </m:rPr>
              <w:rPr>
                <w:rFonts w:ascii="Cambria Math" w:hAnsi="Cambria Math"/>
              </w:rPr>
              <m:t xml:space="preserve">H</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r>
              <m:rPr>
                <m:sty m:val="p"/>
              </m:rPr>
              <w:rPr>
                <w:rFonts w:ascii="Cambria Math" w:hAnsi="Cambria Math"/>
              </w:rPr>
              <m:t xml:space="preserve">,</m:t>
            </m:r>
            <m:r>
              <m:rPr>
                <m:sty m:val="p"/>
              </m:rPr>
              <w:rPr>
                <w:rFonts w:ascii="Cambria Math" w:hAnsi="Cambria Math"/>
              </w:rPr>
              <m:t xml:space="preserve">CS</m:t>
            </m:r>
            <m:r>
              <m:rPr>
                <m:sty m:val="p"/>
              </m:rPr>
              <w:rPr>
                <w:rFonts w:ascii="Cambria Math" w:hAnsi="Cambria Math"/>
              </w:rPr>
              <m:t xml:space="preserve">,</m:t>
            </m:r>
            <m:r>
              <w:rPr>
                <w:rFonts w:ascii="Cambria Math" w:hAnsi="Cambria Math"/>
              </w:rPr>
              <m:t xml:space="preserve">t</m:t>
            </m:r>
          </m:sub>
        </m:sSub>
      </m:oMath>
      <w:r>
        <w:t xml:space="preserve"> </w:t>
        <w:tab/>
        <w:t>(3)</w:t>
      </w:r>
    </w:p>
    <w:p>
      <w:pPr>
        <w:pStyle w:val="FirstParagraph"/>
      </w:pPr>
      <w:r>
        <w:t xml:space="preserve">Chỉ số khả năng đầu tư là khoảng cách bình quân theo bảy mô hình:</w:t>
      </w:r>
    </w:p>
    <w:p>
      <w:pPr>
        <w:pStyle w:val="Equation"/>
      </w:pPr>
      <w:r>
        <w:tab/>
      </w:r>
      <m:oMath>
        <m:sSub>
          <m:sSubPr>
            <m:ctrlPr>
              <w:rPr>
                <w:rFonts w:ascii="Cambria Math" w:hAnsi="Cambria Math"/>
              </w:rPr>
            </m:ctrlPr>
          </m:sSubPr>
          <m:e>
            <m:bar>
              <m:barPr>
                <m:pos m:val="top"/>
                <m:ctrlPr>
                  <w:rPr>
                    <w:rFonts w:ascii="Cambria Math" w:hAnsi="Cambria Math"/>
                  </w:rPr>
                </m:ctrlPr>
              </m:barPr>
              <m:e>
                <m:r>
                  <w:rPr>
                    <w:rFonts w:ascii="Cambria Math" w:hAnsi="Cambria Math"/>
                  </w:rPr>
                  <m:t xml:space="preserve">G</m:t>
                </m:r>
              </m:e>
            </m:bar>
          </m:e>
          <m:sub>
            <m:r>
              <w:rPr>
                <w:rFonts w:ascii="Cambria Math" w:hAnsi="Cambria Math"/>
              </w:rPr>
              <m:t xml:space="preserve">t</m:t>
            </m:r>
          </m:sub>
        </m:sSub>
        <m:r>
          <m:rPr>
            <m:sty m:val="p"/>
          </m:rPr>
          <w:rPr>
            <w:rFonts w:ascii="Cambria Math" w:hAnsi="Cambria Math"/>
          </w:rPr>
          <m:t xml:space="preserve">=</m:t>
        </m:r>
        <m:f>
          <m:fPr>
            <m:ctrlPr>
              <w:rPr>
                <w:rFonts w:ascii="Cambria Math" w:hAnsi="Cambria Math"/>
              </w:rPr>
            </m:ctrlPr>
          </m:fPr>
          <m:num>
            <m:r>
              <m:rPr>
                <m:sty m:val="p"/>
              </m:rPr>
              <w:rPr>
                <w:rFonts w:ascii="Cambria Math" w:hAnsi="Cambria Math"/>
              </w:rPr>
              <m:t xml:space="preserve">1</m:t>
            </m:r>
          </m:num>
          <m:den>
            <m:d>
              <m:dPr>
                <m:begChr m:val="|"/>
                <m:endChr m:val="|"/>
                <m:ctrlPr>
                  <w:rPr>
                    <w:rFonts w:ascii="Cambria Math" w:hAnsi="Cambria Math"/>
                  </w:rPr>
                </m:ctrlPr>
              </m:dPr>
              <m:e>
                <m:r>
                  <w:rPr>
                    <w:rFonts w:ascii="Cambria Math" w:hAnsi="Cambria Math"/>
                  </w:rPr>
                  <m:t xml:space="preserve">M</m:t>
                </m:r>
              </m:e>
            </m:d>
          </m:den>
        </m:f>
        <m:nary>
          <m:naryPr>
            <m:chr m:val="∑"/>
            <m:limLoc m:val="undOvr"/>
            <m:supHide m:val="1"/>
            <m:ctrlPr>
              <w:rPr>
                <w:rFonts w:ascii="Cambria Math" w:hAnsi="Cambria Math"/>
              </w:rPr>
            </m:ctrlPr>
          </m:naryPr>
          <m:sub>
            <m:r>
              <w:rPr>
                <w:rFonts w:ascii="Cambria Math" w:hAnsi="Cambria Math"/>
              </w:rPr>
              <m:t xml:space="preserve">m</m:t>
            </m:r>
            <m:r>
              <m:rPr>
                <m:sty m:val="p"/>
              </m:rPr>
              <w:rPr>
                <w:rFonts w:ascii="Cambria Math" w:hAnsi="Cambria Math"/>
              </w:rPr>
              <m:t xml:space="preserve">∈</m:t>
            </m:r>
            <m:r>
              <w:rPr>
                <w:rFonts w:ascii="Cambria Math" w:hAnsi="Cambria Math"/>
              </w:rPr>
              <m:t xml:space="preserve">M</m:t>
            </m:r>
          </m:sub>
          <m:sup/>
          <m:e>
            <m:sSub>
              <m:sSubPr>
                <m:ctrlPr>
                  <w:rPr>
                    <w:rFonts w:ascii="Cambria Math" w:hAnsi="Cambria Math"/>
                  </w:rPr>
                </m:ctrlPr>
              </m:sSubPr>
              <m:e>
                <m:r>
                  <w:rPr>
                    <w:rFonts w:ascii="Cambria Math" w:hAnsi="Cambria Math"/>
                  </w:rPr>
                  <m:t xml:space="preserve">G</m:t>
                </m:r>
              </m:e>
              <m:sub>
                <m:r>
                  <w:rPr>
                    <w:rFonts w:ascii="Cambria Math" w:hAnsi="Cambria Math"/>
                  </w:rPr>
                  <m:t xml:space="preserve">m</m:t>
                </m:r>
                <m:r>
                  <m:rPr>
                    <m:sty m:val="p"/>
                  </m:rPr>
                  <w:rPr>
                    <w:rFonts w:ascii="Cambria Math" w:hAnsi="Cambria Math"/>
                  </w:rPr>
                  <m:t xml:space="preserve">,</m:t>
                </m:r>
                <m:r>
                  <w:rPr>
                    <w:rFonts w:ascii="Cambria Math" w:hAnsi="Cambria Math"/>
                  </w:rPr>
                  <m:t xml:space="preserve">t</m:t>
                </m:r>
              </m:sub>
            </m:sSub>
          </m:e>
        </m:nary>
      </m:oMath>
      <w:r>
        <w:t xml:space="preserve"> </w:t>
        <w:tab/>
        <w:t>(4)</w:t>
      </w:r>
    </w:p>
    <w:p>
      <w:pPr>
        <w:pStyle w:val="FirstParagraph"/>
      </w:pPr>
      <w:r>
        <w:t xml:space="preserve">Chỉ số khả năng đầu tư tính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m,t</w:t>
      </w:r>
      <w:r>
        <w:t xml:space="preserve"> theo m.</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G</w:t>
      </w:r>
      <w:r>
        <w:rPr>
          <w:vertAlign w:val="subscript"/>
        </w:rPr>
        <w:t xml:space="preserve">m,t</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m:t>
        </m:r>
        <m:r>
          <w:rPr>
            <w:rFonts w:ascii="Cambria Math" w:hAnsi="Cambria Math"/>
          </w:rPr>
          <m:t xml:space="preserve">δ</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m:rPr>
                <m:sty m:val="p"/>
              </m:rP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(5)</w:t>
      </w:r>
    </w:p>
    <w:p>
      <w:pPr>
        <w:pStyle w:val="FirstParagraph"/>
      </w:pPr>
      <w:r>
        <w:t xml:space="preserve">trong đó </w:t>
      </w:r>
      <w:r>
        <w:rPr>
          <w:i/>
          <w:iCs/>
        </w:rPr>
        <w:t xml:space="preserve">A</w:t>
      </w:r>
      <w:r>
        <w:rPr>
          <w:vertAlign w:val="subscript"/>
        </w:rPr>
        <w:t xml:space="preserve">i</w:t>
      </w:r>
      <w:r>
        <w:t xml:space="preserve">,</w:t>
      </w:r>
      <w:r>
        <w:rPr>
          <w:vertAlign w:val="subscript"/>
        </w:rPr>
        <w:t xml:space="preserve">t</w:t>
      </w:r>
      <w:r>
        <w:t xml:space="preserve"> là logarit của độ phi thanh khoản Amihud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w:t>
      </w:r>
      <w:r>
        <w:rPr>
          <w:i/>
          <w:iCs/>
        </w:rPr>
        <w:t xml:space="preserve">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k</m:t>
                </m:r>
              </m:e>
              <m:sub>
                <m:r>
                  <m:rPr>
                    <m:sty m:val="p"/>
                  </m:rPr>
                  <w:rPr>
                    <w:rFonts w:ascii="Cambria Math" w:hAnsi="Cambria Math"/>
                  </w:rPr>
                  <m:t xml:space="preserve">0</m:t>
                </m:r>
              </m:sub>
            </m:sSub>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m:t>
            </m:r>
            <m:r>
              <w:rPr>
                <w:rFonts w:ascii="Cambria Math" w:hAnsi="Cambria Math"/>
              </w:rPr>
              <m:t xml:space="preserve">t</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e>
        </m:nary>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pre</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m:t>
        </m:r>
        <m:r>
          <w:rPr>
            <w:rFonts w:ascii="Cambria Math" w:hAnsi="Cambria Math"/>
          </w:rPr>
          <m:t xml:space="preserve">t</m:t>
        </m:r>
        <m:r>
          <m:rPr>
            <m:sty m:val="p"/>
          </m:rPr>
          <w:rPr>
            <w:rFonts w:ascii="Cambria Math" w:hAnsi="Cambria Math"/>
          </w:rPr>
          <m:t xml:space="preserve">&lt;</m:t>
        </m:r>
        <m:r>
          <m:rPr>
            <m:sty m:val="p"/>
          </m:rPr>
          <w:rPr>
            <w:rFonts w:ascii="Cambria Math" w:hAnsi="Cambria Math"/>
          </w:rPr>
          <m:t xml:space="preserve">1/2024</m:t>
        </m:r>
        <m:r>
          <m:rPr>
            <m:sty m:val="p"/>
          </m:rPr>
          <w:rPr>
            <w:rFonts w:ascii="Cambria Math" w:hAnsi="Cambria Math"/>
          </w:rPr>
          <m:t xml:space="preserve">]</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(6)</w:t>
      </w:r>
    </w:p>
    <w:p>
      <w:pPr>
        <w:pStyle w:val="FirstParagraph"/>
      </w:pPr>
      <w:r>
        <w:t xml:space="preserve">trong đó k, khác với k chỉ sàn ở phương trình (1), chạy từ tháng 1/2024 đến tháng 12/2028, các tháng trước 1/2024 được gộp vào một biến giả chung, </w:t>
      </w:r>
      <w:r>
        <w:rPr>
          <w:i/>
          <w:iCs/>
        </w:rPr>
        <w:t xml:space="preserve">k</w:t>
      </w:r>
      <w:r>
        <w:rPr>
          <w:vertAlign w:val="subscript"/>
        </w:rPr>
        <w:t xml:space="preserve">0</w:t>
      </w:r>
      <w:r>
        <w:t xml:space="preserve"> là tháng 6/2025, tức tháng gốc, và 1[t = k] bằng 1 nếu tháng t là tháng k.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r>
        <w:rPr>
          <w:vertAlign w:val="subscript"/>
        </w:rPr>
        <w:t xml:space="preserve"/>
      </w:r>
      <w:r>
        <w:t xml:space="preserve"/>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D</w:t>
      </w:r>
      <w:r>
        <w:rPr>
          <w:vertAlign w:val="subscript"/>
        </w:rPr>
        <w:t xml:space="preserve">i</w:t>
      </w:r>
      <w:r>
        <w:t xml:space="preserve">·Post</w:t>
      </w:r>
      <w:r>
        <w:rPr>
          <w:vertAlign w:val="subscript"/>
        </w:rPr>
        <w:t xml:space="preserve">t</w:t>
      </w:r>
      <w:r>
        <w:t xml:space="preserve">·E</w:t>
      </w:r>
      <w:r>
        <w:rPr>
          <w:vertAlign w:val="subscript"/>
        </w:rPr>
        <w:t xml:space="preserve">s</w:t>
      </w:r>
      <w:r>
        <w:t xml:space="preserve">,</w:t>
      </w:r>
      <w:r>
        <w:rPr>
          <w:vertAlign w:val="subscript"/>
        </w:rPr>
        <w:t xml:space="preserve">i</w:t>
      </w:r>
      <w:r>
        <w:t xml:space="preserve">, trong đó E</w:t>
      </w:r>
      <w:r>
        <w:rPr>
          <w:vertAlign w:val="subscript"/>
        </w:rPr>
        <w:t xml:space="preserve">s</w:t>
      </w:r>
      <w:r>
        <w:t xml:space="preserve">,</w:t>
      </w:r>
      <w:r>
        <w:rPr>
          <w:vertAlign w:val="subscript"/>
        </w:rPr>
        <w:t xml:space="preserve">i</w:t>
      </w:r>
      <w:r>
        <w:t xml:space="preserve"> là mức chịu cú sốc s của cổ phiếu i, trừ trung bình và chia cho độ lệch chuẩn giữa các mã chuyển sàn, nên δ là tác động tại mức chịu cú sốc trung bình. Các số hạng E</w:t>
      </w:r>
      <w:r>
        <w:rPr>
          <w:vertAlign w:val="subscript"/>
        </w:rPr>
        <w:t xml:space="preserve">s</w:t>
      </w:r>
      <w:r>
        <w:t xml:space="preserve">,</w:t>
      </w:r>
      <w:r>
        <w:rPr>
          <w:vertAlign w:val="subscript"/>
        </w:rPr>
        <w:t xml:space="preserve">i</w:t>
      </w:r>
      <w: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[CẦN ĐỐI CHIẾU bản gốc của hai bài],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D</w:t>
      </w:r>
      <w:r>
        <w:rPr>
          <w:vertAlign w:val="subscript"/>
        </w:rPr>
        <w:t xml:space="preserve">i</w:t>
      </w:r>
      <w: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γ</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θ</m:t>
            </m:r>
          </m:e>
          <m:sub>
            <m:r>
              <w:rPr>
                <w:rFonts w:ascii="Cambria Math" w:hAnsi="Cambria Math"/>
              </w:rPr>
              <m:t xml:space="preserve">t</m:t>
            </m:r>
          </m:sub>
        </m:sSub>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c</m:t>
            </m:r>
            <m:r>
              <m:rPr>
                <m:sty m:val="p"/>
              </m:rPr>
              <w:rPr>
                <w:rFonts w:ascii="Cambria Math" w:hAnsi="Cambria Math"/>
              </w:rPr>
              <m:t xml:space="preserve">(</m:t>
            </m:r>
            <m:r>
              <w:rPr>
                <w:rFonts w:ascii="Cambria Math" w:hAnsi="Cambria Math"/>
              </w:rPr>
              <m:t xml:space="preserve">i</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)−1</m:t>
            </m:r>
          </m:sub>
        </m:sSub>
        <m:r>
          <m:rPr>
            <m:sty m:val="p"/>
          </m:rPr>
          <w:rPr>
            <w:rFonts w:ascii="Cambria Math" w:hAnsi="Cambria Math"/>
          </w:rPr>
          <m:t xml:space="preserve">+</m:t>
        </m:r>
        <m:sSup>
          <m:sSupPr>
            <m:ctrlPr>
              <w:rPr>
                <w:rFonts w:ascii="Cambria Math" w:hAnsi="Cambria Math"/>
              </w:rPr>
            </m:ctrlPr>
          </m:sSupPr>
          <m:e>
            <m:r>
              <w:rPr>
                <w:rFonts w:ascii="Cambria Math" w:hAnsi="Cambria Math"/>
              </w:rPr>
              <m:t xml:space="preserve">λ</m:t>
            </m:r>
          </m:e>
          <m:sup>
            <m:r>
              <m:rPr>
                <m:sty m:val="p"/>
              </m:rPr>
              <w:rPr>
                <w:rFonts w:ascii="Cambria Math" w:hAnsi="Cambria Math"/>
              </w:rPr>
              <m:t xml:space="preserve">′</m:t>
            </m:r>
          </m:sup>
        </m:sSup>
        <m:sSub>
          <m:sSubPr>
            <m:ctrlPr>
              <w:rPr>
                <w:rFonts w:ascii="Cambria Math" w:hAnsi="Cambria Math"/>
              </w:rPr>
            </m:ctrlPr>
          </m:sSubPr>
          <m:e>
            <m:r>
              <w:rPr>
                <w:rFonts w:ascii="Cambria Math" w:hAnsi="Cambria Math"/>
              </w:rPr>
              <m:t xml:space="preserve">W</m:t>
            </m:r>
          </m:e>
          <m:sub>
            <m:r>
              <w:rPr>
                <w:rFonts w:ascii="Cambria Math" w:hAnsi="Cambria Math"/>
              </w:rPr>
              <m:t xml:space="preserve">c</m:t>
            </m:r>
            <m:r>
              <m:rPr>
                <m:sty m:val="p"/>
              </m:rPr>
              <w:rPr>
                <w:rFonts w:ascii="Cambria Math" w:hAnsi="Cambria Math"/>
              </w:rPr>
              <m:t xml:space="preserve">(</m:t>
            </m:r>
            <m:r>
              <w:rPr>
                <w:rFonts w:ascii="Cambria Math" w:hAnsi="Cambria Math"/>
              </w:rPr>
              <m:t xml:space="preserve">i</m:t>
            </m:r>
            <m:r>
              <m:rPr>
                <m:sty m:val="p"/>
              </m:rPr>
              <w:rPr>
                <w:rFonts w:ascii="Cambria Math" w:hAnsi="Cambria Math"/>
              </w:rPr>
              <m:t xml:space="preserve">),</m:t>
            </m:r>
            <m:r>
              <w:rPr>
                <w:rFonts w:ascii="Cambria Math" w:hAnsi="Cambria Math"/>
              </w:rPr>
              <m:t xml:space="preserve">y</m:t>
            </m:r>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)−1</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u</m:t>
            </m:r>
          </m:e>
          <m:sub>
            <m:r>
              <w:rPr>
                <w:rFonts w:ascii="Cambria Math" w:hAnsi="Cambria Math"/>
              </w:rPr>
              <m:t xml:space="preserve">i</m:t>
            </m:r>
            <m:r>
              <m:rPr>
                <m:sty m:val="p"/>
              </m:rPr>
              <w:rPr>
                <w:rFonts w:ascii="Cambria Math" w:hAnsi="Cambria Math"/>
              </w:rPr>
              <m:t xml:space="preserve">,</m:t>
            </m:r>
            <m:r>
              <w:rPr>
                <w:rFonts w:ascii="Cambria Math" w:hAnsi="Cambria Math"/>
              </w:rPr>
              <m:t xml:space="preserve">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chuẩn hóa thành điểm z trong từng kỳ. Đề tài chuẩn hóa vì điểm GFCI được ước lượng lại mỗi kỳ và số trung tâm thay đổi giữa các kỳ. </w:t>
      </w:r>
      <w:r>
        <w:rPr>
          <w:i/>
          <w:iCs/>
        </w:rPr>
        <w:t xml:space="preserve">SMD</w:t>
      </w:r>
      <w:r>
        <w:rPr>
          <w:vertAlign w:val="subscript"/>
        </w:rPr>
        <w:t xml:space="preserve">c(i),y(t)−1</w:t>
      </w:r>
      <w:r>
        <w:t xml:space="preserve"> là chỉ báo phát triển thị trường cổ phiếu của quốc gia c(i) chứa trung tâm i trong năm liền trước năm y(t) của kỳ t, gộp từ tỷ lệ vòng quay và vốn hóa trên GDP (Čihák và cộng sự, 2012); </w:t>
      </w:r>
      <w:r>
        <w:rPr>
          <w:i/>
          <w:iCs/>
        </w:rPr>
        <w:t xml:space="preserve">W</w:t>
      </w:r>
      <w:r>
        <w:rPr>
          <w:vertAlign w:val="subscript"/>
        </w:rPr>
        <w:t xml:space="preserve">c(i),y(t)−1</w:t>
      </w:r>
      <w:r>
        <w:t xml:space="preserve"> là véc-tơ gồm thu nhập bình quân đầu người và chỉ số quản trị nhà nước (Kaufmann và cộng sự, 2011); </w:t>
      </w:r>
      <w:r>
        <w:rPr>
          <w:i/>
          <w:iCs/>
        </w:rPr>
        <w:t xml:space="preserve">γ</w:t>
      </w:r>
      <w:r>
        <w:rPr>
          <w:vertAlign w:val="subscript"/>
        </w:rPr>
        <w:t xml:space="preserve">i</w:t>
      </w:r>
      <w:r>
        <w:t xml:space="preserve"> và </w:t>
      </w:r>
      <w:r>
        <w:rPr>
          <w:i/>
          <w:iCs/>
        </w:rPr>
        <w:t xml:space="preserve">θ</w:t>
      </w:r>
      <w:r>
        <w:rPr>
          <w:vertAlign w:val="subscript"/>
        </w:rPr>
        <w:t xml:space="preserve">t</w:t>
      </w:r>
      <w:r>
        <w:t xml:space="preserve"> là hiệu ứng cố định theo trung tâm và theo kỳ. Nếu Cơ sở dữ liệu Phát triển Tài chính Toàn cầu không phủ các năm sau 2021, đề tài dùng số liệu của Liên đoàn các Sở Giao dịch Thế giới, sau khi kiểm tra độ phủ và điều khoản sử dụng.</w:t>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vertAlign w:val="subscript"/>
        </w:rPr>
        <w:t xml:space="preserve"/>
      </w:r>
      <w:r>
        <w:t xml:space="preserve"/>
      </w:r>
      <w:r>
        <w:rPr>
          <w:i/>
          <w:iCs/>
        </w:rPr>
        <w:t xml:space="preserve"/>
      </w:r>
      <w:r>
        <w:t xml:space="preserve"/>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i/>
          <w:iCs/>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i/>
          <w:iCs/>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[CẦN BỔ SUNG số hiệu, ngày của Thông báo và mục tương ứng trong danh mục tài liệu],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w:t>
      </w:r>
    </w:p>
    <w:p w14:paraId="53C9A500" w14:textId="77777777" w:rsidR="005D3DB2" w:rsidRDefault="00000000">
      <w:pPr>
        <w:pStyle w:val="BodyText"/>
      </w:pPr>
      <w:r>
        <w:t>Ngoài các công trình trên, thí sinh có chín bản thảo đang ở các bước phản biện hoặc xét duyệt (Bảng 7), trong đó ba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722A5281" w14:textId="77777777">
        <w:trPr>
          <w:cantSplit/>
        </w:trPr>
        <w:tc>
          <w:tcPr>
            <w:tcW w:w="550" w:type="dxa"/>
          </w:tcPr>
          <w:p w14:paraId="1B475C6E" w14:textId="77777777" w:rsidR="005D3DB2" w:rsidRDefault="00000000">
            <w:pPr>
              <w:pStyle w:val="Compact"/>
            </w:pPr>
            <w:r>
              <w:t>1</w:t>
            </w:r>
          </w:p>
        </w:tc>
        <w:tc>
          <w:tcPr>
            <w:tcW w:w="2900" w:type="dxa"/>
          </w:tcPr>
          <w:p w14:paraId="1BB1A867" w14:textId="77777777" w:rsidR="005D3DB2" w:rsidRDefault="00000000">
            <w:pPr>
              <w:pStyle w:val="Compact"/>
            </w:pPr>
            <w:r>
              <w:t>Portfolio optimization with the inverse Black-Litterman framework and clustering machine-learning models: Evidence from Vietnamese bank stocks</w:t>
            </w:r>
          </w:p>
        </w:tc>
        <w:tc>
          <w:tcPr>
            <w:tcW w:w="800" w:type="dxa"/>
          </w:tcPr>
          <w:p w14:paraId="099632FD" w14:textId="77777777" w:rsidR="005D3DB2" w:rsidRDefault="00000000">
            <w:pPr>
              <w:pStyle w:val="Compact"/>
            </w:pPr>
            <w:r>
              <w:t>5</w:t>
            </w:r>
          </w:p>
        </w:tc>
        <w:tc>
          <w:tcPr>
            <w:tcW w:w="2150" w:type="dxa"/>
          </w:tcPr>
          <w:p w14:paraId="622ED6E5" w14:textId="77777777" w:rsidR="005D3DB2" w:rsidRDefault="00000000">
            <w:pPr>
              <w:pStyle w:val="Compact"/>
            </w:pPr>
            <w:r>
              <w:t>Multidisciplinary Science Journal; ISSN 2675-1240; Scopus Q3</w:t>
            </w:r>
          </w:p>
        </w:tc>
        <w:tc>
          <w:tcPr>
            <w:tcW w:w="1500" w:type="dxa"/>
          </w:tcPr>
          <w:p w14:paraId="39F6F7DE" w14:textId="77777777" w:rsidR="005D3DB2" w:rsidRDefault="00000000">
            <w:pPr>
              <w:pStyle w:val="Compact"/>
            </w:pPr>
            <w:r>
              <w:t>Đã sửa xong vòng 2 (mã 19322)</w:t>
            </w:r>
          </w:p>
        </w:tc>
        <w:tc>
          <w:tcPr>
            <w:tcW w:w="888" w:type="dxa"/>
          </w:tcPr>
          <w:p w14:paraId="528FCFF9" w14:textId="77777777" w:rsidR="005D3DB2" w:rsidRDefault="00000000">
            <w:pPr>
              <w:pStyle w:val="Compact"/>
            </w:pPr>
            <w:r>
              <w:t>Có (mô hình danh mục)</w:t>
            </w:r>
          </w:p>
        </w:tc>
      </w:tr>
      <w:tr w:rsidR="005D3DB2" w14:paraId="636303B6" w14:textId="77777777">
        <w:trPr>
          <w:cantSplit/>
        </w:trPr>
        <w:tc>
          <w:tcPr>
            <w:tcW w:w="550" w:type="dxa"/>
          </w:tcPr>
          <w:p w14:paraId="5CAC10E7" w14:textId="77777777" w:rsidR="005D3DB2" w:rsidRDefault="00000000">
            <w:pPr>
              <w:pStyle w:val="Compact"/>
            </w:pPr>
            <w:r>
              <w:t>2</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3</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4</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5</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6</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7</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8</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9</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chín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7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5,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bản thảo số 1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[CẦN BỔ SUNG URL].</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w:t>
      </w:r>
      <w:r>
        <w:rPr>
          <w:i/>
          <w:iCs/>
        </w:rPr>
        <w:t xml:space="preserve">The Journal of Finance</w:t>
      </w:r>
      <w:r>
        <w:t xml:space="preserve">, </w:t>
      </w:r>
      <w:r>
        <w:rPr>
          <w:i/>
          <w:iCs/>
        </w:rPr>
        <w:t xml:space="preserve">54</w:t>
      </w:r>
      <w:r>
        <w:t xml:space="preserve">(6), 2045–2073.</w:t>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[CẦN BỔ SUNG số trang]).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