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700"/>
        <w:gridCol w:w="7088"/>
      </w:tblGrid>
      <w:tr>
        <w:trPr>
          <w:cantSplit/>
          <w:tblHeader/>
        </w:trPr>
        <w:tc>
          <w:tcPr>
            <w:tcW w:w="1700" w:type="dxa"/>
          </w:tcPr>
          <w:p>
            <w:pPr>
              <w:pStyle w:val="Compact"/>
              <w:jc w:val="center"/>
            </w:pPr>
            <w:r>
              <w:rPr>
                <w:b/>
              </w:rPr>
              <w:t xml:space="preserve">Chữ viết tắt</w:t>
            </w:r>
          </w:p>
        </w:tc>
        <w:tc>
          <w:tcPr>
            <w:tcW w:w="7088" w:type="dxa"/>
          </w:tcPr>
          <w:p>
            <w:pPr>
              <w:pStyle w:val="Compact"/>
              <w:jc w:val="center"/>
            </w:pPr>
            <w:r>
              <w:rPr>
                <w:b/>
              </w:rPr>
              <w:t xml:space="preserve">Nghĩa đầy đủ</w:t>
            </w:r>
          </w:p>
        </w:tc>
      </w:tr>
      <w:tr>
        <w:trPr>
          <w:cantSplit/>
        </w:trPr>
        <w:tc>
          <w:tcPr>
            <w:tcW w:w="1700" w:type="dxa"/>
          </w:tcPr>
          <w:p>
            <w:pPr>
              <w:pStyle w:val="Compact"/>
            </w:pPr>
            <w:r>
              <w:t xml:space="preserve">ARIMA</w:t>
            </w:r>
          </w:p>
        </w:tc>
        <w:tc>
          <w:tcPr>
            <w:tcW w:w="7088" w:type="dxa"/>
          </w:tcPr>
          <w:p>
            <w:pPr>
              <w:pStyle w:val="Compact"/>
            </w:pPr>
            <w:r>
              <w:t xml:space="preserve">mô hình tự hồi quy tích hợp trung bình trượt (Autoregressive Integrated Moving Average)</w:t>
            </w:r>
          </w:p>
        </w:tc>
      </w:tr>
      <w:tr>
        <w:trPr>
          <w:cantSplit/>
        </w:trPr>
        <w:tc>
          <w:tcPr>
            <w:tcW w:w="1700" w:type="dxa"/>
          </w:tcPr>
          <w:p>
            <w:pPr>
              <w:pStyle w:val="Compact"/>
            </w:pPr>
            <w:r>
              <w:t xml:space="preserve">CS</w:t>
            </w:r>
          </w:p>
        </w:tc>
        <w:tc>
          <w:tcPr>
            <w:tcW w:w="7088" w:type="dxa"/>
          </w:tcPr>
          <w:p>
            <w:pPr>
              <w:pStyle w:val="Compact"/>
            </w:pPr>
            <w:r>
              <w:t xml:space="preserve">rổ cổ phiếu chuyển sàn</w:t>
            </w:r>
          </w:p>
        </w:tc>
      </w:tr>
      <w:tr>
        <w:trPr>
          <w:cantSplit/>
        </w:trPr>
        <w:tc>
          <w:tcPr>
            <w:tcW w:w="1700" w:type="dxa"/>
          </w:tcPr>
          <w:p>
            <w:pPr>
              <w:pStyle w:val="Compact"/>
            </w:pPr>
            <w:r>
              <w:t xml:space="preserve">GDP</w:t>
            </w:r>
          </w:p>
        </w:tc>
        <w:tc>
          <w:tcPr>
            <w:tcW w:w="7088" w:type="dxa"/>
          </w:tcPr>
          <w:p>
            <w:pPr>
              <w:pStyle w:val="Compact"/>
            </w:pPr>
            <w:r>
              <w:t xml:space="preserve">tổng sản phẩm trong nước (Gross Domestic Product)</w:t>
            </w:r>
          </w:p>
        </w:tc>
      </w:tr>
      <w:tr>
        <w:trPr>
          <w:cantSplit/>
        </w:trPr>
        <w:tc>
          <w:tcPr>
            <w:tcW w:w="1700" w:type="dxa"/>
          </w:tcPr>
          <w:p>
            <w:pPr>
              <w:pStyle w:val="Compact"/>
            </w:pPr>
            <w:r>
              <w:t xml:space="preserve">GFCI</w:t>
            </w:r>
          </w:p>
        </w:tc>
        <w:tc>
          <w:tcPr>
            <w:tcW w:w="7088" w:type="dxa"/>
          </w:tcPr>
          <w:p>
            <w:pPr>
              <w:pStyle w:val="Compact"/>
            </w:pPr>
            <w:r>
              <w:t xml:space="preserve">Chỉ số Trung tâm Tài chính Toàn cầu (Global Financial Centres Index)</w:t>
            </w:r>
          </w:p>
        </w:tc>
      </w:tr>
      <w:tr>
        <w:trPr>
          <w:cantSplit/>
        </w:trPr>
        <w:tc>
          <w:tcPr>
            <w:tcW w:w="1700" w:type="dxa"/>
          </w:tcPr>
          <w:p>
            <w:pPr>
              <w:pStyle w:val="Compact"/>
            </w:pPr>
            <w:r>
              <w:t xml:space="preserve">H</w:t>
            </w:r>
          </w:p>
        </w:tc>
        <w:tc>
          <w:tcPr>
            <w:tcW w:w="7088" w:type="dxa"/>
          </w:tcPr>
          <w:p>
            <w:pPr>
              <w:pStyle w:val="Compact"/>
            </w:pPr>
            <w:r>
              <w:t xml:space="preserve">rổ cổ phiếu HOSE được ghép với rổ CS (khác với H</w:t>
            </w:r>
            <w:r>
              <w:rPr>
                <w:vertAlign w:val="subscript"/>
              </w:rPr>
              <w:t xml:space="preserve">1</w:t>
            </w:r>
            <w:r>
              <w:t xml:space="preserve">–H</w:t>
            </w:r>
            <w:r>
              <w:rPr>
                <w:vertAlign w:val="subscript"/>
              </w:rPr>
              <w:t xml:space="preserve">4</w:t>
            </w:r>
            <w:r>
              <w:t xml:space="preserve">, ký hiệu các giả thuyết)</w:t>
            </w:r>
          </w:p>
        </w:tc>
      </w:tr>
      <w:tr>
        <w:trPr>
          <w:cantSplit/>
        </w:trPr>
        <w:tc>
          <w:tcPr>
            <w:tcW w:w="1700" w:type="dxa"/>
          </w:tcPr>
          <w:p>
            <w:pPr>
              <w:pStyle w:val="Compact"/>
            </w:pPr>
            <w:r>
              <w:t xml:space="preserve">HNX</w:t>
            </w:r>
          </w:p>
        </w:tc>
        <w:tc>
          <w:tcPr>
            <w:tcW w:w="7088" w:type="dxa"/>
          </w:tcPr>
          <w:p>
            <w:pPr>
              <w:pStyle w:val="Compact"/>
            </w:pPr>
            <w:r>
              <w:t xml:space="preserve">Sở Giao dịch Chứng khoán Hà Nội</w:t>
            </w:r>
          </w:p>
        </w:tc>
      </w:tr>
      <w:tr>
        <w:trPr>
          <w:cantSplit/>
        </w:trPr>
        <w:tc>
          <w:tcPr>
            <w:tcW w:w="1700" w:type="dxa"/>
          </w:tcPr>
          <w:p>
            <w:pPr>
              <w:pStyle w:val="Compact"/>
            </w:pPr>
            <w:r>
              <w:t xml:space="preserve">HOSE</w:t>
            </w:r>
          </w:p>
        </w:tc>
        <w:tc>
          <w:tcPr>
            <w:tcW w:w="7088" w:type="dxa"/>
          </w:tcPr>
          <w:p>
            <w:pPr>
              <w:pStyle w:val="Compact"/>
            </w:pPr>
            <w:r>
              <w:t xml:space="preserve">Sở Giao dịch Chứng khoán Thành phố Hồ Chí Minh</w:t>
            </w:r>
          </w:p>
        </w:tc>
      </w:tr>
      <w:tr>
        <w:trPr>
          <w:cantSplit/>
        </w:trPr>
        <w:tc>
          <w:tcPr>
            <w:tcW w:w="1700" w:type="dxa"/>
          </w:tcPr>
          <w:p>
            <w:pPr>
              <w:pStyle w:val="Compact"/>
            </w:pPr>
            <w:r>
              <w:t xml:space="preserve">MQI</w:t>
            </w:r>
          </w:p>
        </w:tc>
        <w:tc>
          <w:tcPr>
            <w:tcW w:w="7088" w:type="dxa"/>
          </w:tcPr>
          <w:p>
            <w:pPr>
              <w:pStyle w:val="Compact"/>
            </w:pPr>
            <w:r>
              <w:t xml:space="preserve">Chỉ số chất lượng thị trường vốn (Market Quality Index)</w:t>
            </w:r>
          </w:p>
        </w:tc>
      </w:tr>
      <w:tr>
        <w:trPr>
          <w:cantSplit/>
        </w:trPr>
        <w:tc>
          <w:tcPr>
            <w:tcW w:w="1700" w:type="dxa"/>
          </w:tcPr>
          <w:p>
            <w:pPr>
              <w:pStyle w:val="Compact"/>
            </w:pPr>
            <w:r>
              <w:t xml:space="preserve">OECD</w:t>
            </w:r>
          </w:p>
        </w:tc>
        <w:tc>
          <w:tcPr>
            <w:tcW w:w="7088" w:type="dxa"/>
          </w:tcPr>
          <w:p>
            <w:pPr>
              <w:pStyle w:val="Compact"/>
            </w:pPr>
            <w:r>
              <w:t xml:space="preserve">Tổ chức Hợp tác và Phát triển Kinh tế (Organisation for Economic Co-operation and Development)</w:t>
            </w:r>
          </w:p>
        </w:tc>
      </w:tr>
      <w:tr>
        <w:trPr>
          <w:cantSplit/>
        </w:trPr>
        <w:tc>
          <w:tcPr>
            <w:tcW w:w="1700" w:type="dxa"/>
          </w:tcPr>
          <w:p>
            <w:pPr>
              <w:pStyle w:val="Compact"/>
            </w:pPr>
            <w:r>
              <w:t xml:space="preserve">OSF</w:t>
            </w:r>
          </w:p>
        </w:tc>
        <w:tc>
          <w:tcPr>
            <w:tcW w:w="7088" w:type="dxa"/>
          </w:tcPr>
          <w:p>
            <w:pPr>
              <w:pStyle w:val="Compact"/>
            </w:pPr>
            <w:r>
              <w:t xml:space="preserve">Open Science Framework</w:t>
            </w:r>
          </w:p>
        </w:tc>
      </w:tr>
      <w:tr>
        <w:trPr>
          <w:cantSplit/>
        </w:trPr>
        <w:tc>
          <w:tcPr>
            <w:tcW w:w="1700" w:type="dxa"/>
          </w:tcPr>
          <w:p>
            <w:pPr>
              <w:pStyle w:val="Compact"/>
            </w:pPr>
            <w:r>
              <w:t xml:space="preserve">SMD</w:t>
            </w:r>
          </w:p>
        </w:tc>
        <w:tc>
          <w:tcPr>
            <w:tcW w:w="7088" w:type="dxa"/>
          </w:tcPr>
          <w:p>
            <w:pPr>
              <w:pStyle w:val="Compact"/>
            </w:pPr>
            <w:r>
              <w:t xml:space="preserve">chỉ báo phát triển thị trường cổ phiếu (Stock Market Development)</w:t>
            </w:r>
          </w:p>
        </w:tc>
      </w:tr>
      <w:tr>
        <w:trPr>
          <w:cantSplit/>
        </w:trPr>
        <w:tc>
          <w:tcPr>
            <w:tcW w:w="1700" w:type="dxa"/>
          </w:tcPr>
          <w:p>
            <w:pPr>
              <w:pStyle w:val="Compact"/>
            </w:pPr>
            <w:r>
              <w:t xml:space="preserve">UPCoM</w:t>
            </w:r>
          </w:p>
        </w:tc>
        <w:tc>
          <w:tcPr>
            <w:tcW w:w="7088" w:type="dxa"/>
          </w:tcPr>
          <w:p>
            <w:pPr>
              <w:pStyle w:val="Compact"/>
            </w:pPr>
            <w:r>
              <w:t xml:space="preserve">thị trường giao dịch cổ phiếu của công ty đại chúng chưa niêm yết</w:t>
            </w:r>
          </w:p>
        </w:tc>
      </w:tr>
      <w:tr>
        <w:trPr>
          <w:cantSplit/>
        </w:trPr>
        <w:tc>
          <w:tcPr>
            <w:tcW w:w="1700" w:type="dxa"/>
          </w:tcPr>
          <w:p>
            <w:pPr>
              <w:pStyle w:val="Compact"/>
            </w:pPr>
            <w:r>
              <w:t xml:space="preserve">VNX</w:t>
            </w:r>
          </w:p>
        </w:tc>
        <w:tc>
          <w:tcPr>
            <w:tcW w:w="70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w:t>
      </w:r>
    </w:p>
    <w:p w:rsidR="005D3DB2" w:rsidRDefault="00000000">
      <w:pPr>
        <w:pStyle w:val="BodyText"/>
      </w:pPr>
      <w:r>
        <w:t xml:space="preserve">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thông báo của Sở Giao dịch Chứng khoán Việt Nam (VNX) ngày 30/9/2026, toàn bộ cổ phiếu niêm yết tại HNX giao dịch phiên cuối ngày 23/12/2026, tạm ngừng giao dịch hai ngày 24 và 25/12/2026, và giao dịch tại HOSE từ ngày 28/12/2026 (Sở Giao dịch Chứng khoán Việt Nam, 2026).</w:t>
      </w:r>
    </w:p>
    <w:p w:rsidR="005D3DB2" w:rsidRDefault="00000000">
      <w:pPr>
        <w:pStyle w:val="BodyText"/>
      </w:pPr>
      <w:r>
        <w:t xml:space="preserve">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mốc này do Thông tư số 69/2023/TT-BTC đặt, thay cho khung từ ngày 01/01/2025 đến hết ngày 30/6/2025 của Thông tư số 57/2021/TT-BTC, và Thông tư số 139/2025/TT-BTC không sửa mốc này. Thông báo của VNX chỉ áp dụng cho cổ phiếu niêm yết và nêu rõ giao dịch tại các thị trường khác do HNX tổ chức vẫn thực hiện theo quy định hiện hành; lịch chuyển cổ phiếu UPCoM chưa được công bố tại thời điểm viết đề cương [CẦN XÁC MINH kế hoạch chuyển cổ phiếu đăng ký giao dịch theo khoản 4 Điều 4 Thông tư số 57/2021/TT-BTC].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w:t>
      </w:r>
    </w:p>
    <w:p w:rsidR="005D3DB2" w:rsidRDefault="00000000">
      <w:pPr>
        <w:pStyle w:val="BodyText"/>
      </w:pPr>
      <w:r>
        <w:t xml:space="preserve">Cặp Hà Nội và Thành phố Hồ Chí Minh có thể so sánh với cặp Bắc Kinh và Thượng Hải. Bắc Kinh là một trung tâm tài chính lớn dù không có sở giao dịch chứng khoán tầm quốc gia trong phần lớn giai đoạn phát triển của mình (Naeem, 2023). Trường hợp này cho thấy một thành phố có thể giữ vai trò trung tâm tài chính mà không cần sàn cổ phiếu, và đặt ra cho Hà Nội câu hỏi chuyên môn hóa (Yao, 2012) sau đợt hợp nhất.</w:t>
      </w:r>
    </w:p>
    <w:p>
      <w:pPr>
        <w:pStyle w:val="BodyText"/>
      </w:pPr>
      <w:r>
        <w:t xml:space="preserve">Bằng chứng quốc tế cho thấy sàn giao dịch ảnh hưởng tới chất lượng giao dịch của cùng một cổ phiếu. Amihud và cộng sự (1997) nghiên cứu việc Sở Giao dịch Chứng khoán Tel Aviv chuyển dần cổ phiếu từ một phiên khớp lệnh định kỳ mỗi ngày sang cơ chế có thêm các phiên giao dịch liên tục, và thấy lợi suất bất thường tích lũy điều chỉnh theo thị trường đạt khoảng 5,5% trong giai đoạn từ năm ngày trước công bố đến 30 ngày sau khi cổ phiếu giao dịch theo cơ chế mới, đồng thời mức tăng thanh khoản đi cùng mức tăng giá.</w:t>
      </w:r>
    </w:p>
    <w:p>
      <w:pPr>
        <w:pStyle w:val="BodyText"/>
      </w:pPr>
      <w:r>
        <w:t xml:space="preserve">Nielsson (2009) thấy việc hình thành Euronext làm thanh khoản tăng ở doanh nghiệp lớn và doanh nghiệp có doanh thu nước ngoài, nhưng không tăng ở doanh nghiệp nhỏ. Ngược lại, Hisada (2018) nghiên cứu việc hợp nhất Sở Giao dịch Chứng khoán Tokyo và Sở Giao dịch Chứng khoán Osaka, với thị trường cổ phiếu của hai sở được hợp nhất ngày 16/7/2013, trên mẫu các cổ phiếu niêm yết tại Tokyo không niêm yết kép tại Osaka, và thấy thanh khoản của nhóm cổ phiếu này tăng trong ngắn hạn nhờ hiệu ứng cộng hưởng và tâm lý nhà đầu tư, trong đó hiệu ứng tâm lý mạnh hơn ở cổ phiếu nhỏ, rồi giảm sau một năm.</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kể cả tác động theo từng kênh biên độ, bước giá và chỉ số, và khác biệt giữa doanh nghiệp có trụ sở tại Hà Nội với doanh nghiệp ở nơi khác. Mục tiêu (iv) là tổng hợp các kết quả thành định hướng chuyên môn hóa và hạ tầng dữ liệu cho thị trường vốn Hà Nội; mục tiêu này là tổng hợp định tính, không kiểm định giả thuyết. Trong bốn giả thuyết, H</w:t>
      </w:r>
      <w:r>
        <w:rPr>
          <w:vertAlign w:val="subscript"/>
        </w:rPr>
        <w:t xml:space="preserve">3</w:t>
      </w:r>
      <w:r>
        <w:t xml:space="preserve"> là kiểm định trọng tâm của luận án;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và một thước đo dùng chung.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Thứ ba, Chỉ số khả năng đầu tư là một thước đo mà các dịch vụ đầu tư mới có thể dùng để so sánh, không phải một sản phẩm của bài toán.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sàn niêm yết HNX, UPCoM và HOSE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báo cáo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trên bảy mô hình phân bổ,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w:t>
      </w:r>
    </w:p>
    <w:p>
      <w:pPr>
        <w:pStyle w:val="FirstParagraph"/>
      </w:pPr>
      <w:r>
        <w:rPr>
          <w:i/>
          <w:iCs/>
        </w:rPr>
        <w:t xml:space="preserve"/>
      </w:r>
      <w:r>
        <w:rPr/>
        <w:t xml:space="preserve">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w:t>
      </w:r>
    </w:p>
    <w:p>
      <w:pPr>
        <w:pStyle w:val="FirstParagraph"/>
      </w:pPr>
      <w:r>
        <w:rPr>
          <w:i/>
          <w:iCs/>
        </w:rPr>
        <w:t xml:space="preserve"/>
      </w:r>
      <w:r>
        <w:rPr/>
        <w:t xml:space="preserve">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w:t>
      </w:r>
    </w:p>
    <w:p w:rsidR="005D3DB2" w:rsidRDefault="00000000">
      <w:pPr>
        <w:pStyle w:val="FirstParagraph"/>
      </w:pPr>
      <w:r>
        <w:rPr>
          <w:i/>
          <w:iCs/>
        </w:rPr>
        <w:t xml:space="preserve"/>
      </w:r>
      <w:r>
        <w:rPr/>
        <w:t xml:space="preserve">Nielsson (2009) thấy lợi ích thanh khoản của việc hình thành Euronext dồn vào doanh nghiệp lớn, còn Hisada (2018) thấy thanh khoản của các cổ phiếu sẵn có trên Sở Giao dịch Chứng khoán Tokyo tăng trong ngắn hạn sau khi thị trường cổ phiếu của Osaka được hợp nhất vào Tokyo năm 2013, hiệu ứng tâm lý mạnh hơn ở cổ phiếu nhỏ, với thước đo là vòng quay và độ phi thanh khoản Amihud. Wójcik (2007) phân tích quan hệ hai chiều giữa sàn chứng khoán và trung tâm tài chính. Bằng chứng về hợp nhất sàn chủ yếu đến từ thị trường phát triển; chẳng hạn, Arnold và cộng sự (1999, dẫn theo Hisada, 2018) thấy hợp nhất sàn làm thanh khoản tăng.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chạm biên độ,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chạm biên độ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giữa các sàn, hiện là ±7% ở HOSE, ±10% ở HNX và ±15% ở UPCoM; theo Điều 4 Thông tư số 120/2020/TT-BTC, biên độ do Sở giao dịch quyết định sau khi Ủy ban Chứng khoán Nhà nước chấp thuận (Bộ Tài chính, 2020) [CẦN XÁC MINH các lần thay đổi biên độ trong giai đoạn 2009–2025], nên chỉ số được so sánh cả trên mẫu đối sánh theo quy mô và ngành và cả khi bỏ hai chỉ báo nhạy với biên độ.</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w:t>
      </w:r>
      <w:r>
        <w:rPr>
          <w:vertAlign w:val="subscript"/>
        </w:rPr>
        <w:t xml:space="preserve">3</w:t>
      </w:r>
      <w:r>
        <w:t xml:space="preserve"> cùng với thay đổi bước giá khi chuyển sàn.</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việc chỉ loại các ngày chạm biên độ chưa đủ, vì sau khi chuyển sàn mọi ngày có lợi suất tuyệt đối từ khoảng 7% đến 10% trở thành ngày chạm biên độ và bị loại, nên các ngày còn lại có lợi suất tuyệt đối nhỏ hơn một cách cơ học. Đề tài vì vậy tính Amihud, ở cả hai nhóm và cả hai giai đoạn, chỉ trên các ngày có lợi suất tuyệt đối dưới một ngưỡng chung thấp hơn biên độ ±7% (giá trị cụ thể ghi trong tệp đăng ký) và không liền sau một ngày chạm biên độ; giá trị giao dịch chỉ gồm giao dịch khớp lệnh; tháng có ít hơn số ngày hợp lệ tối thiểu ghi trong tệp đăng ký được coi là thiếu; tỷ lệ ngày bị loại và tỷ lệ tháng thiếu được báo cáo theo nhóm và giai đoạn. Vòng quay, không bị cắt theo biên độ như Amihud, là thước đo đối chiếu.</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(hợp tác với China Development Institute từ năm 2016) và được thí sinh số hóa từ báo cáo từng kỳ; thí sinh sẽ xin phép Long Finance dùng bộ dữ liệu lịch sử trước khi phân tích; nếu không được phép, phương án dự phòng thứ nhất ở mục 4.3.10 được áp dụng. Bộ này được ghép với các chỉ báo thị trường cổ phiếu cấp quốc gia trong Cơ sở dữ liệu Phát triển Tài chính Toàn cầu (Čihák và cộng sự, 2012) và các chỉ số quản trị nhà nước toàn cầu (Kaufmann và cộng sự, 2011).</w:t>
      </w:r>
    </w:p>
    <w:p w:rsidR="005D3DB2" w:rsidRDefault="00000000">
      <w:pPr>
        <w:pStyle w:val="FirstParagraph"/>
      </w:pPr>
      <w:r>
        <w:t xml:space="preserve">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 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w:t>
      </w:r>
    </w:p>
    <w:p w:rsidR="005D3DB2" w:rsidRDefault="00000000">
      <w:pPr>
        <w:pStyle w:val="FirstParagraph"/>
      </w:pPr>
      <w:r>
        <w:t xml:space="preserve">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w:t>
      </w:r>
      <w:r>
        <w:rPr>
          <w:vertAlign w:val="subscript"/>
        </w:rPr>
        <w:t xml:space="preserve"/>
      </w:r>
      <w:r>
        <w:t xml:space="preserve"/>
      </w:r>
      <w:r>
        <w:rPr>
          <w:vertAlign w:val="subscript"/>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w:t>
      </w:r>
    </w:p>
    <w:p w:rsidR="005D3DB2" w:rsidRDefault="00000000">
      <w:pPr>
        <w:pStyle w:val="BodyText"/>
      </w:pPr>
      <w:r>
        <w:t xml:space="preserve">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w:t>
      </w:r>
      <w:r>
        <w:rPr>
          <w:vertAlign w:val="subscript"/>
        </w:rPr>
        <w:t xml:space="preserve">3</w:t>
      </w:r>
      <w:r>
        <w:t xml:space="preserve"> cùng kết quả mô phỏng kích thước của kiểm định; tập ngày giả định cho suy luận hoán vị; ngưỡng lợi suất tuyệt đối và số ngày hợp lệ tối thiểu khi tính Amihud; quy tắc chọn cửa sổ trước theo điểm gãy; định nghĩa ba mức chịu cú sốc và biến trụ sở tại Hà Nội;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lấy từ giá chào đóng cửa nếu nhà cung cấp dữ liệu có, nếu không thì dùng chênh lệch ước lượng từ giá cao nhất và thấp nhất theo tháng (Corwin &amp; Schultz, 2012),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w:t>
      </w:r>
    </w:p>
    <w:p>
      <w:pPr>
        <w:pStyle w:val="FirstParagraph"/>
      </w:pPr>
      <w:r>
        <w:t xml:space="preserve"/>
      </w:r>
      <w:r>
        <w:rPr>
          <w:i/>
          <w:iCs/>
        </w:rPr>
        <w:t xml:space="preserve"/>
      </w:r>
      <w:r>
        <w:rPr>
          <w:vertAlign w:val="subscript"/>
        </w:rPr>
        <w:t xml:space="preserve"/>
      </w:r>
      <w:r>
        <w:t xml:space="preserve">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 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khoảng cách của M1, không cần ước lượng, được báo cáo riêng như phép so sánh sạch nhất. 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biên độ ±7%) và không liền sau một ngày chạm biên độ;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w:t>
      </w:r>
      <w:r>
        <w:rPr>
          <w:vertAlign w:val="subscript"/>
        </w:rPr>
        <w:t xml:space="preserve">t</w:t>
      </w:r>
      <w:r>
        <w:t xml:space="preserve"> bằng 1 từ tháng 1/2027; phương trình (5) được ước lượng trên giai đoạn tham chiếu (đến tháng 6/2025) và giai đoạn sau sự kiện (từ tháng 1/2027), còn các tháng từ 7/2025 đến 12/2026, gồm tháng chuyển sàn, chỉ được ước lượng trong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Vì mọi cổ phiếu chuyển sàn cùng một ngày, suy luận chính dựa trên chuỗi chênh lệch theo tháng giữa nhóm xử lý và nhóm đối chứng: gọi dₜ là chênh lệch trung bình logarit Amihud giữa các cổ phiếu chuyển sàn và các cổ phiếu đối chứng ghép cặp trong tháng t, mỗi cặp có dữ liệu trong tháng có trọng số bằng nhau; thống kê kiểm định là trung bình của dₜ trong giai đoạn sau sự kiện trừ trung bình của dₜ trong cửa sổ trước. Giá trị p chính được tính bằng bootstrap tự hồi quy trên chuỗi dₜ: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Suy luận trên các ngày giả định trong giai đoạn tham chiếu, với cùng cấu trúc cửa sổ trước, 18 tháng loại trừ và 24 tháng sau, theo tinh thần của Conley và Taber (2011), chỉ được báo cáo như kiểm tra bổ sung: các cửa sổ giả chồng lấn nhau và chỉ tạo ra khoảng sáu cửa sổ độc lập, và mô phỏng sơ bộ của thí sinh với chuỗi tự hồi quy bậc một cho thấy kiểm định này bác bỏ giả thuyết không thường xuyên hơn đáng kể so với mức danh nghĩa. Sai số chuẩn phân cụm theo cổ phiếu và theo tháng chỉ được báo cáo để so sánh. H</w:t>
      </w:r>
      <w:r>
        <w:rPr>
          <w:vertAlign w:val="subscript"/>
        </w:rPr>
        <w:t xml:space="preserve">3</w:t>
      </w:r>
      <w:r>
        <w:t xml:space="preserve">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chỉ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và báo cáo độ nhạy của kết luận khi xu hướng song song bị vi phạm ở mức tương đương độ lệch lớn nhất của các hệ số này, tức các tháng trước giai đoạn chuyển tiếp (Rambachan &amp; Roth, 2023).</w:t>
      </w:r>
      <w:r>
        <w:rPr>
          <w:vertAlign w:val="subscript"/>
        </w:rPr>
        <w:t xml:space="preserve"/>
      </w:r>
      <w:r>
        <w:t xml:space="preserve"/>
      </w:r>
    </w:p>
    <w:p>
      <w:pPr>
        <w:pStyle w:val="FirstParagraph"/>
      </w:pPr>
      <w:r>
        <w:rPr>
          <w:vertAlign w:val="subscript"/>
        </w:rPr>
        <w:t xml:space="preserve">Một sự kiện duy nhất không có nghĩa là mọi cổ phiếu chịu cùng một cú sốc. Việc chuyển sàn đổi ba quy tắc cùng lúc, nhưng mỗi quy tắc tác động mạnh yếu khác nhau tùy đặc điểm của cổ phiếu trước sự kiện. Biên độ hẹp lại từ ±10% xuống ±7% chỉ ràng buộc những mã thường có lợi suất ngày lớn; bước giá chỉ đáng kể ở mã giá thấp; và việc vào chỉ số FTSE chỉ liên quan đến mã có trong danh sách dự kiến. Đề tài đo ba mức chịu cú sốc này cho từng mã chuyển sàn bằng dữ liệu đến ngày 30/6/2025: tỷ lệ ngày có lợi suất tuyệt đối từ 7% đến dưới 10% (mức chịu cú sốc biên độ), nghịch đảo của giá đóng cửa bình quân (mức chịu cú sốc bước giá), và biến chỉ mã thuộc danh sách dự kiến của FTSE Russell (mức chịu cú sốc chỉ số).</w:t>
      </w:r>
    </w:p>
    <w:p>
      <w:pPr>
        <w:pStyle w:val="FirstParagraph"/>
      </w:pPr>
      <w:r>
        <w:rPr>
          <w:vertAlign w:val="subscript"/>
        </w:rPr>
        <w:t xml:space="preserve">Phương trình (5) được mở rộng bằng các số hạng tương tác giữa Dᵢ·Postₜ và từng mức chịu cú sốc đã chuẩn hóa. Giả định nhận dạng là: nếu không chuyển sàn, chênh lệch thanh khoản giữa mã chịu cú sốc mạnh và mã chịu cú sốc yếu biến động song song với nhóm đối chứng; giả định này được kiểm tra bằng các hệ số trước sự kiện của cùng các tương tác. Hệ số tương tác cho biết tác động thay đổi thế nào theo từng kênh, nhưng không đo riêng tác động của từng quy tắc, vì các mức chịu cú sốc có thể tương quan với nhau và với quy mô doanh nghiệp; đề tài vì vậy đưa thêm tương tác với quy mô và báo cáo tương quan giữa các mức chịu cú sốc. Mọi mức chịu cú sốc được đo trước ngày 30/6/2025, nên không phải là biến kiểm soát chịu ảnh hưởng của sự kiện. Vì biến thiên này nằm giữa các mã trong cùng một sự kiện, sai số chuẩn của hệ số tương tác được phân cụm theo cổ phiếu và kèm suy diễn hoán vị, trong đó mức chịu cú sốc được xáo trộn giữa các mã chuyển sàn. Các hệ số tương tác là phân tích phụ được đăng ký trước và không đưa vào thủ tục Holm.</w:t>
      </w:r>
    </w:p>
    <w:p>
      <w:pPr>
        <w:pStyle w:val="FirstParagraph"/>
      </w:pPr>
      <w:r>
        <w:rPr>
          <w:vertAlign w:val="subscript"/>
        </w:rPr>
        <w:t xml:space="preserve">Phân tích theo trụ sở doanh nghiệp cho biết Hà Nội mất gì khi cổ phiếu niêm yết rời HNX. Văn liệu về địa lý tài chính cho thấy nhà đầu tư ưa nắm giữ cổ phiếu của doanh nghiệp ở gần mình (Coval &amp; Moskowitz, 1999) và thanh khoản của cổ phiếu phụ thuộc vào vị trí trụ sở doanh nghiệp (Loughran &amp; Schultz, 2005) [CẦN ĐỐI CHIẾU bản gốc của hai bài]. Nếu việc sàn niêm yết đặt cùng thành phố với trụ sở doanh nghiệp tạo lợi thế về thông tin hoặc về sự chú ý của nhà đầu tư địa phương, cổ phiếu của doanh nghiệp có trụ sở tại Hà Nội sẽ được lợi ít hơn khi chuyển sang HOSE so với cổ phiếu của doanh nghiệp ở nơi khác. Đề tài ước lượng chênh lệch này bằng tương tác giữa Dᵢ·Postₜ và biến chỉ trụ sở tại Hà Nội, xác định theo địa chỉ đăng ký tại ngày 30/6/2025, kèm tương tác với quy mô và ngành để chênh lệch không chỉ phản ánh khác biệt về cơ cấu doanh nghiệp.</w:t>
      </w:r>
    </w:p>
    <w:p>
      <w:pPr>
        <w:pStyle w:val="FirstParagraph"/>
      </w:pPr>
      <w:r>
        <w:rPr>
          <w:vertAlign w:val="subscript"/>
        </w:rPr>
        <w:t xml:space="preserve">Chênh lệch theo trụ sở là ước lượng dị biệt trong cùng một thiết kế, không phải tác động nhân quả của vị trí trụ sở, vì vị trí trụ sở không được phân bổ ngẫu nhiên. Nếu chênh lệch khác 0, kết quả cho biết phần thanh khoản mà thị trường vốn Hà Nội mất cùng với sàn cổ phiếu niêm yết; nếu chênh lệch bằng 0, kết quả cho thấy vị trí sàn ít quan trọng với doanh nghiệp Hà Nội khi giao dịch đã điện tử hóa toàn quốc. Cả hai trường hợp đều là đầu vào định lượng cho định hướng chuyên môn hóa ở cuối mục 4.3.8.</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Vì điểm GFCI gộp kết quả khảo sát với các nhân tố định lượng, trong đó nhóm phát triển khu vực tài chính có vốn hóa, giá trị và khối lượng giao dịch cổ phiếu lấy từ Liên đoàn các Sở Giao dịch Thế giới (3 trong 144 nhân tố của kỳ GFCI 40; Wardle &amp; Mainelli, 2026),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Ba thay đổi trùng thời gian tác động lên nhóm đối chứng HOSE: FTSE Russell đưa cổ phiếu Việt Nam vào chỉ số theo bốn đợt vào các tháng 9/2026, 3/2027, 6/2027 và 9/2027 (FTSE Russell, 2026); theo dự thảo quy chế mà VNX đang lấy ý kiến, HOSE dự kiến công bố kết quả phân loại cổ phiếu vào Bảng Chính và Bảng Tiêu chuẩn lần đầu ngày 28/12/2026 (Tuổi Trẻ Online, 2026); và HOSE tiếp nhận 299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trong VN-Index và quy chế phân bảng chính thức]. 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 Ngoài ra, Ủy ban Chứng khoán Nhà nước cho biết đang nghiên cứu nới biên độ dao động giá và giao dịch xuyên trưa (Thời báo Tài chính Việt Nam, 2026); nếu các thay đổi này được áp dụng trong cửa sổ sau sự kiện, chúng tác động như nhau lên cổ phiếu chuyển sàn và nhóm đối chứng HOSE, và ngưỡng lợi suất chung khi tính Amihud được đặt thấp hơn biên độ hẹp nhất có hiệu lực trong toàn mẫu.</w:t>
      </w:r>
      <w:r>
        <w:rPr>
          <w:i/>
          <w:iCs/>
        </w:rPr>
        <w:t xml:space="preserve"/>
      </w:r>
      <w:r>
        <w:t xml:space="preserve"/>
      </w:r>
    </w:p>
    <w:p w:rsidR="005D3DB2" w:rsidRDefault="00000000">
      <w:pPr>
        <w:pStyle w:val="FirstParagraph"/>
      </w:pPr>
      <w:r>
        <w:t xml:space="preserve"/>
      </w:r>
      <w:r>
        <w:rPr>
          <w:i/>
          <w:iCs/>
        </w:rPr>
        <w:t xml:space="preserve"/>
      </w:r>
      <w:r>
        <w:t xml:space="preserve">Amihud và cộng sự (1997) ghi nhận thanh khoản lan tỏa giữa các cổ phiếu liên quan; nếu nhóm đối chứng HOSE mất thanh khoản do dòng lệnh chuyển sang cổ phiếu chuyển sàn, δ phóng đại tác động, nên ước lượng với nhóm đối chứng UPCoM được trình bày như một cận khác. Ngược lại, Hisada (2018) cho thấy thanh khoản của cổ phiếu sẵn có trên sàn tiếp nhận cũng tăng trong ngắn hạn quanh đợt hợp nhất Tokyo–Osaka; nếu điều tương tự xảy ra với nhóm đối chứng HOSE, δ đánh giá thấp tác động.</w:t>
      </w:r>
      <w:r>
        <w:rPr>
          <w:i/>
          <w:iCs/>
        </w:rPr>
        <w:t xml:space="preserve"/>
      </w:r>
      <w:r>
        <w:t xml:space="preserve"/>
      </w:r>
    </w:p>
    <w:p w:rsidR="005D3DB2" w:rsidRDefault="00000000">
      <w:pPr>
        <w:pStyle w:val="FirstParagraph"/>
      </w:pPr>
      <w:r>
        <w:t xml:space="preserve"/>
      </w:r>
      <w:r>
        <w:rPr>
          <w:i/>
          <w:iCs/>
        </w:rPr>
        <w:t xml:space="preserve"/>
      </w:r>
      <w:r>
        <w:t xml:space="preserve">Thứ ba, việc rời mẫu không liên quan đến sự kiện: đề tài báo cáo tỷ lệ mã hủy niêm yết sau sự kiện ở từng nhóm và ước lượng lại trên bảng cân bằng.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Ngoài kết quả phân tích theo trụ sở doanh nghiệp ở mục 4.3.7,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w:t>
      </w:r>
      <w:r>
        <w:rPr>
          <w:vertAlign w:val="subscript"/>
        </w:rPr>
        <w:t xml:space="preserve">3</w:t>
      </w:r>
      <w:r>
        <w:t xml:space="preserve"> phụ thuộc vào số tháng trước và sau sự kiện và vào phương sai và mức tự tương quan của chuỗi chênh lệch theo tháng; công suất chỉ phụ thuộc yếu vào số cổ phiếu, vì mọi cổ phiếu chuyển sàn cùng một ngày và phần nhiễu riêng của từng mã đã được bình quân trong chuỗi chênh lệch.</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σ, cửa sổ trước dài 193 tháng (6/2009–6/2025), 18 tháng chuyển tiếp bị loại và giai đoạn sau dài 24 tháng, hiệu ứng nhỏ nhất phát hiện được của δ ở công suất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 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w:t>
      </w:r>
      <w:r>
        <w:rPr>
          <w:vertAlign w:val="subscript"/>
        </w:rPr>
        <w:t xml:space="preserve">3</w:t>
      </w:r>
      <w:r>
        <w:t xml:space="preserve">, và ghi kết quả vào tệp đăng ký trước ngày 28/12/2026.</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phân cụm theo quốc gia cho H</w:t>
      </w:r>
      <w:r>
        <w:rPr>
          <w:vertAlign w:val="subscript"/>
        </w:rPr>
        <w:t xml:space="preserve">1</w:t>
      </w:r>
      <w:r>
        <w:t xml:space="preserve">, giá trị p bootstrap khối cho H</w:t>
      </w:r>
      <w:r>
        <w:rPr>
          <w:vertAlign w:val="subscript"/>
        </w:rPr>
        <w:t xml:space="preserve">2</w:t>
      </w:r>
      <w:r>
        <w:t xml:space="preserve"> và giá trị p bootstrap tự hồi quy cho H</w:t>
      </w:r>
      <w:r>
        <w:rPr>
          <w:vertAlign w:val="subscript"/>
        </w:rPr>
        <w:t xml:space="preserve">3</w:t>
      </w:r>
      <w:r>
        <w:t xml:space="preserve">.</w:t>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Ở H</w:t>
      </w:r>
      <w:r>
        <w:rPr>
          <w:vertAlign w:val="subscript"/>
        </w:rPr>
        <w:t xml:space="preserve">1</w:t>
      </w:r>
      <w:r>
        <w:t xml:space="preserve">, đề tài kiểm tra độ bền trên mẫu các trung tâm có ít nhất năm kỳ và trên mẫu cân bằng gồm các trung tâm có mặt ở mọi kỳ được dùng, vì điểm z theo kỳ thay đổi khi tập trung tâm thay đổi,</w:t>
      </w:r>
      <w:r>
        <w:rPr>
          <w:vertAlign w:val="subscript"/>
        </w:rPr>
        <w:t xml:space="preserve"/>
      </w:r>
      <w:r>
        <w:t xml:space="preserve"> và đối chiếu danh sách nhân tố công bố của từng kỳ GFCI với các thành phần của SMD, báo cáo tỷ lệ kỳ có trùng lặp; vì kỳ GFCI 40 đã có trùng lặp (Wardle &amp; Mainelli, 2026), đề tài ước lượng lại H</w:t>
      </w:r>
      <w:r>
        <w:rPr>
          <w:vertAlign w:val="subscript"/>
        </w:rPr>
        <w:t xml:space="preserve">1</w:t>
      </w:r>
      <w:r>
        <w:t xml:space="preserve"> trên các kỳ không trùng lặp nếu số kỳ đủ lớn, và trong mọi trường hợp gọi β là liên hệ có điều kiện, gồm cả phần cơ học này.</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dùng các mã đã tự chuyển từ HNX sang HOSE trước năm 2026.</w:t>
      </w:r>
    </w:p>
    <w:p w:rsidR="005D3DB2" w:rsidRDefault="00000000">
      <w:pPr>
        <w:pStyle w:val="BodyText"/>
      </w:pPr>
      <w:r>
        <w:t xml:space="preserve"/>
      </w:r>
      <w:r>
        <w:rPr>
          <w:vertAlign w:val="subscript"/>
        </w:rPr>
        <w:t xml:space="preserve"/>
      </w:r>
      <w:r>
        <w:t xml:space="preserve">Nếu cổ phiếu UPCoM được chuyển sang HOSE cùng đợt hoặc trong 24 tháng sau sự kiện, nhóm đối chứng UPCoM chỉ được dùng đến tháng liền trước ngày chuyển của UPCoM, Chỉ số chất lượng thị trường vốn của UPCoM dừng tại tháng đó, và ước lượng chính chỉ dựa vào nhóm đối chứng HOSE.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w:t>
      </w:r>
    </w:p>
    <w:p w:rsidR="005D3DB2" w:rsidRDefault="00000000">
      <w:pPr>
        <w:pStyle w:val="BodyText"/>
      </w:pPr>
      <w:r>
        <w:t xml:space="preserve"/>
      </w:r>
      <w:r>
        <w:rPr>
          <w:vertAlign w:val="subscript"/>
        </w:rPr>
        <w:t xml:space="preserve"/>
      </w:r>
      <w:r>
        <w:t xml:space="preserve">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 Trước khi nộp hồ sơ đề nghị hỗ trợ, thí sinh sẽ xin văn bản xác nhận nhu cầu sử dụng kết quả của ít nhất một đơn vị trong số này.</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Tác động theo kênh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quản lý,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thuộc cơ sở dữ liệu Web of Science hạng Q1 hoặc Q2.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Nguyễn và Nguyễn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w:t>
      </w:r>
      <w:r>
        <w:rPr>
          <w:i/>
          <w:iCs/>
        </w:rPr>
        <w:t xml:space="preserve">Thời báo Tài chính Việt Nam</w:t>
      </w:r>
      <w:r>
        <w:t xml:space="preserve">. https://thoibaotaichinhvietnam.vn/chuyen-toan-bo-co-phieu-hnx-sang-hose-trong-nam-2026-nghien-cuu-giao-dich-xuyen-trua-va-noi-bien-do-204943.html</w:t>
      </w:r>
    </w:p>
    <w:p>
      <w:pPr>
        <w:pStyle w:val="Reference"/>
      </w:pPr>
      <w:r>
        <w:t xml:space="preserve">Tuổi Trẻ Online. (2026). HOSE chia cổ phiếu thành hai bảng Prime Board và Standard Board. </w:t>
      </w:r>
      <w:r>
        <w:rPr>
          <w:i/>
          <w:iCs/>
        </w:rPr>
        <w:t xml:space="preserve">Tuổi Trẻ Online</w:t>
      </w:r>
      <w:r>
        <w:t xml:space="preserve">. https://tuoitre.vn/hose-du-kien-chia-co-phieu-thanh-hai-bang-prime-board-va-standard-board-100261002092239776.htm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w:t>
      </w:r>
      <w:r>
        <w:t xml:space="preserve">, </w:t>
      </w:r>
      <w:r>
        <w:rPr>
          <w:i/>
          <w:iCs/>
        </w:rPr>
        <w:t xml:space="preserve">45</w:t>
      </w:r>
      <w:r>
        <w:t xml:space="preserve">(3), 365–390.</w:t>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w:t>
      </w:r>
      <w:r>
        <w:t xml:space="preserve">, </w:t>
      </w:r>
      <w:r>
        <w:rPr>
          <w:i/>
          <w:iCs/>
        </w:rPr>
        <w:t xml:space="preserve">67</w:t>
      </w:r>
      <w:r>
        <w:t xml:space="preserve">(2), 719–760.</w:t>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w:t>
      </w:r>
      <w:r>
        <w:t xml:space="preserve">, </w:t>
      </w:r>
      <w:r>
        <w:rPr>
          <w:i/>
          <w:iCs/>
        </w:rPr>
        <w:t xml:space="preserve">28</w:t>
      </w:r>
      <w:r>
        <w:t xml:space="preserve">(1), 62–81.</w:t>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 </w:t>
      </w:r>
      <w:r>
        <w:rPr>
          <w:i/>
          <w:iCs/>
        </w:rPr>
        <w:t xml:space="preserve">Reclassification of Vietnam from Frontier to Secondary Emerging market status: Frequently asked questions</w:t>
      </w:r>
      <w:r>
        <w:t xml:space="preserve"> (Version 1.3). LSEG.</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w:t>
      </w:r>
      <w:r>
        <w:t xml:space="preserve">, </w:t>
      </w:r>
      <w:r>
        <w:rPr>
          <w:i/>
          <w:iCs/>
        </w:rPr>
        <w:t xml:space="preserve">49</w:t>
      </w:r>
      <w:r>
        <w:t xml:space="preserve">(6), 1275–1296.</w:t>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w:t>
      </w:r>
      <w:r>
        <w:rPr>
          <w:i/>
          <w:iCs/>
        </w:rPr>
        <w:t xml:space="preserve">The Global Financial Centres Index 40</w:t>
      </w:r>
      <w:r>
        <w:t xml:space="preserve">. Z/Yen Group &amp; China Development Institute.</w:t>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shd w:val="clear" w:color="auto" w:fill="E7E6E6"/>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