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7.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tbl>
      <w:tblPr>
        <w:tblStyle w:val="Table"/>
        <w:tblW w:w="8788" w:type="dxa"/>
        <w:tblLayout w:type="fixed"/>
        <w:tblLook w:val="0020" w:firstRow="1"/>
      </w:tblPr>
      <w:tblGrid>
        <w:gridCol w:w="1400"/>
        <w:gridCol w:w="3700"/>
        <w:gridCol w:w="3688"/>
      </w:tblGrid>
      <w:tr>
        <w:trPr>
          <w:cantSplit/>
          <w:tblHeader/>
        </w:trPr>
        <w:tc>
          <w:tcPr>
            <w:tcW w:w="1400" w:type="dxa"/>
          </w:tcPr>
          <w:p>
            <w:pPr>
              <w:pStyle w:val="Compact"/>
              <w:jc w:val="center"/>
            </w:pPr>
            <w:r>
              <w:rPr>
                <w:b/>
              </w:rPr>
              <w:t xml:space="preserve">Chữ viết tắt</w:t>
            </w:r>
          </w:p>
        </w:tc>
        <w:tc>
          <w:tcPr>
            <w:tcW w:w="3700" w:type="dxa"/>
          </w:tcPr>
          <w:p>
            <w:pPr>
              <w:pStyle w:val="Compact"/>
              <w:jc w:val="center"/>
            </w:pPr>
            <w:r>
              <w:rPr>
                <w:b/>
              </w:rPr>
              <w:t xml:space="preserve">Tiếng Anh</w:t>
            </w:r>
          </w:p>
        </w:tc>
        <w:tc>
          <w:tcPr>
            <w:tcW w:w="3688" w:type="dxa"/>
          </w:tcPr>
          <w:p>
            <w:pPr>
              <w:pStyle w:val="Compact"/>
              <w:jc w:val="center"/>
            </w:pPr>
            <w:r>
              <w:rPr>
                <w:b/>
              </w:rPr>
              <w:t xml:space="preserve">Tiếng Việt</w:t>
            </w:r>
          </w:p>
        </w:tc>
      </w:tr>
      <w:tr>
        <w:trPr>
          <w:cantSplit/>
        </w:trPr>
        <w:tc>
          <w:tcPr>
            <w:tcW w:w="1400" w:type="dxa"/>
          </w:tcPr>
          <w:p>
            <w:pPr>
              <w:pStyle w:val="Compact"/>
            </w:pPr>
            <w:r>
              <w:t xml:space="preserve">CS</w:t>
            </w:r>
          </w:p>
        </w:tc>
        <w:tc>
          <w:tcPr>
            <w:tcW w:w="3700" w:type="dxa"/>
          </w:tcPr>
          <w:p>
            <w:pPr>
              <w:pStyle w:val="Compact"/>
            </w:pPr>
            <w:r>
              <w:t xml:space="preserve">Không có</w:t>
            </w:r>
          </w:p>
        </w:tc>
        <w:tc>
          <w:tcPr>
            <w:tcW w:w="3688" w:type="dxa"/>
          </w:tcPr>
          <w:p>
            <w:pPr>
              <w:pStyle w:val="Compact"/>
            </w:pPr>
            <w:r>
              <w:t xml:space="preserve">Rổ cổ phiếu chuyển sàn (ký hiệu của đề tài)</w:t>
            </w:r>
          </w:p>
        </w:tc>
      </w:tr>
      <w:tr>
        <w:trPr>
          <w:cantSplit/>
        </w:trPr>
        <w:tc>
          <w:tcPr>
            <w:tcW w:w="1400" w:type="dxa"/>
          </w:tcPr>
          <w:p>
            <w:pPr>
              <w:pStyle w:val="Compact"/>
            </w:pPr>
            <w:r>
              <w:t xml:space="preserve">GDP</w:t>
            </w:r>
          </w:p>
        </w:tc>
        <w:tc>
          <w:tcPr>
            <w:tcW w:w="3700" w:type="dxa"/>
          </w:tcPr>
          <w:p>
            <w:pPr>
              <w:pStyle w:val="Compact"/>
            </w:pPr>
            <w:r>
              <w:t xml:space="preserve">Gross Domestic Product</w:t>
            </w:r>
          </w:p>
        </w:tc>
        <w:tc>
          <w:tcPr>
            <w:tcW w:w="3688" w:type="dxa"/>
          </w:tcPr>
          <w:p>
            <w:pPr>
              <w:pStyle w:val="Compact"/>
            </w:pPr>
            <w:r>
              <w:t xml:space="preserve">Tổng sản phẩm trong nước</w:t>
            </w:r>
          </w:p>
        </w:tc>
      </w:tr>
      <w:tr>
        <w:trPr>
          <w:cantSplit/>
        </w:trPr>
        <w:tc>
          <w:tcPr>
            <w:tcW w:w="1400" w:type="dxa"/>
          </w:tcPr>
          <w:p>
            <w:pPr>
              <w:pStyle w:val="Compact"/>
            </w:pPr>
            <w:r>
              <w:t xml:space="preserve">GFCI</w:t>
            </w:r>
          </w:p>
        </w:tc>
        <w:tc>
          <w:tcPr>
            <w:tcW w:w="3700" w:type="dxa"/>
          </w:tcPr>
          <w:p>
            <w:pPr>
              <w:pStyle w:val="Compact"/>
            </w:pPr>
            <w:r>
              <w:t xml:space="preserve">Global Financial Centres Index</w:t>
            </w:r>
          </w:p>
        </w:tc>
        <w:tc>
          <w:tcPr>
            <w:tcW w:w="3688" w:type="dxa"/>
          </w:tcPr>
          <w:p>
            <w:pPr>
              <w:pStyle w:val="Compact"/>
            </w:pPr>
            <w:r>
              <w:t xml:space="preserve">Chỉ số Trung tâm Tài chính Toàn cầu</w:t>
            </w:r>
          </w:p>
        </w:tc>
      </w:tr>
      <w:tr>
        <w:trPr>
          <w:cantSplit/>
        </w:trPr>
        <w:tc>
          <w:tcPr>
            <w:tcW w:w="1400" w:type="dxa"/>
          </w:tcPr>
          <w:p>
            <w:pPr>
              <w:pStyle w:val="Compact"/>
            </w:pPr>
            <w:r>
              <w:t xml:space="preserve">H</w:t>
            </w:r>
          </w:p>
        </w:tc>
        <w:tc>
          <w:tcPr>
            <w:tcW w:w="3700" w:type="dxa"/>
          </w:tcPr>
          <w:p>
            <w:pPr>
              <w:pStyle w:val="Compact"/>
            </w:pPr>
            <w:r>
              <w:t xml:space="preserve">Không có</w:t>
            </w:r>
          </w:p>
        </w:tc>
        <w:tc>
          <w:tcPr>
            <w:tcW w:w="3688" w:type="dxa"/>
          </w:tcPr>
          <w:p>
            <w:pPr>
              <w:pStyle w:val="Compact"/>
            </w:pPr>
            <w:r>
              <w:t xml:space="preserve">Rổ cổ phiếu HOSE được ghép với rổ CS (ký hiệu của đề tài, khác với H</w:t>
            </w:r>
            <w:r>
              <w:rPr>
                <w:vertAlign w:val="subscript"/>
              </w:rPr>
              <w:t xml:space="preserve">1</w:t>
            </w:r>
            <w:r>
              <w:t xml:space="preserve">–H</w:t>
            </w:r>
            <w:r>
              <w:rPr>
                <w:vertAlign w:val="subscript"/>
              </w:rPr>
              <w:t xml:space="preserve">4</w:t>
            </w:r>
            <w:r>
              <w:t xml:space="preserve"> là ký hiệu các giả thuyết)</w:t>
            </w:r>
          </w:p>
        </w:tc>
      </w:tr>
      <w:tr>
        <w:trPr>
          <w:cantSplit/>
        </w:trPr>
        <w:tc>
          <w:tcPr>
            <w:tcW w:w="1400" w:type="dxa"/>
          </w:tcPr>
          <w:p>
            <w:pPr>
              <w:pStyle w:val="Compact"/>
            </w:pPr>
            <w:r>
              <w:t xml:space="preserve">HNX</w:t>
            </w:r>
          </w:p>
        </w:tc>
        <w:tc>
          <w:tcPr>
            <w:tcW w:w="3700" w:type="dxa"/>
          </w:tcPr>
          <w:p>
            <w:pPr>
              <w:pStyle w:val="Compact"/>
            </w:pPr>
            <w:r>
              <w:t xml:space="preserve">Hanoi Stock Exchange</w:t>
            </w:r>
          </w:p>
        </w:tc>
        <w:tc>
          <w:tcPr>
            <w:tcW w:w="3688" w:type="dxa"/>
          </w:tcPr>
          <w:p>
            <w:pPr>
              <w:pStyle w:val="Compact"/>
            </w:pPr>
            <w:r>
              <w:t xml:space="preserve">Sở Giao dịch Chứng khoán Hà Nội</w:t>
            </w:r>
          </w:p>
        </w:tc>
      </w:tr>
      <w:tr>
        <w:trPr>
          <w:cantSplit/>
        </w:trPr>
        <w:tc>
          <w:tcPr>
            <w:tcW w:w="1400" w:type="dxa"/>
          </w:tcPr>
          <w:p>
            <w:pPr>
              <w:pStyle w:val="Compact"/>
            </w:pPr>
            <w:r>
              <w:t xml:space="preserve">HOSE</w:t>
            </w:r>
          </w:p>
        </w:tc>
        <w:tc>
          <w:tcPr>
            <w:tcW w:w="3700" w:type="dxa"/>
          </w:tcPr>
          <w:p>
            <w:pPr>
              <w:pStyle w:val="Compact"/>
            </w:pPr>
            <w:r>
              <w:t xml:space="preserve">Ho Chi Minh Stock Exchange</w:t>
            </w:r>
          </w:p>
        </w:tc>
        <w:tc>
          <w:tcPr>
            <w:tcW w:w="3688" w:type="dxa"/>
          </w:tcPr>
          <w:p>
            <w:pPr>
              <w:pStyle w:val="Compact"/>
            </w:pPr>
            <w:r>
              <w:t xml:space="preserve">Sở Giao dịch Chứng khoán Thành phố Hồ Chí Minh</w:t>
            </w:r>
          </w:p>
        </w:tc>
      </w:tr>
      <w:tr>
        <w:trPr>
          <w:cantSplit/>
        </w:trPr>
        <w:tc>
          <w:tcPr>
            <w:tcW w:w="1400" w:type="dxa"/>
          </w:tcPr>
          <w:p>
            <w:pPr>
              <w:pStyle w:val="Compact"/>
            </w:pPr>
            <w:r>
              <w:t xml:space="preserve">MQI</w:t>
            </w:r>
          </w:p>
        </w:tc>
        <w:tc>
          <w:tcPr>
            <w:tcW w:w="3700" w:type="dxa"/>
          </w:tcPr>
          <w:p>
            <w:pPr>
              <w:pStyle w:val="Compact"/>
            </w:pPr>
            <w:r>
              <w:t xml:space="preserve">Market Quality Index</w:t>
            </w:r>
          </w:p>
        </w:tc>
        <w:tc>
          <w:tcPr>
            <w:tcW w:w="3688" w:type="dxa"/>
          </w:tcPr>
          <w:p>
            <w:pPr>
              <w:pStyle w:val="Compact"/>
            </w:pPr>
            <w:r>
              <w:t xml:space="preserve">Chỉ số chất lượng thị trường vốn</w:t>
            </w:r>
          </w:p>
        </w:tc>
      </w:tr>
      <w:tr>
        <w:trPr>
          <w:cantSplit/>
        </w:trPr>
        <w:tc>
          <w:tcPr>
            <w:tcW w:w="1400" w:type="dxa"/>
          </w:tcPr>
          <w:p>
            <w:pPr>
              <w:pStyle w:val="Compact"/>
            </w:pPr>
            <w:r>
              <w:t xml:space="preserve">OECD</w:t>
            </w:r>
          </w:p>
        </w:tc>
        <w:tc>
          <w:tcPr>
            <w:tcW w:w="3700" w:type="dxa"/>
          </w:tcPr>
          <w:p>
            <w:pPr>
              <w:pStyle w:val="Compact"/>
            </w:pPr>
            <w:r>
              <w:t xml:space="preserve">Organisation for Economic Co-operation and Development</w:t>
            </w:r>
          </w:p>
        </w:tc>
        <w:tc>
          <w:tcPr>
            <w:tcW w:w="3688" w:type="dxa"/>
          </w:tcPr>
          <w:p>
            <w:pPr>
              <w:pStyle w:val="Compact"/>
            </w:pPr>
            <w:r>
              <w:t xml:space="preserve">Tổ chức Hợp tác và Phát triển Kinh tế</w:t>
            </w:r>
          </w:p>
        </w:tc>
      </w:tr>
      <w:tr>
        <w:trPr>
          <w:cantSplit/>
        </w:trPr>
        <w:tc>
          <w:tcPr>
            <w:tcW w:w="1400" w:type="dxa"/>
          </w:tcPr>
          <w:p>
            <w:pPr>
              <w:pStyle w:val="Compact"/>
            </w:pPr>
            <w:r>
              <w:t xml:space="preserve">OSF</w:t>
            </w:r>
          </w:p>
        </w:tc>
        <w:tc>
          <w:tcPr>
            <w:tcW w:w="3700" w:type="dxa"/>
          </w:tcPr>
          <w:p>
            <w:pPr>
              <w:pStyle w:val="Compact"/>
            </w:pPr>
            <w:r>
              <w:t xml:space="preserve">Open Science Framework</w:t>
            </w:r>
          </w:p>
        </w:tc>
        <w:tc>
          <w:tcPr>
            <w:tcW w:w="3688" w:type="dxa"/>
          </w:tcPr>
          <w:p>
            <w:pPr>
              <w:pStyle w:val="Compact"/>
            </w:pPr>
            <w:r>
              <w:t xml:space="preserve">Nền tảng khoa học mở</w:t>
            </w:r>
          </w:p>
        </w:tc>
      </w:tr>
      <w:tr>
        <w:trPr>
          <w:cantSplit/>
        </w:trPr>
        <w:tc>
          <w:tcPr>
            <w:tcW w:w="1400" w:type="dxa"/>
          </w:tcPr>
          <w:p>
            <w:pPr>
              <w:pStyle w:val="Compact"/>
            </w:pPr>
            <w:r>
              <w:t xml:space="preserve">SMD</w:t>
            </w:r>
          </w:p>
        </w:tc>
        <w:tc>
          <w:tcPr>
            <w:tcW w:w="3700" w:type="dxa"/>
          </w:tcPr>
          <w:p>
            <w:pPr>
              <w:pStyle w:val="Compact"/>
            </w:pPr>
            <w:r>
              <w:t xml:space="preserve">Stock Market Development</w:t>
            </w:r>
          </w:p>
        </w:tc>
        <w:tc>
          <w:tcPr>
            <w:tcW w:w="3688" w:type="dxa"/>
          </w:tcPr>
          <w:p>
            <w:pPr>
              <w:pStyle w:val="Compact"/>
            </w:pPr>
            <w:r>
              <w:t xml:space="preserve">Chỉ báo phát triển thị trường cổ phiếu</w:t>
            </w:r>
          </w:p>
        </w:tc>
      </w:tr>
      <w:tr>
        <w:trPr>
          <w:cantSplit/>
        </w:trPr>
        <w:tc>
          <w:tcPr>
            <w:tcW w:w="1400" w:type="dxa"/>
          </w:tcPr>
          <w:p>
            <w:pPr>
              <w:pStyle w:val="Compact"/>
            </w:pPr>
            <w:r>
              <w:t xml:space="preserve">UPCoM</w:t>
            </w:r>
          </w:p>
        </w:tc>
        <w:tc>
          <w:tcPr>
            <w:tcW w:w="3700" w:type="dxa"/>
          </w:tcPr>
          <w:p>
            <w:pPr>
              <w:pStyle w:val="Compact"/>
            </w:pPr>
            <w:r>
              <w:t xml:space="preserve">Unlisted Public Company Market</w:t>
            </w:r>
          </w:p>
        </w:tc>
        <w:tc>
          <w:tcPr>
            <w:tcW w:w="3688" w:type="dxa"/>
          </w:tcPr>
          <w:p>
            <w:pPr>
              <w:pStyle w:val="Compact"/>
            </w:pPr>
            <w:r>
              <w:t xml:space="preserve">Thị trường giao dịch cổ phiếu của công ty đại chúng chưa niêm yết</w:t>
            </w:r>
          </w:p>
        </w:tc>
      </w:tr>
      <w:tr>
        <w:trPr>
          <w:cantSplit/>
        </w:trPr>
        <w:tc>
          <w:tcPr>
            <w:tcW w:w="1400" w:type="dxa"/>
          </w:tcPr>
          <w:p>
            <w:pPr>
              <w:pStyle w:val="Compact"/>
            </w:pPr>
            <w:r>
              <w:t xml:space="preserve">VNX</w:t>
            </w:r>
          </w:p>
        </w:tc>
        <w:tc>
          <w:tcPr>
            <w:tcW w:w="3700" w:type="dxa"/>
          </w:tcPr>
          <w:p>
            <w:pPr>
              <w:pStyle w:val="Compact"/>
            </w:pPr>
            <w:r>
              <w:t xml:space="preserve">Vietnam Exchange</w:t>
            </w:r>
          </w:p>
        </w:tc>
        <w:tc>
          <w:tcPr>
            <w:tcW w:w="3688" w:type="dxa"/>
          </w:tcPr>
          <w:p>
            <w:pPr>
              <w:pStyle w:val="Compact"/>
            </w:pPr>
            <w:r>
              <w:t xml:space="preserve">Sở Giao dịch Chứng khoán Việt Nam</w:t>
            </w:r>
          </w:p>
        </w:tc>
      </w:tr>
    </w:tbl>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w:t>
      </w:r>
    </w:p>
    <w:p w:rsidR="005D3DB2" w:rsidRDefault="00000000">
      <w:pPr>
        <w:pStyle w:val="BodyText"/>
      </w:pPr>
      <w:r>
        <w:t xml:space="preserve">Đề tài không đề xuất mô hình trung tâm tài chính (câu hỏi số 1 của bài toán) hay nền tảng công nghệ cho thị trường tài chính (câu hỏi số 3).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Sở Giao dịch Chứng khoán Hà Nội (HNX) sang Sở Giao dịch Chứng khoán Thành phố Hồ Chí Minh (HOSE).</w:t>
      </w:r>
    </w:p>
    <w:p w14:paraId="2EA2BE63" w14:textId="77777777" w:rsidR="005D3DB2" w:rsidRDefault="00000000">
      <w:pPr>
        <w:pStyle w:val="BodyText"/>
      </w:pPr>
      <w:r>
        <w:t xml:space="preserve">Đề cương dùng các khái niệm sau với nghĩa cố định. Năng lực cạnh tranh của trung tâm tài chính là khả năng giữ và thu hút các tổ chức tài chính và cung cấp dịch vụ đáp ứng nhu cầu trong nước và quốc tế (Yao, 2012), đo bằng điểm Chỉ số Trung tâm Tài chính Toàn cầu (GFCI). 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khác với nghĩa giới hạn sở hữu của nhà đầu tư nước ngoài (Bae và cộng sự, 2004).</w:t>
      </w:r>
    </w:p>
    <w:p w:rsidR="005D3DB2" w:rsidRDefault="00000000">
      <w:pPr>
        <w:pStyle w:val="BodyText"/>
      </w:pPr>
      <w:r>
        <w:t xml:space="preserve">Hợp nhất sàn là việc chuyển toàn bộ cổ phiếu niêm yết từ HNX sang HOSE. Thị trường vốn Hà Nội là các thị trường do HNX tiếp tục vận hành sau hợp nhất: trái phiếu, chứng khoán phái sinh, và thị trường giao dịch cổ phiếu của công ty đại chúng chưa niêm yết (UPCoM) khi thị trường này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rsidR="005D3DB2" w:rsidRDefault="00000000">
      <w:pPr>
        <w:pStyle w:val="BodyText"/>
      </w:pPr>
      <w:r>
        <w:t xml:space="preserve">Lộ trình hợp nhất đã bị lùi hai lần: hạn chuyển cổ phiếu niêm yết từ HNX sang HOSE là năm 2023 theo Thông tư số 57/2021/TT-BTC, hết năm 2025 theo Thông tư số 69/2023/TT-BTC (Bộ Tài chính, 2023) và hết ngày 31/12/2026 theo Thông tư số 139/2025/TT-BTC (Bộ Tài chính, 2025). Theo thông báo ngày 30/9/2026 của Sở Giao dịch Chứng khoán Việt Nam (VNX), cổ phiếu niêm yết tại HNX giao dịch phiên cuối ngày 23/12/2026, tạm ngừng hai ngày 24 và 25/12/2026, và giao dịch tại HOSE từ ngày 28/12/2026 (Sở Giao dịch Chứng khoán Việt Nam, 2026).</w:t>
      </w:r>
    </w:p>
    <w:p w:rsidR="005D3DB2" w:rsidRDefault="00000000">
      <w:pPr>
        <w:pStyle w:val="BodyText"/>
      </w:pPr>
      <w:r>
        <w:t xml:space="preserve">Hạn chuyển cổ phiếu UPCoM sang HOSE cũng là hết ngày 31/12/2026, do Thông tư số 69/2023/TT-BTC đặt và không bị Thông tư số 139/2025/TT-BTC sửa (Bộ Tài chính, 2023, 2025). Tuy vậy, thông báo của VNX chỉ áp dụng cho cổ phiếu niêm yết; báo chí cho biết cổ phiếu UPCoM không thuộc diện chuyển trong đợt này (Báo Đầu tư Chứng khoán, 2026), và đến ngày 17/10/2026 chưa có văn bản công bố lịch chuyển cổ phiếu UPCoM; đề tài sẽ cập nhật lịch này khi VNX công bố (mục 4.3.10).</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(Gehrig, 2000; Kindleberger, 1974). Khi một quốc gia có nhiều trung tâm, các trung tâm phân vai: ở Trung Quốc, Thượng Hải là trung tâm thương mại, Bắc Kinh là trung tâm chính trị và quản lý, Hồng Kông là trung tâm hải ngoại (Lai, 2012), và Bắc Kinh là trung tâm tài chính lớn dù không có sở giao dịch chứng khoán tầm quốc gia trong phần lớn quá trình phát triển (Naeem, 2023). Với Hà Nội, câu hỏi sau hợp nhất là nên chuyên môn hóa vào những thị trường nào, tương tự cách Yao (2012) phân tích lợi thế của Luxembourg đối với ngành quỹ đầu tư.</w:t>
      </w:r>
    </w:p>
    <w:p>
      <w:pPr>
        <w:pStyle w:val="BodyText"/>
      </w:pPr>
      <w:r>
        <w:t xml:space="preserve">Đợt hợp nhất ở Việt Nam đổi sàn của toàn bộ cổ phiếu niêm yết tại HNX, gồm 299 mã tính đến phiên 30/9/2026 trong cùng một ngày (Tuổi Trẻ Online, 2026b). Sự kiện này cho phép so sánh cùng các cổ phiếu trước và sau khi đổi sàn với một nhóm đối chứng, về thanh khoản lẫn khả năng đầu tư.</w:t>
      </w:r>
    </w:p>
    <w:p w14:paraId="019D1985" w14:textId="77777777" w:rsidR="005D3DB2" w:rsidRDefault="00000000">
      <w:pPr>
        <w:pStyle w:val="BodyText"/>
      </w:pPr>
      <w:r>
        <w:t xml:space="preserve">Tài liệu hiện có để ngỏ ba vấn đề. Thứ nhất, 17 yếu tố mà Naeem (2023) dùng để giải thích thứ hạng GFCI không có chỉ báo nào về thị trường cổ phiếu, còn các nghiên cứu khác xét nhiều nhóm yếu tố cùng lúc nên chưa tách riêng vai trò của thị trường cổ phiếu (Eichengreen &amp; Shah, 2020; Moosa và cộng sự, 2016). Thứ hai, bằng chứng về hợp nhất sàn chủ yếu đến từ thị trường phát triển, trái chiều theo quy mô doanh nghiệp và chỉ đo thanh khoản (Hisada, 2018; Nielsson, 2009). Thứ ba, các công trình về Việt Nam tập trung vào HOSE (Goutte và cộng sự, 2025; Hoang &amp; Luu, 2024; Vo &amp; Phan, 2017) và chưa có nghiên cứu nào về đợt hợp nhất năm 2026.</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tương ứng của bài toán số 19 (ghi trong ngoặc):</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 xml:space="preserve">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w:t>
      </w:r>
    </w:p>
    <w:p w:rsidR="005D3DB2" w:rsidRDefault="00000000">
      <w:pPr>
        <w:pStyle w:val="BodyText"/>
      </w:pPr>
      <w:r>
        <w:t xml:space="preserve">Bốn mục tiêu cụ thể là: (i) ước lượng liên hệ giữa mức phát triển thị trường cổ phiếu và điểm GFCI trên dữ liệu bảng quốc tế; (ii) xây dựng Chỉ số chất lượng thị trường vốn theo tháng cho sàn niêm yết HNX, UPCoM và HOSE; (iii) ước lượng tác động của việc chuyển sàn lên thanh khoản và khả năng đầu tư, kể cả khác biệt của tác động theo mức chịu cú sốc biên độ, bước giá, chỉ số (mục 4.3.7) và theo trụ sở doanh nghiệp; (iv) tổng hợp định tính các kết quả thành định hướng chuyên môn hóa và hạ tầng dữ liệu cho thị trường vốn Hà Nội.</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BodyText"/>
      </w:pPr>
      <w:r>
        <w:t xml:space="preserve">Trong bốn giả thuyết ở mục 4.3.2, H</w:t>
      </w:r>
      <w:r>
        <w:rPr>
          <w:vertAlign w:val="subscript"/>
        </w:rPr>
        <w:t xml:space="preserve">3</w:t>
      </w:r>
      <w:r>
        <w:t xml:space="preserve"> là kiểm định trọng tâm; H</w:t>
      </w:r>
      <w:r>
        <w:rPr>
          <w:vertAlign w:val="subscript"/>
        </w:rPr>
        <w:t xml:space="preserve">1</w:t>
      </w:r>
      <w:r>
        <w:t xml:space="preserve"> cung cấp bối cảnh quốc tế, H</w:t>
      </w:r>
      <w:r>
        <w:rPr>
          <w:vertAlign w:val="subscript"/>
        </w:rPr>
        <w:t xml:space="preserve">2</w:t>
      </w:r>
      <w:r>
        <w:t xml:space="preserve"> cung cấp thước đo nền trước sự kiện, và H</w:t>
      </w:r>
      <w:r>
        <w:rPr>
          <w:vertAlign w:val="subscript"/>
        </w:rPr>
        <w:t xml:space="preserve">4</w:t>
      </w:r>
      <w:r>
        <w:t xml:space="preserve"> quy đổi tác động sang khả năng đầu tư.</w:t>
      </w:r>
    </w:p>
    <w:p w14:paraId="05CFA613" w14:textId="77777777" w:rsidR="005D3DB2" w:rsidRDefault="00000000">
      <w:pPr>
        <w:pStyle w:val="BodyText"/>
      </w:pPr>
      <w:r>
        <w:rPr>
          <w:b/>
          <w:bCs/>
        </w:rPr>
        <w:t xml:space="preserve">Đóng góp dự kiến.</w:t>
      </w:r>
      <w:r>
        <w:t xml:space="preserve"> So với Yao (2012), Eichengreen và Shah (2020) và Naeem (2023), đề tài đưa riêng mức phát triển thị trường cổ phiếu vào mô hình điểm GFCI. So với Nielsson (2009) và Hisada (2018), đề tài nghiên cứu hợp nhất hai sàn trong một quốc gia mới nổi, dùng suy luận phù hợp với một sự kiện duy nhất và đo thêm tác động lên khả năng đầu tư. So với các công trình về Việt Nam (Goutte và cộng sự, 2025; Nguyễn &amp; Nguyễn, 2026a; Vo &amp; Phan, 2017),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Chỉ số chất lượng thị trường vốn có thể là một cấu phần của sản phẩm “Hệ thống dữ liệu tài chính đô thị” mà bài toán số 19 nêu, còn báo cáo định hướng chuyên môn hóa là một đầu vào phân tích cho sản phẩm “Trung tâm tài chính quốc tế tại Hà Nội”. Đề tài không thiết kế sản phẩm “Trung tâm tài chính quốc tế tại Hà Nội”, và Nghị quyết số 222/2025/QH15 hiện chỉ đặt trung tâm tài chính quốc tế tại Thành phố Hồ Chí Minh và Đà Nẵng. Hai chỉ số (chất lượng thị trường vốn và khả năng đầu tư) cùng tệp đăng ký trước là sản phẩm có được dù kết quả kiểm định ra sao.</w:t>
      </w:r>
    </w:p>
    <w:p w14:paraId="0A22D450" w14:textId="77777777" w:rsidR="005D3DB2" w:rsidRDefault="00000000">
      <w:pPr>
        <w:pStyle w:val="BodyText"/>
      </w:pPr>
      <w:r>
        <w:t xml:space="preserve">Kết quả của đề tài được kiểm chứng bằng sáu chỉ tiêu; mỗi chỉ tiêu có mốc thời gian và bằng chứng công khai:</w:t>
      </w:r>
    </w:p>
    <w:p w14:paraId="0A22D450" w14:textId="77777777" w:rsidR="005D3DB2" w:rsidRDefault="00000000">
      <w:pPr>
        <w:pStyle w:val="BodyText"/>
      </w:pPr>
      <w:r>
        <w:t xml:space="preserve">(1) Tệp đăng ký trước kế hoạch phân tích trên OSF Registries, khóa có dấu thời gian trước ngày 28/12/2026.</w:t>
      </w:r>
    </w:p>
    <w:p w14:paraId="0A22D450" w14:textId="77777777" w:rsidR="005D3DB2" w:rsidRDefault="00000000">
      <w:pPr>
        <w:pStyle w:val="BodyText"/>
      </w:pPr>
      <w:r>
        <w:t xml:space="preserve">(2) Chỉ số chất lượng thị trường vốn theo tháng cho ba sàn từ tháng 6/2009, công bố cùng mã nguồn trên kho lưu trữ mở.</w:t>
      </w:r>
    </w:p>
    <w:p w14:paraId="0A22D450" w14:textId="77777777" w:rsidR="005D3DB2" w:rsidRDefault="00000000">
      <w:pPr>
        <w:pStyle w:val="BodyText"/>
      </w:pPr>
      <w:r>
        <w:t xml:space="preserve">(3) Ước lượng tác động của việc chuyển sàn lên thanh khoản với 24 tháng dữ liệu sau sự kiện, kèm hiệu ứng nhỏ nhất phát hiện được và khoảng tin cậy, theo đúng tệp đăng ký.</w:t>
      </w:r>
    </w:p>
    <w:p w14:paraId="0A22D450" w14:textId="77777777" w:rsidR="005D3DB2" w:rsidRDefault="00000000">
      <w:pPr>
        <w:pStyle w:val="BodyText"/>
      </w:pPr>
      <w:r>
        <w:t xml:space="preserve">(4) Chỉ số khả năng đầu tư của rổ cổ phiếu chuyển sàn, cho 20 cửa sổ trước và 8 cửa sổ sau sự kiện.</w:t>
      </w:r>
    </w:p>
    <w:p w14:paraId="0A22D450" w14:textId="77777777" w:rsidR="005D3DB2" w:rsidRDefault="00000000">
      <w:pPr>
        <w:pStyle w:val="BodyText"/>
      </w:pPr>
      <w:r>
        <w:t xml:space="preserve">(5) Ba bài báo trên tạp chí có phản biện, với mục tiêu ít nhất một bài, do thí sinh là tác giả chính, thuộc cơ sở dữ liệu Web of Science hạng Q1 hoặc Q2, và một đến hai báo cáo hội thảo đăng trong kỷ yếu được Hội đồng Giáo sư nhà nước tính điểm (hội thảo trong nước) hoặc thuộc cơ sở dữ liệu Scopus hoặc Web of Science (hội thảo ở nước ngoài).</w:t>
      </w:r>
    </w:p>
    <w:p w14:paraId="0A22D450" w14:textId="77777777" w:rsidR="005D3DB2" w:rsidRDefault="00000000">
      <w:pPr>
        <w:pStyle w:val="BodyText"/>
      </w:pPr>
      <w:r>
        <w:t xml:space="preserve">(6) Báo cáo định hướng chuyên môn hóa cho các thị trường do HNX tiếp tục vận hành, gửi Sở Khoa học và Công nghệ Hà Nội trong năm thứ tư, kèm văn bản xác nhận hoặc cam kết sử dụng kết quả của ít nhất một đơn vị, ưu tiên HNX.</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t xml:space="preserve"> Kindleberger (1974) và Gehrig (2000) giải thích sự tập trung của hoạt động tài chính bằng lợi thế quy mô và thông tin. Yao (2012) xác định các yếu tố quyết định sức hấp dẫn của trung tâm đối với ngành quỹ đầu tư qua trường hợp Luxembourg. Moosa và cộng sự (2016) kiểm tra độ vững của các yếu tố quyết định vị thế trung tâm, còn Eichengreen và Shah (2020) xếp các yếu tố thành năm nhóm, trong đó có nhóm phát triển tài chính và vốn hóa thị trường.</w:t>
      </w:r>
    </w:p>
    <w:p>
      <w:pPr>
        <w:pStyle w:val="FirstParagraph"/>
      </w:pPr>
      <w:r>
        <w:t xml:space="preserve">Naeem (2023) hồi quy thứ hạng GFCI của 196 trung tâm giai đoạn 2007–2020 theo 17 yếu tố chọn bằng phương pháp cây quyết định, không gồm chỉ báo thị trường cổ phiếu; Cetorelli và Peristiani (2013) đo vị thế trung tâm qua mạng lưới niêm yết quốc tế của sàn. Ở Trung Quốc, Lai (2012) và Wang và cộng sự (2007) mô tả sự phân vai giữa Bắc Kinh, Thượng Hải và Hồng Kông, Chen và Chen (2015) nhấn mạnh vai trò dẫn dắt của nhà nước, và Elliott (2011) cho rằng không có công thức chung để xây dựng một trung tâm toàn cầu.</w:t>
      </w:r>
    </w:p>
    <w:p>
      <w:pPr>
        <w:pStyle w:val="FirstParagraph"/>
      </w:pPr>
      <w:r>
        <w:rPr>
          <w:i/>
          <w:iCs/>
        </w:rPr>
        <w:t xml:space="preserve">(B) Chất lượng thị trường vốn.</w:t>
      </w:r>
      <w:r>
        <w:t xml:space="preserve"> Thanh khoản thường được đo từ dữ liệu ngày bằng độ phi thanh khoản (Amihud, 2002), tỷ lệ ngày có lợi suất bằng 0 (Bekaert và cộng sự, 2007; Lesmond và cộng sự, 1999) và chênh lệch mua-bán ước lượng từ giá cao nhất và thấp nhất (Corwin &amp; Schultz, 2012); Lesmond (2005) và Fong và cộng sự (2017) đánh giá chỉ báo nào đo thanh khoản tốt nhất.</w:t>
      </w:r>
    </w:p>
    <w:p>
      <w:pPr>
        <w:pStyle w:val="BodyText"/>
      </w:pPr>
      <w:r>
        <w:rPr>
          <w:i/>
          <w:iCs/>
        </w:rPr>
        <w:t xml:space="preserve"/>
      </w:r>
      <w:r>
        <w:t xml:space="preserve">Hiệu quả thông tin được đo bằng tỷ số phương sai (Lo &amp; MacKinlay, 1988) và độ trễ giá (Hou &amp; Moskowitz, 2005), dù các thước đo này có thể sai lệch khi môi trường thông tin khác nhau (Griffin và cộng sự, 2010). Lang và cộng sự (2012) liên hệ minh bạch với thanh khoản, và Čihák và cộng sự (2012) xây dựng Cơ sở dữ liệu Phát triển Tài chính Toàn cầu. Các thước đo này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t xml:space="preserve"> Huang và Stoll (1996) so sánh chi phí giao dịch của các cặp cổ phiếu tương đồng trên hai sàn, và Christie và Huang (1994) đo thanh khoản của cùng một cổ phiếu khi doanh nghiệp đổi sàn. Khi Sở Giao dịch Chứng khoán Tel Aviv chuyển cổ phiếu sang cơ chế có thêm phiên giao dịch liên tục, lợi suất bất thường tích lũy điều chỉnh theo thị trường đạt khoảng 5,5% từ năm ngày trước công bố đến 30 ngày sau khi giao dịch theo cơ chế mới, và thanh khoản tăng cùng giá (Amihud và cộng sự, 1997).</w:t>
      </w:r>
    </w:p>
    <w:p w:rsidR="005D3DB2" w:rsidRDefault="00000000">
      <w:pPr>
        <w:pStyle w:val="FirstParagraph"/>
      </w:pPr>
      <w:r>
        <w:t xml:space="preserve">Việc hình thành Euronext làm thanh khoản tăng ở doanh nghiệp lớn và doanh nghiệp có doanh thu nước ngoài, nhưng không tăng ở doanh nghiệp nhỏ (Nielsson, 2009). Sau khi thị trường cổ phiếu của Osaka được hợp nhất vào Tokyo ngày 16/7/2013, thanh khoản của các cổ phiếu sẵn có trên Sở Giao dịch Chứng khoán Tokyo tăng trong ngắn hạn rồi giảm sau một năm, với hiệu ứng tâm lý mạnh hơn ở cổ phiếu nhỏ (Hisada, 2018); Arnold và cộng sự (1999, dẫn theo Hisada, 2018) cũng thấy hợp nhất sàn làm thanh khoản tăng. Wójcik (2007) phân tích quan hệ hai chiều giữa sàn chứng khoán và trung tâm tài chính.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t xml:space="preserve"> Tối ưu hóa trung bình-phương sai (Markowitz, 1952) dồn trọng số vào tài sản có sai số ước lượng lớn (Michaud, 1989), và hiệu quả ngoài mẫu giảm khi dùng ước lượng mẫu thay tham số tổng thể (Kan &amp; Zhou, 2007). Các cách khắc phục gồm co rút ma trận hiệp phương sai (Ledoit &amp; Wolf, 2004), mô hình Black-Litterman (Bessler và cộng sự, 2017; Black &amp; Litterman, 1992) và danh mục vững chắc (Garlappi và cộng sự, 2007).</w:t>
      </w:r>
    </w:p>
    <w:p w:rsidR="005D3DB2" w:rsidRDefault="00000000">
      <w:pPr>
        <w:pStyle w:val="BodyText"/>
      </w:pPr>
      <w:r>
        <w:rPr>
          <w:i/>
          <w:iCs/>
        </w:rPr>
        <w:t xml:space="preserve"/>
      </w:r>
      <w:r>
        <w:t xml:space="preserve">Dù vậy, không mô hình nào vượt quy tắc 1/N một cách nhất quán (DeMiguel và cộng sự, 2009), và 1/N xấp xỉ tối ưu khi mức mơ hồ về mô hình cao (Pflug và cộng sự, 2012);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t xml:space="preserve"> Vo và Phan (2017) tìm thấy hành vi bầy đàn trên các công ty niêm yết tại HOSE giai đoạn 2005–2015, còn Hoang và Luu (2024), trong một bản thảo công bố trực tuyến, phân tích chế độ biến động của VN-Index. Về danh mục, Ta và Vuong (2020), Nguyen và cộng sự (2020), Goutte và cộng sự (2025) và bài báo của chính thí sinh (Nguyễn &amp; Nguyễn, 2026a) áp dụng các mô hình Black-Litterman, co rút hiệp phương sai và ra quyết định đa tiêu chí trên cổ phiếu HOSE. Các công trình này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t>Nhóm nghiên cứu</w:t>
            </w:r>
          </w:p>
        </w:tc>
        <w:tc>
          <w:tcPr>
            <w:tcW w:w="3600" w:type="dxa"/>
          </w:tcPr>
          <w:p w14:paraId="71B373B4" w14:textId="77777777" w:rsidR="005D3DB2" w:rsidRDefault="00000000">
            <w:pPr>
              <w:pStyle w:val="Compact"/>
              <w:jc w:val="center"/>
            </w:pPr>
            <w:r>
              <w:t>Kết quả đã có</w:t>
            </w:r>
          </w:p>
        </w:tc>
        <w:tc>
          <w:tcPr>
            <w:tcW w:w="3188" w:type="dxa"/>
          </w:tcPr>
          <w:p w14:paraId="0C6AA699" w14:textId="77777777" w:rsidR="005D3DB2" w:rsidRDefault="00000000">
            <w:pPr>
              <w:pStyle w:val="Compact"/>
              <w:jc w:val="center"/>
            </w:pPr>
            <w:r>
              <w:t>Khoảng trống</w:t>
            </w:r>
          </w:p>
        </w:tc>
      </w:tr>
      <w:tr w:rsidR="005D3DB2" w14:paraId="1E533131" w14:textId="77777777">
        <w:trPr>
          <w:cantSplit/>
        </w:trPr>
        <w:tc>
          <w:tcPr>
            <w:tcW w:w="2000" w:type="dxa"/>
          </w:tcPr>
          <w:p w14:paraId="15CC7429" w14:textId="77777777" w:rsidR="005D3DB2" w:rsidRDefault="00000000">
            <w:pPr>
              <w:pStyle w:val="Compact"/>
            </w:pPr>
            <w:r>
              <w:t xml:space="preserve">Trung tâm tài chính (Lai, 2012; Naeem, 2023; Yao, 2012)</w:t>
            </w:r>
          </w:p>
        </w:tc>
        <w:tc>
          <w:tcPr>
            <w:tcW w:w="3600" w:type="dxa"/>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3188" w:type="dxa"/>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2000" w:type="dxa"/>
          </w:tcPr>
          <w:p w14:paraId="7892E17D" w14:textId="77777777" w:rsidR="005D3DB2" w:rsidRDefault="00000000">
            <w:pPr>
              <w:pStyle w:val="Compact"/>
            </w:pPr>
            <w:r>
              <w:t xml:space="preserve">Chất lượng thị trường (Amihud, 2002; Fong và cộng sự, 2017; Lesmond, 2005)</w:t>
            </w:r>
          </w:p>
        </w:tc>
        <w:tc>
          <w:tcPr>
            <w:tcW w:w="3600" w:type="dxa"/>
          </w:tcPr>
          <w:p w14:paraId="35E17D8F" w14:textId="77777777" w:rsidR="005D3DB2" w:rsidRDefault="00000000">
            <w:pPr>
              <w:pStyle w:val="Compact"/>
            </w:pPr>
            <w:r>
              <w:t xml:space="preserve">Thước đo thanh khoản, hiệu quả thông tin, minh bạch ở thị trường mới nổi</w:t>
            </w:r>
          </w:p>
        </w:tc>
        <w:tc>
          <w:tcPr>
            <w:tcW w:w="3188" w:type="dxa"/>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2000" w:type="dxa"/>
          </w:tcPr>
          <w:p w14:paraId="172955F1" w14:textId="77777777" w:rsidR="005D3DB2" w:rsidRDefault="00000000">
            <w:pPr>
              <w:pStyle w:val="Compact"/>
            </w:pPr>
            <w:r>
              <w:t xml:space="preserve">Đổi sàn và hợp nhất sàn (Hisada, 2018; Huang &amp; Stoll, 1996; Nielsson, 2009)</w:t>
            </w:r>
          </w:p>
        </w:tc>
        <w:tc>
          <w:tcPr>
            <w:tcW w:w="3600" w:type="dxa"/>
          </w:tcPr>
          <w:p w14:paraId="27D2C86F" w14:textId="77777777" w:rsidR="005D3DB2" w:rsidRDefault="00000000">
            <w:pPr>
              <w:pStyle w:val="Compact"/>
            </w:pPr>
            <w:r>
              <w:t xml:space="preserve">Đổi sàn làm thay đổi thanh khoản; Euronext: lợi ích dồn vào doanh nghiệp lớn; Tokyo–Osaka (cổ phiếu của sàn tiếp nhận): hiệu ứng tâm lý mạnh hơn ở cổ phiếu nhỏ</w:t>
            </w:r>
          </w:p>
        </w:tc>
        <w:tc>
          <w:tcPr>
            <w:tcW w:w="3188" w:type="dxa"/>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2000" w:type="dxa"/>
          </w:tcPr>
          <w:p w14:paraId="2246DA5E" w14:textId="77777777" w:rsidR="005D3DB2" w:rsidRDefault="00000000">
            <w:pPr>
              <w:pStyle w:val="Compact"/>
            </w:pPr>
            <w:r>
              <w:t xml:space="preserve">Việt Nam (Goutte và cộng sự, 2025; Nguyễn &amp; Nguyễn, 2026a; Vo &amp; Phan, 2017)</w:t>
            </w:r>
          </w:p>
        </w:tc>
        <w:tc>
          <w:tcPr>
            <w:tcW w:w="3600" w:type="dxa"/>
          </w:tcPr>
          <w:p w14:paraId="133402BF" w14:textId="77777777" w:rsidR="005D3DB2" w:rsidRDefault="00000000">
            <w:pPr>
              <w:pStyle w:val="Compact"/>
            </w:pPr>
            <w:r>
              <w:t xml:space="preserve">Nghiên cứu tập trung vào HOSE và VN-Index</w:t>
            </w:r>
          </w:p>
        </w:tc>
        <w:tc>
          <w:tcPr>
            <w:tcW w:w="3188" w:type="dxa"/>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(A)–(E);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tìm kiếm trên SSRN, RePEc/IDEAS, ScienceDirect, Oxford Academic, Wiley, Springer, Taylor &amp; Francis, MDPI và arXiv đến ngày 30/9/2026, chưa gồm Scopus, Web of Science và các tạp chí trong nước. Thí sinh mới đọc tóm tắt và thông tin thư mục của phần lớn các nguồn; việc đọc toàn văn và mở rộng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(Gehrig, 2000; Kindleberger, 1974; Lai, 2012; Yao,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hiệu quả mà nhà đầu tư đạt được phụ thuộc vào chất lượng của tập cổ phiếu đầu tư được (Kan &amp; Zhou, 2007; Markowitz, 1952; Michaud, 1989).</w:t>
      </w:r>
    </w:p>
    <w:p w:rsidR="005D3DB2" w:rsidRDefault="00000000">
      <w:pPr>
        <w:pStyle w:val="BodyText"/>
      </w:pPr>
      <w:r>
        <w:t xml:space="preserve">Ba khối nối thành một chuỗi: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8788" w:type="dxa"/>
        <w:tblLayout w:type="fixed"/>
        <w:tblLook w:val="0020" w:firstRow="1" w:lastRow="0" w:firstColumn="0" w:lastColumn="0" w:noHBand="0" w:noVBand="0"/>
      </w:tblPr>
      <w:tblGrid>
        <w:gridCol w:w="3400"/>
        <w:gridCol w:w="3000"/>
        <w:gridCol w:w="2388"/>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3400" w:type="dxa"/>
          </w:tcPr>
          <w:p w14:paraId="00C30761" w14:textId="77777777" w:rsidR="005D3DB2" w:rsidRDefault="00000000">
            <w:pPr>
              <w:pStyle w:val="Compact"/>
              <w:jc w:val="center"/>
            </w:pPr>
            <w:r>
              <w:t>Giả thuyết</w:t>
            </w:r>
          </w:p>
        </w:tc>
        <w:tc>
          <w:tcPr>
            <w:tcW w:w="3000" w:type="dxa"/>
          </w:tcPr>
          <w:p w14:paraId="54FEBD5F" w14:textId="77777777" w:rsidR="005D3DB2" w:rsidRDefault="00000000">
            <w:pPr>
              <w:pStyle w:val="Compact"/>
              <w:jc w:val="center"/>
            </w:pPr>
            <w:r>
              <w:t>Thước đo chính</w:t>
            </w:r>
          </w:p>
        </w:tc>
        <w:tc>
          <w:tcPr>
            <w:tcW w:w="2388" w:type="dxa"/>
          </w:tcPr>
          <w:p w14:paraId="4BB3DB00" w14:textId="77777777" w:rsidR="005D3DB2" w:rsidRDefault="00000000">
            <w:pPr>
              <w:pStyle w:val="Compact"/>
              <w:jc w:val="center"/>
            </w:pPr>
            <w:r>
              <w:t xml:space="preserve">Cơ sở lý thuyết và phương pháp</w:t>
            </w:r>
          </w:p>
        </w:tc>
      </w:tr>
      <w:tr w:rsidR="005D3DB2" w14:paraId="2DFD5B42" w14:textId="77777777">
        <w:trPr>
          <w:cantSplit/>
        </w:trPr>
        <w:tc>
          <w:tcPr>
            <w:tcW w:w="3400" w:type="dxa"/>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3000" w:type="dxa"/>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2388" w:type="dxa"/>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3400" w:type="dxa"/>
          </w:tcPr>
          <w:p w14:paraId="6BA2CDB6" w14:textId="77777777" w:rsidR="005D3DB2" w:rsidRDefault="00000000">
            <w:pPr>
              <w:pStyle w:val="Compact"/>
            </w:pPr>
            <w:r>
              <w:t xml:space="preserve">H</w:t>
            </w:r>
            <w:r>
              <w:rPr>
                <w:vertAlign w:val="subscript"/>
              </w:rPr>
              <w:t xml:space="preserve">2</w:t>
            </w:r>
            <w:r>
              <w:t xml:space="preserve">: Trong giai đoạn tham chiếu từ tháng 6/2009 đến tháng 6/2025, Chỉ số chất lượng thị trường vốn</w:t>
            </w:r>
            <w:r>
              <w:rPr>
                <w:vertAlign w:val="subscript"/>
              </w:rPr>
              <w:t xml:space="preserve"/>
            </w:r>
            <w:r>
              <w:t xml:space="preserve"> của sàn niêm yết HNX thấp hơn của HOSE (câu hỏi 2)</w:t>
            </w:r>
          </w:p>
        </w:tc>
        <w:tc>
          <w:tcPr>
            <w:tcW w:w="3000" w:type="dxa"/>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số ngày trễ hạn công bố</w:t>
            </w:r>
          </w:p>
        </w:tc>
        <w:tc>
          <w:tcPr>
            <w:tcW w:w="2388" w:type="dxa"/>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3400" w:type="dxa"/>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có lợi suất tuyệt đối dưới ngưỡng chung và không liền sau ngày có lợi suất tuyệt đối từ ngưỡng chung trở lên, giảm so với nhóm đối chứng (câu hỏi 3)</w:t>
            </w:r>
          </w:p>
        </w:tc>
        <w:tc>
          <w:tcPr>
            <w:tcW w:w="3000" w:type="dxa"/>
          </w:tcPr>
          <w:p w14:paraId="3D56315F" w14:textId="77777777" w:rsidR="005D3DB2" w:rsidRDefault="00000000">
            <w:pPr>
              <w:pStyle w:val="Compact"/>
            </w:pPr>
            <w:r>
              <w:t xml:space="preserve">Logarit độ phi thanh khoản Amihud trên các ngày có lợi suất tuyệt đối dưới ngưỡng chung, loại ngày liền sau ngày có lợi suất tuyệt đối từ ngưỡng chung trở lên (chính); vòng quay, tỷ lệ ngày lợi suất bằng 0 (phụ)</w:t>
            </w:r>
          </w:p>
        </w:tc>
        <w:tc>
          <w:tcPr>
            <w:tcW w:w="2388" w:type="dxa"/>
          </w:tcPr>
          <w:p w14:paraId="2EB0DA83" w14:textId="77777777" w:rsidR="005D3DB2" w:rsidRDefault="00000000">
            <w:pPr>
              <w:pStyle w:val="Compact"/>
            </w:pPr>
            <w:r>
              <w:t xml:space="preserve">Amihud và cộng sự (1997); Nielsson (2009); Hisada (2018); Coval và Moskowitz (1999); Loughran và Schultz (2005); Conley và Taber (2011); Rambachan và Roth (2023)</w:t>
            </w:r>
          </w:p>
        </w:tc>
      </w:tr>
      <w:tr w:rsidR="005D3DB2" w14:paraId="001DB05F" w14:textId="77777777">
        <w:trPr>
          <w:cantSplit/>
        </w:trPr>
        <w:tc>
          <w:tcPr>
            <w:tcW w:w="3400" w:type="dxa"/>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(rổ cổ phiếu HOSE đối sánh, mục 4.3.6) và rổ cổ phiếu chuyển sàn thu hẹp sau ngày 28/12/2026 (câu hỏi 3)</w:t>
            </w:r>
          </w:p>
        </w:tc>
        <w:tc>
          <w:tcPr>
            <w:tcW w:w="3000" w:type="dxa"/>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2388" w:type="dxa"/>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(1979) ở mức 5%; H</w:t>
      </w:r>
      <w:r>
        <w:rPr>
          <w:vertAlign w:val="subscript"/>
        </w:rPr>
        <w:t xml:space="preserve">4</w:t>
      </w:r>
      <w:r>
        <w:t xml:space="preserve"> được báo cáo bằng ước lượng và khoảng tin cậy; các tương tác của tác động H</w:t>
      </w:r>
      <w:r>
        <w:rPr>
          <w:vertAlign w:val="subscript"/>
        </w:rPr>
        <w:t xml:space="preserve">3</w:t>
      </w:r>
      <w:r>
        <w:t xml:space="preserve"> là phân tích phụ đăng ký trước, không đưa vào thủ tục Holm.</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Với H</w:t>
      </w:r>
      <w:r>
        <w:rPr>
          <w:vertAlign w:val="subscript"/>
        </w:rPr>
        <w:t xml:space="preserve">2</w:t>
      </w:r>
      <w:r>
        <w:t xml:space="preserve">, chênh lệch có thể do quy mô doanh nghiệp và do biên độ dao động giá, hiện là ±7% ở HOSE, ±10% ở HNX và ±15% ở UPCoM; theo Điều 4 Thông tư số 120/2020/TT-BTC, biên độ do VNX quyết định sau khi Ủy ban Chứng khoán Nhà nước chấp thuận, và Ủy ban có thể điều chỉnh khi cần ổn định thị trường (Bộ Tài chính, 2020). Trong quý 1 năm thứ nhất, đề tài lập bảng biên độ và bước giá hiệu lực theo từng thời kỳ 2009–2025 từ các quyết định của HOSE, HNX và Ủy ban Chứng khoán Nhà nước, và tính các chỉ báo theo đúng quy định của từng thời kỳ. Vì vậy, chỉ số được so sánh trên mẫu đối sánh theo quy mô và ngành, và được tính lại khi bỏ hai chỉ báo bị biên độ cắt trực tiếp là độ phi thanh khoản Amihud và chênh lệch Corwin–Schultz; tỷ số phương sai và độ trễ giá chỉ chịu biên độ gián tiếp và được kiểm tra bằng phép tính lại khi bỏ chiều hiệu quả thông tin (mục 4.3.4).</w:t>
      </w:r>
    </w:p>
    <w:p w:rsidR="005D3DB2" w:rsidRDefault="00000000">
      <w:pPr>
        <w:pStyle w:val="BodyText"/>
      </w:pPr>
      <w:r>
        <w:t xml:space="preserve">Bước giá cũng khác nhau. Với giao dịch khớp lệnh cổ phiếu, bước giá ở HOSE là 10 đồng khi giá dưới 10.000 đồng, 50 đồng khi giá từ 10.000 đến 49.950 đồng và 100 đồng từ 50.000 đồng trở lên (Sở Giao dịch Chứng khoán Thành phố Hồ Chí Minh, 2025), còn ở HNX là 100 đồng cho mọi mức giá (Sở Giao dịch Chứng khoán Hà Nội, 2016, Điều 23). Bảng bước giá hiện hành của HOSE áp dụng từ ngày 12/9/2016 theo quy chế giao dịch ban hành kèm Quyết định số 341/QĐ-SGDHCM (Sở Giao dịch Chứng khoán Thành phố Hồ Chí Minh, 2016). Khi chuyển sàn, bước giá vì vậy giảm mười lần ở mã giá dưới 10.000 đồng, giảm một nửa ở mã giá từ 10.000 đến 49.950 đồng và không đổi ở mã giá cao hơn.</w:t>
      </w:r>
    </w:p>
    <w:p w:rsidR="005D3DB2" w:rsidRDefault="00000000">
      <w:pPr>
        <w:pStyle w:val="BodyText"/>
      </w:pPr>
      <w:r>
        <w:t xml:space="preserve">Vì tỷ lệ ngày lợi suất bằng 0 và chênh lệch Corwin–Schultz phản ánh một phần bước giá, nhất là ở cổ phiếu giá thấp, hai chỉ báo này được báo cáo theo nhóm mức giá, và thay đổi của tỷ lệ ngày lợi suất bằng 0 trong H</w:t>
      </w:r>
      <w:r>
        <w:rPr>
          <w:vertAlign w:val="subscript"/>
        </w:rPr>
        <w:t xml:space="preserve">3</w:t>
      </w:r>
      <w:r>
        <w:t xml:space="preserve"> được đọc cùng với mức giảm bước giá khi chuyển sàn.</w:t>
      </w:r>
    </w:p>
    <w:p w:rsidR="005D3DB2" w:rsidRDefault="00000000">
      <w:pPr>
        <w:pStyle w:val="BodyText"/>
      </w:pPr>
      <w:r>
        <w:t xml:space="preserve">Với H</w:t>
      </w:r>
      <w:r>
        <w:rPr>
          <w:vertAlign w:val="subscript"/>
        </w:rPr>
        <w:t xml:space="preserve">3</w:t>
      </w:r>
      <w:r>
        <w:t xml:space="preserve">, biên độ hẹp lại từ ±10% xuống ±7% khi chuyển sàn làm lợi suất tuyệt đối bị cắt ở những ngày chạm biên độ, nên độ phi thanh khoản Amihud có thể giảm một cách cơ học. Chỉ loại các ngày chạm biên độ thì chưa đủ, vì sau khi chuyển sàn mọi ngày lẽ ra có lợi suất tuyệt đối khoảng 7% đến 10% đều thành ngày chạm biên độ và bị loại.</w:t>
      </w:r>
    </w:p>
    <w:p w:rsidR="005D3DB2" w:rsidRDefault="00000000">
      <w:pPr>
        <w:pStyle w:val="BodyText"/>
      </w:pPr>
      <w:r>
        <w:t xml:space="preserve">Đề tài vì vậy tính Amihud, ở cả hai nhóm và hai giai đoạn, chỉ trên các ngày có lợi suất tuyệt đối dưới một ngưỡng chung và không liền sau một ngày có lợi suất tuyệt đối từ ngưỡng này trở lên. Ngưỡng thấp hơn mức lợi suất lớn nhất đạt được ở biên độ ±7% với mọi mức giá đưa vào phép tính, sau khi giá trần được làm tròn xuống và giá sàn được làm tròn lên theo đơn vị yết giá của HOSE (Sở Giao dịch Chứng khoán Thành phố Hồ Chí Minh, 2025). Vì mức lợi suất lớn nhất này thấp hơn rõ ở cổ phiếu giá thấp (với giá tham chiếu 1.140 đồng và bước giá 10 đồng, giá trần là 1.210 đồng, tức chỉ tăng được 6,14%), các mã có giá dưới một mức tối thiểu ghi trong tệp đăng ký được loại khỏi phép tính Amihud và được báo cáo riêng. Vì ngưỡng giống nhau cho mọi cổ phiếu và mọi giai đoạn, tập ngày bị loại không đổi theo sàn.</w:t>
      </w:r>
    </w:p>
    <w:p w:rsidR="005D3DB2" w:rsidRDefault="00000000">
      <w:pPr>
        <w:pStyle w:val="BodyText"/>
      </w:pPr>
      <w:r>
        <w:t xml:space="preserve">Giá trị ngưỡng và số ngày hợp lệ tối thiểu mỗi tháng được ghi trong tệp đăng ký; tỷ lệ ngày bị loại được báo cáo theo nhóm và giai đoạn. Giá trị giao dịch chỉ gồm giao dịch khớp lệnh, và vòng quay (thước đo không dùng lợi suất) là thước đo đối chiếu.</w:t>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các kỳ 1–40, do Z/Yen công bố công khai từ năm 2007, được thí sinh số hóa từ báo cáo từng kỳ nếu Long Finance cho phép (nếu không, xem phương án dự phòng ở mục 4.3.10) và ghép với các chỉ báo thị trường cổ phiếu cấp quốc gia (Čihák và cộng sự, 2012) và các chỉ số quản trị nhà nước (Kaufmann và cộng sự, 2011).</w:t>
      </w:r>
    </w:p>
    <w:p w:rsidR="005D3DB2" w:rsidRDefault="00000000">
      <w:pPr>
        <w:pStyle w:val="FirstParagraph"/>
      </w:pPr>
      <w:r>
        <w:t xml:space="preserve">Bộ dữ liệu Việt Nam gồm giá điều chỉnh, khối lượng và giá trị giao dịch theo ngày của cổ phiếu trên sàn niêm yết HNX, UPCoM và HOSE, kể cả mã đã hủy niêm yết hoặc chuyển sàn, cùng các chỉ số thị trường, lợi suất trái phiếu chính phủ kỳ hạn một năm và thời điểm công bố báo cáo tài chính quý. Nguồn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khai trương (ngày 24/6/2009). Vì HNX ngừng tiếp nhận hồ sơ đăng ký niêm yết cổ phiếu mới từ ngày 01/7/2025 (Bộ Tài chính, 2023), giai đoạn tham chiếu kết thúc ngày 30/6/2025. Giai đoạn từ tháng 7/2025 đến tháng 12/2026 là giai đoạn chuyển tiếp, được báo cáo riêng (phiên bản nghiên cứu sự kiện và phần mô tả), không dùng trong các kiểm định chính; giai đoạn sau sự kiện kéo dài 24 tháng từ tháng 1/2027.</w:t>
      </w:r>
    </w:p>
    <w:p w:rsidR="005D3DB2" w:rsidRDefault="00000000">
      <w:pPr>
        <w:pStyle w:val="BodyText"/>
      </w:pPr>
      <w:r>
        <w:t xml:space="preserve">Ngày bị đình chỉ giao dịch được loại khỏi mẫu số của tỷ lệ ngày lợi suất bằng 0. Độ phi thanh khoản Amihud được winsorize tại phân vị 1% và 99% tính trên mẫu gộp các sàn trong từng tháng, để ngưỡng không đổi khi cổ phiếu đổi sàn.</w:t>
      </w:r>
    </w:p>
    <w:p w:rsidR="005D3DB2" w:rsidRDefault="00000000">
      <w:pPr>
        <w:pStyle w:val="BodyText"/>
      </w:pPr>
      <w:r>
        <w:t xml:space="preserve">Giai đoạn căng thẳng, chỉ dùng cho phân tích mô tả, gồm đại dịch COVID-19 năm 2020 (Dao và cộng sự, 2021) và biến cố thị trường trái phiếu doanh nghiệp từ quý 4/2022 (International Monetary Fund, 2023; Vu và cộng sự, 2024).</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Hai chỉ báo đầu là chỉ báo chính vì đã được dùng rộng rãi ở thị trường mới nổi (Bekaert và cộng sự, 2007; Lesmond, 2005) và đã được so sánh với chuẩn tính từ dữ liệu trong ngày trên mẫu toàn cầu (Fong và cộng sự, 2017).</w:t>
      </w:r>
    </w:p>
    <w:p w:rsidR="005D3DB2" w:rsidRDefault="00000000">
      <w:pPr>
        <w:pStyle w:val="FirstParagraph"/>
      </w:pPr>
      <w:r>
        <w:t xml:space="preserve">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chỉ số được tính lại khi bỏ chiều này. Chiều minh bạch là số ngày trễ hạn công bố báo cáo tài chính quý.</w:t>
      </w:r>
    </w:p>
    <w:p w:rsidR="005D3DB2" w:rsidRDefault="00000000">
      <w:pPr>
        <w:pStyle w:val="FirstParagraph"/>
      </w:pPr>
      <w:r>
        <w:t xml:space="preserve">Các chỉ báo cổ phiếu được gộp lên cấp sàn bằng trung vị có trọng số theo vốn hóa; độ phi thanh khoản Amihud được điều chỉnh theo tổng vốn hóa thị trường so với tháng 6/2025 để chỉ số không thay đổi chỉ vì quy mô danh nghĩa của thị trường.</w:t>
      </w:r>
    </w:p>
    <w:p>
      <w:pPr>
        <w:pStyle w:val="FirstParagraph"/>
      </w:pPr>
      <w:r>
        <w:t xml:space="preserve">Các chỉ báo được gộp thành Chỉ số chất lượng thị trường vốn theo hướng dẫn của OECD (2008). Mỗi chỉ báo được chuẩn hóa thành điểm z theo mẫu gộp các sàn trong giai đoạn tham chiếu, để giá trị đã công bố không phải tính lại, rồi đổi dấu sao cho giá trị cao hơn là chất lượng tốt hơn. Với sàn j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jt</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 xml:space="preserve">TK</m:t>
                </m:r>
              </m:e>
              <m:sub>
                <m:r>
                  <w:rPr>
                    <w:rFonts w:ascii="Cambria Math" w:hAnsi="Cambria Math"/>
                  </w:rPr>
                  <m:t xml:space="preserve">jt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 xml:space="preserve">HQ</m:t>
                </m:r>
              </m:e>
              <m:sub>
                <m:r>
                  <w:rPr>
                    <w:rFonts w:ascii="Cambria Math" w:hAnsi="Cambria Math"/>
                  </w:rPr>
                  <m:t xml:space="preserve">jt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 xml:space="preserve">MB</m:t>
                </m:r>
              </m:e>
              <m:sub>
                <m:r>
                  <w:rPr>
                    <w:rFonts w:ascii="Cambria Math" w:hAnsi="Cambria Math"/>
                  </w:rPr>
                  <m:t xml:space="preserve">jt</m:t>
                </m:r>
              </m:sub>
            </m:sSub>
          </m:num>
          <m:den>
            <m:r>
              <m:rPr>
                <m:sty m:val="p"/>
              </m:rPr>
              <w:rPr>
                <w:rFonts w:ascii="Cambria Math" w:hAnsi="Cambria Math"/>
              </w:rPr>
              <m:t xml:space="preserve">3</m:t>
            </m:r>
          </m:den>
        </m:f>
      </m:oMath>
      <w:r>
        <w:t xml:space="preserve"> </w:t>
        <w:tab/>
        <w:t>(1)</w:t>
      </w:r>
    </w:p>
    <w:p>
      <w:pPr>
        <w:pStyle w:val="FirstParagraph"/>
      </w:pPr>
      <w:r>
        <w:t xml:space="preserve">trong đó MQI</w:t>
      </w:r>
      <w:r>
        <w:rPr>
          <w:vertAlign w:val="subscript"/>
        </w:rPr>
        <w:t xml:space="preserve">jt</w:t>
      </w:r>
      <w:r>
        <w:t xml:space="preserve"> là Chỉ số chất lượng thị trường vốn của sàn j (sàn niêm yết HNX, UPCoM hoặc HOSE) trong tháng t; TK</w:t>
      </w:r>
      <w:r>
        <w:rPr>
          <w:vertAlign w:val="subscript"/>
        </w:rPr>
        <w:t xml:space="preserve">jt</w:t>
      </w:r>
      <w:r>
        <w:t xml:space="preserve">, HQ</w:t>
      </w:r>
      <w:r>
        <w:rPr>
          <w:vertAlign w:val="subscript"/>
        </w:rPr>
        <w:t xml:space="preserve">jt</w:t>
      </w:r>
      <w:r>
        <w:t xml:space="preserve"> và MB</w:t>
      </w:r>
      <w:r>
        <w:rPr>
          <w:vertAlign w:val="subscript"/>
        </w:rPr>
        <w:t xml:space="preserve">jt</w:t>
      </w:r>
      <w:r>
        <w:t xml:space="preserve"> là điểm của ba chiều thanh khoản, hiệu quả thông tin và minh bạch, mỗi điểm bằng trung bình các điểm z của chỉ báo thuộc chiều đó (ba chỉ báo thanh khoản, hai chỉ báo hiệu quả thông tin, một chỉ báo minh bạch). Như vậy ba chiều có trọng số bằng nhau. Trọng số từ thành phần chính thứ nhất và cách gộp bỏ lần lượt từng chiều là kiểm tra độ vững (OECD, 2008).</w:t>
      </w:r>
    </w:p>
    <w:p>
      <w:pPr>
        <w:pStyle w:val="FirstParagraph"/>
      </w:pPr>
      <w:r>
        <w:t xml:space="preserve">H</w:t>
      </w:r>
      <w:r>
        <w:rPr>
          <w:vertAlign w:val="subscript"/>
        </w:rPr>
        <w:t xml:space="preserve">2</w:t>
      </w:r>
      <w:r>
        <w:t xml:space="preserve"> được kiểm định trên chuỗi chênh lệch chỉ số theo tháng giữa HOSE và sàn niêm yết HNX, và được ủng hộ khi chênh lệch bình quân trong giai đoạn tham chiếu dương với giá trị p bootstrap khối dừng (Politis &amp; Romano, 1994) nhỏ hơn ngưỡng Holm tương ứng. Chênh lệch trong giai đoạn chuyển tiếp, chênh lệch giữa HOSE và UPCoM, chênh lệch theo giai đoạn căng thẳng và điểm gãy cấu trúc (Bai &amp; Perron, 1998) được báo cáo ở dạng mô tả.</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và cho quy tắc có trạng thái thị trường (Hamilton, 1989; Kritzman và cộng sự, 2012). Bình quân theo bảy mô hình làm kết luận ít phụ thuộc vào sai số ước lượng của một mô hình, còn độ phân tán giữa các mô hình cho biết mức phụ thuộc đó.</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Bảy mô hình phân bổ dùng làm công cụ đo khả năng đầu tư</w:t>
      </w:r>
      <w:bookmarkEnd w:id="21"/>
    </w:p>
    <w:tbl>
      <w:tblPr>
        <w:tblStyle w:val="Table"/>
        <w:tblW w:w="8788" w:type="dxa"/>
        <w:tblLayout w:type="fixed"/>
        <w:tblLook w:val="0020" w:firstRow="1" w:lastRow="0" w:firstColumn="0" w:lastColumn="0" w:noHBand="0" w:noVBand="0"/>
      </w:tblPr>
      <w:tblGrid>
        <w:gridCol w:w="900"/>
        <w:gridCol w:w="4600"/>
        <w:gridCol w:w="3288"/>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20971C1" w14:textId="77777777" w:rsidR="005D3DB2" w:rsidRDefault="00000000">
            <w:pPr>
              <w:pStyle w:val="Compact"/>
              <w:jc w:val="center"/>
            </w:pPr>
            <w:r>
              <w:t>Mã</w:t>
            </w:r>
          </w:p>
        </w:tc>
        <w:tc>
          <w:tcPr>
            <w:tcW w:w="4600" w:type="dxa"/>
          </w:tcPr>
          <w:p w14:paraId="7F5DC59D" w14:textId="77777777" w:rsidR="005D3DB2" w:rsidRDefault="00000000">
            <w:pPr>
              <w:pStyle w:val="Compact"/>
              <w:jc w:val="center"/>
            </w:pPr>
            <w:r>
              <w:t>Mô hình</w:t>
            </w:r>
          </w:p>
        </w:tc>
        <w:tc>
          <w:tcPr>
            <w:tcW w:w="3288" w:type="dxa"/>
          </w:tcPr>
          <w:p w14:paraId="4B730355" w14:textId="77777777" w:rsidR="005D3DB2" w:rsidRDefault="00000000">
            <w:pPr>
              <w:pStyle w:val="Compact"/>
              <w:jc w:val="center"/>
            </w:pPr>
            <w:r>
              <w:t xml:space="preserve">Tài liệu gốc</w:t>
            </w:r>
          </w:p>
        </w:tc>
      </w:tr>
      <w:tr w:rsidR="005D3DB2" w14:paraId="4BB94694" w14:textId="77777777">
        <w:trPr>
          <w:cantSplit/>
        </w:trPr>
        <w:tc>
          <w:tcPr>
            <w:tcW w:w="900" w:type="dxa"/>
          </w:tcPr>
          <w:p w14:paraId="23DD3646" w14:textId="77777777" w:rsidR="005D3DB2" w:rsidRDefault="00000000">
            <w:pPr>
              <w:pStyle w:val="Compact"/>
            </w:pPr>
            <w:r>
              <w:t>M</w:t>
            </w:r>
            <w:r>
              <w:rPr>
                <w:vertAlign w:val="subscript"/>
              </w:rPr>
              <w:t>1</w:t>
            </w:r>
          </w:p>
        </w:tc>
        <w:tc>
          <w:tcPr>
            <w:tcW w:w="4600" w:type="dxa"/>
          </w:tcPr>
          <w:p w14:paraId="7877F437" w14:textId="77777777" w:rsidR="005D3DB2" w:rsidRDefault="00000000">
            <w:pPr>
              <w:pStyle w:val="Compact"/>
            </w:pPr>
            <w:r>
              <w:t>Phân bổ đều 1/N</w:t>
            </w:r>
          </w:p>
        </w:tc>
        <w:tc>
          <w:tcPr>
            <w:tcW w:w="3288" w:type="dxa"/>
          </w:tcPr>
          <w:p w14:paraId="2CE0EB8D" w14:textId="77777777" w:rsidR="005D3DB2" w:rsidRDefault="00000000">
            <w:pPr>
              <w:pStyle w:val="Compact"/>
            </w:pPr>
            <w:r>
              <w:t>DeMiguel và cộng sự (2009)</w:t>
            </w:r>
          </w:p>
        </w:tc>
      </w:tr>
      <w:tr w:rsidR="005D3DB2" w14:paraId="148889D3" w14:textId="77777777">
        <w:trPr>
          <w:cantSplit/>
        </w:trPr>
        <w:tc>
          <w:tcPr>
            <w:tcW w:w="900" w:type="dxa"/>
          </w:tcPr>
          <w:p w14:paraId="1DD58B1D" w14:textId="77777777" w:rsidR="005D3DB2" w:rsidRDefault="00000000">
            <w:pPr>
              <w:pStyle w:val="Compact"/>
            </w:pPr>
            <w:r>
              <w:t>M</w:t>
            </w:r>
            <w:r>
              <w:rPr>
                <w:vertAlign w:val="subscript"/>
              </w:rPr>
              <w:t>2</w:t>
            </w:r>
          </w:p>
        </w:tc>
        <w:tc>
          <w:tcPr>
            <w:tcW w:w="4600" w:type="dxa"/>
          </w:tcPr>
          <w:p w14:paraId="244687DE" w14:textId="77777777" w:rsidR="005D3DB2" w:rsidRDefault="00000000">
            <w:pPr>
              <w:pStyle w:val="Compact"/>
            </w:pPr>
            <w:r>
              <w:t>Phương sai nhỏ nhất với ma trận hiệp phương sai co rút</w:t>
            </w:r>
          </w:p>
        </w:tc>
        <w:tc>
          <w:tcPr>
            <w:tcW w:w="3288" w:type="dxa"/>
          </w:tcPr>
          <w:p w14:paraId="40D70932" w14:textId="77777777" w:rsidR="005D3DB2" w:rsidRDefault="00000000">
            <w:pPr>
              <w:pStyle w:val="Compact"/>
            </w:pPr>
            <w:r>
              <w:t>Ledoit và Wolf (2004)</w:t>
            </w:r>
          </w:p>
        </w:tc>
      </w:tr>
      <w:tr w:rsidR="005D3DB2" w14:paraId="72D0850C" w14:textId="77777777">
        <w:trPr>
          <w:cantSplit/>
        </w:trPr>
        <w:tc>
          <w:tcPr>
            <w:tcW w:w="900" w:type="dxa"/>
          </w:tcPr>
          <w:p w14:paraId="551C2224" w14:textId="77777777" w:rsidR="005D3DB2" w:rsidRDefault="00000000">
            <w:pPr>
              <w:pStyle w:val="Compact"/>
            </w:pPr>
            <w:r>
              <w:t>M</w:t>
            </w:r>
            <w:r>
              <w:rPr>
                <w:vertAlign w:val="subscript"/>
              </w:rPr>
              <w:t>3</w:t>
            </w:r>
          </w:p>
        </w:tc>
        <w:tc>
          <w:tcPr>
            <w:tcW w:w="4600" w:type="dxa"/>
          </w:tcPr>
          <w:p w14:paraId="3356ABA6" w14:textId="77777777" w:rsidR="005D3DB2" w:rsidRDefault="00000000">
            <w:pPr>
              <w:pStyle w:val="Compact"/>
            </w:pPr>
            <w:r>
              <w:t xml:space="preserve">Trung bình-phương sai với ước lượng mẫu</w:t>
            </w:r>
          </w:p>
        </w:tc>
        <w:tc>
          <w:tcPr>
            <w:tcW w:w="3288" w:type="dxa"/>
          </w:tcPr>
          <w:p w14:paraId="1F03E0B7" w14:textId="77777777" w:rsidR="005D3DB2" w:rsidRDefault="00000000">
            <w:pPr>
              <w:pStyle w:val="Compact"/>
            </w:pPr>
            <w:r>
              <w:t>Markowitz (1952)</w:t>
            </w:r>
          </w:p>
        </w:tc>
      </w:tr>
      <w:tr w:rsidR="005D3DB2" w14:paraId="73E18DCE" w14:textId="77777777">
        <w:trPr>
          <w:cantSplit/>
        </w:trPr>
        <w:tc>
          <w:tcPr>
            <w:tcW w:w="900" w:type="dxa"/>
          </w:tcPr>
          <w:p w14:paraId="448D22E2" w14:textId="77777777" w:rsidR="005D3DB2" w:rsidRDefault="00000000">
            <w:pPr>
              <w:pStyle w:val="Compact"/>
            </w:pPr>
            <w:r>
              <w:t>M</w:t>
            </w:r>
            <w:r>
              <w:rPr>
                <w:vertAlign w:val="subscript"/>
              </w:rPr>
              <w:t>4</w:t>
            </w:r>
          </w:p>
        </w:tc>
        <w:tc>
          <w:tcPr>
            <w:tcW w:w="4600" w:type="dxa"/>
          </w:tcPr>
          <w:p w14:paraId="758005CD" w14:textId="77777777" w:rsidR="005D3DB2" w:rsidRDefault="00000000">
            <w:pPr>
              <w:pStyle w:val="Compact"/>
            </w:pPr>
            <w:r>
              <w:t xml:space="preserve">Black-Litterman với quan điểm từ mô hình dự báo</w:t>
            </w:r>
          </w:p>
        </w:tc>
        <w:tc>
          <w:tcPr>
            <w:tcW w:w="3288" w:type="dxa"/>
          </w:tcPr>
          <w:p w14:paraId="4B6B712C" w14:textId="77777777" w:rsidR="005D3DB2" w:rsidRDefault="00000000">
            <w:pPr>
              <w:pStyle w:val="Compact"/>
            </w:pPr>
            <w:r>
              <w:t>Black và Litterman (1992)</w:t>
            </w:r>
          </w:p>
        </w:tc>
      </w:tr>
      <w:tr w:rsidR="005D3DB2" w14:paraId="2EFBFFC3" w14:textId="77777777">
        <w:trPr>
          <w:cantSplit/>
        </w:trPr>
        <w:tc>
          <w:tcPr>
            <w:tcW w:w="900" w:type="dxa"/>
          </w:tcPr>
          <w:p w14:paraId="2F0A1C76" w14:textId="77777777" w:rsidR="005D3DB2" w:rsidRDefault="00000000">
            <w:pPr>
              <w:pStyle w:val="Compact"/>
            </w:pPr>
            <w:r>
              <w:t>M</w:t>
            </w:r>
            <w:r>
              <w:rPr>
                <w:vertAlign w:val="subscript"/>
              </w:rPr>
              <w:t>5</w:t>
            </w:r>
          </w:p>
        </w:tc>
        <w:tc>
          <w:tcPr>
            <w:tcW w:w="4600" w:type="dxa"/>
          </w:tcPr>
          <w:p w14:paraId="31F2A1AD" w14:textId="77777777" w:rsidR="005D3DB2" w:rsidRDefault="00000000">
            <w:pPr>
              <w:pStyle w:val="Compact"/>
            </w:pPr>
            <w:r>
              <w:t xml:space="preserve">Black-Litterman có chuyển chế độ</w:t>
            </w:r>
          </w:p>
        </w:tc>
        <w:tc>
          <w:tcPr>
            <w:tcW w:w="3288" w:type="dxa"/>
          </w:tcPr>
          <w:p w14:paraId="44313646" w14:textId="77777777" w:rsidR="005D3DB2" w:rsidRDefault="00000000">
            <w:pPr>
              <w:pStyle w:val="Compact"/>
            </w:pPr>
            <w:r>
              <w:t xml:space="preserve">Mở rộng từ Nguyễn và Nguyễn (2026a)</w:t>
            </w:r>
          </w:p>
        </w:tc>
      </w:tr>
      <w:tr w:rsidR="005D3DB2" w14:paraId="3ECC16B1" w14:textId="77777777">
        <w:trPr>
          <w:cantSplit/>
        </w:trPr>
        <w:tc>
          <w:tcPr>
            <w:tcW w:w="900" w:type="dxa"/>
          </w:tcPr>
          <w:p w14:paraId="148F97A3" w14:textId="77777777" w:rsidR="005D3DB2" w:rsidRDefault="00000000">
            <w:pPr>
              <w:pStyle w:val="Compact"/>
            </w:pPr>
            <w:r>
              <w:t>M</w:t>
            </w:r>
            <w:r>
              <w:rPr>
                <w:vertAlign w:val="subscript"/>
              </w:rPr>
              <w:t>6</w:t>
            </w:r>
          </w:p>
        </w:tc>
        <w:tc>
          <w:tcPr>
            <w:tcW w:w="4600" w:type="dxa"/>
          </w:tcPr>
          <w:p w14:paraId="63B8F9BE" w14:textId="77777777" w:rsidR="005D3DB2" w:rsidRDefault="00000000">
            <w:pPr>
              <w:pStyle w:val="Compact"/>
            </w:pPr>
            <w:r>
              <w:t>Danh mục vững chắc với nhiều niềm tin tiên nghiệm</w:t>
            </w:r>
          </w:p>
        </w:tc>
        <w:tc>
          <w:tcPr>
            <w:tcW w:w="3288" w:type="dxa"/>
          </w:tcPr>
          <w:p w14:paraId="4A51CA56" w14:textId="77777777" w:rsidR="005D3DB2" w:rsidRDefault="00000000">
            <w:pPr>
              <w:pStyle w:val="Compact"/>
            </w:pPr>
            <w:r>
              <w:t>Garlappi và cộng sự (2007)</w:t>
            </w:r>
          </w:p>
        </w:tc>
      </w:tr>
      <w:tr w:rsidR="005D3DB2" w14:paraId="043CE885" w14:textId="77777777">
        <w:trPr>
          <w:cantSplit/>
        </w:trPr>
        <w:tc>
          <w:tcPr>
            <w:tcW w:w="900" w:type="dxa"/>
          </w:tcPr>
          <w:p w14:paraId="368F48C9" w14:textId="77777777" w:rsidR="005D3DB2" w:rsidRDefault="00000000">
            <w:pPr>
              <w:pStyle w:val="Compact"/>
            </w:pPr>
            <w:r>
              <w:t>M</w:t>
            </w:r>
            <w:r>
              <w:rPr>
                <w:vertAlign w:val="subscript"/>
              </w:rPr>
              <w:t>7</w:t>
            </w:r>
          </w:p>
        </w:tc>
        <w:tc>
          <w:tcPr>
            <w:tcW w:w="4600" w:type="dxa"/>
          </w:tcPr>
          <w:p w14:paraId="31E8219C" w14:textId="77777777" w:rsidR="005D3DB2" w:rsidRDefault="00000000">
            <w:pPr>
              <w:pStyle w:val="Compact"/>
            </w:pPr>
            <w:r>
              <w:t xml:space="preserve">Giảm tỷ trọng rủi ro theo xác suất trạng thái căng thẳng do mô hình tự ước lượng</w:t>
            </w:r>
          </w:p>
        </w:tc>
        <w:tc>
          <w:tcPr>
            <w:tcW w:w="3288" w:type="dxa"/>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 xml:space="preserve">Siêu tham số của các mô hình được chọn từ một lưới cho trước, với cùng quy tắc và cùng ngân sách tinh chỉnh. Vì M</w:t>
      </w:r>
      <w:r>
        <w:rPr>
          <w:vertAlign w:val="subscript"/>
        </w:rPr>
        <w:t xml:space="preserve">5</w:t>
      </w:r>
      <w:r>
        <w:t xml:space="preserve"> do thí sinh phát triển, kết quả được báo cáo cả khi có lẫn khi không có M</w:t>
      </w:r>
      <w:r>
        <w:rPr>
          <w:vertAlign w:val="subscript"/>
        </w:rPr>
        <w:t xml:space="preserve">5</w:t>
      </w:r>
      <w:r>
        <w:t xml:space="preserve">.</w:t>
      </w:r>
    </w:p>
    <w:p w14:paraId="0EEA8DBF" w14:textId="77777777" w:rsidR="005D3DB2" w:rsidRDefault="00000000">
      <w:pPr>
        <w:pStyle w:val="BodyText"/>
      </w:pPr>
      <w:r>
        <w:t xml:space="preserve">Thí sinh đã dùng dữ liệu cổ phiếu HOSE trong bài báo Nguyễn và Nguyễn (2026a) và trong các bản thảo số 4 và số 6 ở Bảng 7. Để kiểm soát rủi ro chọn kết quả sau khi xem dữ liệu, thí sinh đăng ký trước kế hoạch phân tích trên OSF Registries trước ngày 28/12/2026, sau khi xin góp ý của người hướng dẫn dự kiến, và khai rõ phạm vi sàn, giai đoạn và chỉ báo đã tính trong các bài trước.</w:t>
      </w:r>
    </w:p>
    <w:p w:rsidR="005D3DB2" w:rsidRDefault="00000000">
      <w:pPr>
        <w:pStyle w:val="BodyText"/>
      </w:pPr>
      <w:r>
        <w:t xml:space="preserve">Tệp đăng ký cố định trước mọi lựa chọn có thể ảnh hưởng tới kết quả: chỉ báo và trọng số; quy tắc lập rổ và ghép đối chứng; chi phí giao dịch và siêu tham số của bảy mô hình; đặc tả các phương trình (5)–(7) và thủ tục suy luận; ngưỡng lợi suất khi tính Amihud; quy tắc chọn cửa sổ trước theo điểm gãy cấu trúc; định nghĩa mức chịu cú sốc và biến trụ sở; mức ý nghĩa và cách hiệu chỉnh so sánh bội.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chỉ là thước đo phụ, vì khi lợi suất vượt trội trung bình âm, thường gặp trong giai đoạn căng thẳng, danh mục biến động mạnh hơn lại có tỷ số Sharpe ít âm hơn.</w:t>
      </w:r>
    </w:p>
    <w:p>
      <w:pPr>
        <w:pStyle w:val="FirstParagraph"/>
      </w:pPr>
      <w:r>
        <w:t xml:space="preserve">Với mỗi mô hình, mỗi rổ (rổ CS gồm cổ phiếu chuyển sàn, rổ H gồm cổ phiếu HOSE được ghép với rổ CS) và mỗi cửa sổ đánh giá, </w:t>
      </w:r>
      <w:r>
        <w:rPr>
          <w:i/>
          <w:iCs/>
        </w:rPr>
        <w:t xml:space="preserve">μ</w:t>
      </w:r>
      <w:r>
        <w:t xml:space="preserve"> và </w:t>
      </w:r>
      <w:r>
        <w:rPr>
          <w:i/>
          <w:iCs/>
        </w:rPr>
        <w:t xml:space="preserve">σ</w:t>
      </w:r>
      <w:r>
        <w:t xml:space="preserve">²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w:t>
      </w:r>
    </w:p>
    <w:p>
      <w:pPr>
        <w:pStyle w:val="FirstParagraph"/>
      </w:pPr>
      <w:r>
        <w:t xml:space="preserve">Đề tài dùng hai cấu hình chi phí. Cấu hình A dùng tỷ lệ cố định nhân với vòng quay danh mục. Cấu hình B dùng chi phí theo cổ phiếu và theo tháng, gồm phí giao dịch, thuế và một nửa chênh lệch mua-bán (giá chào đóng cửa nếu có, nếu không thì ước lượng theo Corwin &amp; Schultz, 2012), nên đo thêm kênh chi phí giao dịch mà sàn tác động. Lợi suất tương đương chắc chắn là:</w:t>
      </w:r>
    </w:p>
    <w:p>
      <w:pPr>
        <w:pStyle w:val="Equation"/>
      </w:pPr>
      <w:r>
        <w:tab/>
      </w:r>
      <m:oMath>
        <m:r>
          <w:rPr>
            <w:rFonts w:ascii="Cambria Math" w:hAnsi="Cambria Math"/>
          </w:rPr>
          <m:t xml:space="preserve">U</m:t>
        </m:r>
        <m:r>
          <m:rPr>
            <m:sty m:val="p"/>
          </m:rPr>
          <w:rPr>
            <w:rFonts w:ascii="Cambria Math" w:hAnsi="Cambria Math"/>
          </w:rPr>
          <m:t xml:space="preserve"> = </m:t>
        </m:r>
        <m:r>
          <w:rPr>
            <w:rFonts w:ascii="Cambria Math" w:hAnsi="Cambria Math"/>
          </w:rPr>
          <m:t xml:space="preserve">μ</m:t>
        </m:r>
        <m:r>
          <m:rPr>
            <m:sty m:val="p"/>
          </m:rPr>
          <w:rPr>
            <w:rFonts w:ascii="Cambria Math" w:hAnsi="Cambria Math"/>
          </w:rPr>
          <m:t xml:space="preserve"> − </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p>
          <m:sSupPr>
            <m:ctrlPr>
              <w:rPr>
                <w:rFonts w:ascii="Cambria Math" w:hAnsi="Cambria Math"/>
              </w:rPr>
            </m:ctrlPr>
          </m:sSupPr>
          <m:e>
            <m:r>
              <w:rPr>
                <w:rFonts w:ascii="Cambria Math" w:hAnsi="Cambria Math"/>
              </w:rPr>
              <m:t xml:space="preserve">σ</m:t>
            </m:r>
          </m:e>
          <m:sup>
            <m:r>
              <m:rPr>
                <m:sty m:val="p"/>
              </m:rPr>
              <w:rPr>
                <w:rFonts w:ascii="Cambria Math" w:hAnsi="Cambria Math"/>
              </w:rPr>
              <m:t xml:space="preserve">2</m:t>
            </m:r>
          </m:sup>
        </m:s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sub>
        </m:sSub>
        <m:r>
          <m:rPr>
            <m:sty m:val="p"/>
          </m:rPr>
          <w:rPr>
            <w:rFonts w:ascii="Cambria Math" w:hAnsi="Cambria Math"/>
          </w:rPr>
          <m:t xml:space="preserve">(H) − </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sub>
        </m:sSub>
        <m:r>
          <m:rPr>
            <m:sty m:val="p"/>
          </m:rPr>
          <w:rPr>
            <w:rFonts w:ascii="Cambria Math" w:hAnsi="Cambria Math"/>
          </w:rPr>
          <m:t xml:space="preserve">(CS)</m:t>
        </m:r>
      </m:oMath>
      <w:r>
        <w:t xml:space="preserve"> </w:t>
        <w:tab/>
        <w:t>(3)</w:t>
      </w:r>
    </w:p>
    <w:p>
      <w:pPr>
        <w:pStyle w:val="FirstParagraph"/>
      </w:pPr>
      <w:r>
        <w:t xml:space="preserve">Chỉ số khả năng đầu tư là khoảng cách bình quân theo bảy mô hình:</w:t>
      </w:r>
    </w:p>
    <w:p>
      <w:pPr>
        <w:pStyle w:val="Equation"/>
      </w:pPr>
      <w:r>
        <w:tab/>
      </w:r>
      <m:oMath>
        <m:r>
          <w:rPr>
            <w:rFonts w:ascii="Cambria Math" w:hAnsi="Cambria Math"/>
          </w:rPr>
          <m:t xml:space="preserve">Ḡ</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 xml:space="preserve">G</m:t>
                </m:r>
              </m:e>
              <m:sub>
                <m:r>
                  <w:rPr>
                    <w:rFonts w:ascii="Cambria Math" w:hAnsi="Cambria Math"/>
                  </w:rPr>
                  <m:t xml:space="preserve">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G</m:t>
                </m:r>
              </m:e>
              <m:sub>
                <m:r>
                  <w:rPr>
                    <w:rFonts w:ascii="Cambria Math" w:hAnsi="Cambria Math"/>
                  </w:rPr>
                  <m:t xml:space="preserve">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 xml:space="preserve">G</m:t>
                </m:r>
              </m:e>
              <m:sub>
                <m:r>
                  <w:rPr>
                    <w:rFonts w:ascii="Cambria Math" w:hAnsi="Cambria Math"/>
                  </w:rPr>
                  <m:t xml:space="preserve">7</m:t>
                </m:r>
              </m:sub>
            </m:sSub>
          </m:num>
          <m:den>
            <m:r>
              <m:rPr>
                <m:sty m:val="p"/>
              </m:rPr>
              <w:rPr>
                <w:rFonts w:ascii="Cambria Math" w:hAnsi="Cambria Math"/>
              </w:rPr>
              <m:t xml:space="preserve">7</m:t>
            </m:r>
          </m:den>
        </m:f>
      </m:oMath>
      <w:r>
        <w:t xml:space="preserve"> </w:t>
        <w:tab/>
        <w:t>(4)</w:t>
      </w:r>
    </w:p>
    <w:p>
      <w:pPr>
        <w:pStyle w:val="FirstParagraph"/>
      </w:pPr>
      <w:r>
        <w:t xml:space="preserve">Chỉ số khả năng đầu tư </w:t>
      </w:r>
      <w:r>
        <w:rPr>
          <w:i/>
          <w:iCs/>
        </w:rPr>
        <w:t xml:space="preserve">Ḡ</w:t>
      </w:r>
      <w:r>
        <w:t xml:space="preserve"> được tính cho từng cửa sổ đánh giá, bằng điểm phần trăm mỗi năm; giá trị dương nghĩa là nhà đầu tư đa dạng hóa đạt lợi suất tương đương chắc chắn thấp hơn với rổ CS so với rổ H. Đề tài báo cáo kèm độ phân tán của </w:t>
      </w:r>
      <w:r>
        <w:rPr>
          <w:i/>
          <w:iCs/>
        </w:rPr>
        <w:t xml:space="preserve">G</w:t>
      </w:r>
      <w:r>
        <w:rPr>
          <w:vertAlign w:val="subscript"/>
        </w:rPr>
        <w:t xml:space="preserve">m</w:t>
      </w:r>
      <w:r>
        <w:t xml:space="preserve"> giữa bảy mô hình.</w:t>
      </w:r>
    </w:p>
    <w:p>
      <w:pPr>
        <w:pStyle w:val="FirstParagraph"/>
      </w:pPr>
      <w:r>
        <w:t xml:space="preserve">Rổ CS gồm tối đa 30 cổ phiếu chuyển sàn có giá trị giao dịch bình quân ba tháng lớn nhất tại ngày tham chiếu 30/6/2025. Rổ H gồm, cho mỗi mã của rổ CS, cổ phiếu HOSE gần nhất về vốn hóa, ngành và độ phi thanh khoản tại cùng ngày, ghép có hoàn lại. Thành phần hai rổ được giữ nguyên để so sánh cùng các cổ phiếu quanh sự kiện; vì hai rổ được lập theo cùng quy tắc, thiên lệch do thông tin tại ngày tham chiếu lỗi thời ở các cửa sổ xa hay do hồi quy về trung bình tác động lên cả hai rổ.</w:t>
      </w:r>
    </w:p>
    <w:p w14:paraId="20510674" w14:textId="77777777" w:rsidR="005D3DB2" w:rsidRDefault="00000000">
      <w:pPr>
        <w:pStyle w:val="BodyText"/>
      </w:pPr>
      <w:r>
        <w:t xml:space="preserve">Mỗi mô hình được ước lượng trên cửa sổ 104 tuần và đánh giá trên cửa sổ 3 tháng không chồng lấn (Hình 2): 20 cửa sổ từ quý 3/2020 đến quý 2/2025 và 8 cửa sổ từ quý 1/2027 đến quý 4/2028. Cửa sổ ước lượng sau sự kiện vẫn chứa dữ liệu trước ngày chuyển sàn, nên khoảng cách của M</w:t>
      </w:r>
      <w:r>
        <w:rPr>
          <w:vertAlign w:val="subscript"/>
        </w:rPr>
        <w:t xml:space="preserve">1</w:t>
      </w:r>
      <w:r>
        <w:t xml:space="preserve">, mô hình không cần ước lượng tham số, được báo cáo riêng như phép so sánh sạch nhất.</w:t>
      </w:r>
    </w:p>
    <w:p w:rsidR="005D3DB2" w:rsidRDefault="00000000">
      <w:pPr>
        <w:pStyle w:val="BodyText"/>
      </w:pPr>
      <w:r>
        <w:t xml:space="preserve">Vì số cửa sổ ít và lợi suất tương đương chắc chắn có phương sai lớn, H</w:t>
      </w:r>
      <w:r>
        <w:rPr>
          <w:vertAlign w:val="subscript"/>
        </w:rPr>
        <w:t xml:space="preserve">4</w:t>
      </w:r>
      <w:r>
        <w:t xml:space="preserve"> được báo cáo ở dạng ước lượng, kèm hiệu ứng nhỏ nhất phát hiện được tính trên dữ liệu tham chiếu.</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w:t>
      </w:r>
      <w:r>
        <w:rPr>
          <w:i/>
          <w:iCs/>
        </w:rPr>
        <w:t xml:space="preserve">G</w:t>
      </w:r>
      <w:r>
        <w:rPr>
          <w:vertAlign w:val="subscript"/>
        </w:rPr>
        <w:t xml:space="preserve">m</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 + </m:t>
        </m:r>
        <m:r>
          <w:rPr>
            <w:rFonts w:ascii="Cambria Math" w:hAnsi="Cambria Math"/>
          </w:rPr>
          <m:t xml:space="preserve">δ</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của cổ phiếu i trong tháng t, tính trên các ngày có lợi suất tuyệt đối dưới ngưỡng chung và không liền sau một ngày có lợi suất tuyệt đối từ ngưỡng này trở lên (mục 4.3.2);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Post</w:t>
      </w:r>
      <w:r>
        <w:rPr>
          <w:vertAlign w:val="subscript"/>
        </w:rPr>
        <w:t xml:space="preserve">t</w:t>
      </w:r>
      <w:r>
        <w:t xml:space="preserve"> bằng 1 từ tháng 1/2027;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 </w:t>
      </w:r>
      <w:r>
        <w:rPr>
          <w:i/>
          <w:iCs/>
        </w:rPr>
        <w:t xml:space="preserve">δ</w:t>
      </w:r>
      <w:r>
        <w:t xml:space="preserve"> là tác động của việc chuyển sàn; </w:t>
      </w:r>
      <w:r>
        <w:rPr>
          <w:i/>
          <w:iCs/>
        </w:rPr>
        <w:t xml:space="preserve">ε</w:t>
      </w:r>
      <w:r>
        <w:rPr>
          <w:vertAlign w:val="subscript"/>
        </w:rPr>
        <w:t xml:space="preserve">it</w:t>
      </w:r>
      <w:r>
        <w:t xml:space="preserve"> là sai số.</w:t>
      </w:r>
    </w:p>
    <w:p>
      <w:pPr>
        <w:pStyle w:val="BodyText"/>
      </w:pPr>
      <w:r>
        <w:t xml:space="preserve">Phương trình (5) được ước lượng trên giai đoạn tham chiếu (đến tháng 6/2025) và giai đoạn sau sự kiện (từ tháng 1/2027); các tháng từ 7/2025 đến 12/2026, gồm tháng chuyển sàn, chỉ được đưa vào phương trình (6). Vì giai đoạn tham chiếu dài 16 năm, cửa sổ trước của ước lượng chính bắt đầu sau điểm gãy cấu trúc cuối cùng của chuỗi chênh lệch theo tháng định nghĩa ở đoạn sau (Bai &amp; Perron, 1998), và ước lượng với cửa sổ trước 24 tháng (7/2023–6/2025) được báo cáo kèm.</w:t>
      </w:r>
    </w:p>
    <w:p>
      <w:pPr>
        <w:pStyle w:val="FirstParagraph"/>
      </w:pPr>
      <w:r>
        <w:t xml:space="preserve">Nhóm đối chứng chính gồm cổ phiếu HOSE ghép láng giềng gần nhất theo vốn hóa, ngành và độ phi thanh khoản tại ngày 30/6/2025, có hoàn lại, trong vùng hỗ trợ chung. Vì ghép theo độ phi thanh khoản có thể tạo hồi quy về trung bình, kết quả khi chỉ ghép theo vốn hóa và ngành được báo cáo thêm (Daw &amp; Hatfield, 2018). Nhóm đối chứng phụ gồm cổ phiếu UPCoM trong thời gian thị trường này còn do HNX vận hành.</w:t>
      </w:r>
    </w:p>
    <w:p>
      <w:pPr>
        <w:pStyle w:val="FirstParagraph"/>
      </w:pPr>
      <w:r>
        <w:t xml:space="preserve">Vì mọi cổ phiếu chuyển sàn cùng một ngày, suy luận chính dựa trên chuỗi d</w:t>
      </w:r>
      <w:r>
        <w:rPr>
          <w:vertAlign w:val="subscript"/>
        </w:rPr>
        <w:t xml:space="preserve">t</w:t>
      </w:r>
      <w:r>
        <w:t xml:space="preserve">, là chênh lệch trung bình logarit Amihud giữa cổ phiếu chuyển sàn và cổ phiếu đối chứng ghép cặp trong tháng t. Thống kê kiểm định là trung bình của d</w:t>
      </w:r>
      <w:r>
        <w:rPr>
          <w:vertAlign w:val="subscript"/>
        </w:rPr>
        <w:t xml:space="preserve">t</w:t>
      </w:r>
      <w:r>
        <w:t xml:space="preserve"> sau sự kiện trừ trung bình trong cửa sổ trước. Giá trị p chính được tính bằng bootstrap tự hồi quy trên d</w:t>
      </w:r>
      <w:r>
        <w:rPr>
          <w:vertAlign w:val="subscript"/>
        </w:rPr>
        <w:t xml:space="preserve">t</w:t>
      </w:r>
      <w:r>
        <w:t xml:space="preserve">, với mô hình tự hồi quy ước lượng trên giai đoạn tham chiếu, hệ số được hiệu chỉnh độ chệch, và kích thước kiểm định được kiểm tra bằng mô phỏng trước ngày đăng ký.</w:t>
      </w:r>
    </w:p>
    <w:p>
      <w:pPr>
        <w:pStyle w:val="FirstParagraph"/>
      </w:pPr>
      <w:r>
        <w:t xml:space="preserve">Suy luận trên các ngày sự kiện giả định trong giai đoạn tham chiếu, theo tinh thần của Conley và Taber (2011), chỉ là kiểm tra bổ sung: các cửa sổ giả chồng lấn nhau, chỉ tạo khoảng sáu cửa sổ độc lập, và mô phỏng sơ bộ của thí sinh cho thấy kiểm định này bác bỏ giả thuyết gốc với tần suất cao hơn đáng kể so với mức danh nghĩa. H</w:t>
      </w:r>
      <w:r>
        <w:rPr>
          <w:vertAlign w:val="subscript"/>
        </w:rPr>
        <w:t xml:space="preserve">3</w:t>
      </w:r>
      <w:r>
        <w:t xml:space="preserve"> được ủng hộ khi δ âm và giá trị p bootstrap tự hồi quy nhỏ hơn ngưỡng Holm tương ứng.</w:t>
      </w:r>
    </w:p>
    <w:p>
      <w:pPr>
        <w:pStyle w:val="BodyText"/>
      </w:pPr>
      <w:r>
        <w:t xml:space="preserve"/>
      </w:r>
      <w:r>
        <w:rPr>
          <w:vertAlign w:val="subscript"/>
        </w:rPr>
        <w:t xml:space="preserve"/>
      </w:r>
      <w:r>
        <w:t xml:space="preserve">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 xml:space="preserve">k</m:t>
            </m:r>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sSub>
              <m:sSubPr>
                <m:ctrlPr>
                  <w:rPr>
                    <w:rFonts w:ascii="Cambria Math" w:hAnsi="Cambria Math"/>
                  </w:rPr>
                </m:ctrlPr>
              </m:sSubPr>
              <m:e>
                <m:r>
                  <w:rPr>
                    <w:rFonts w:ascii="Cambria Math" w:hAnsi="Cambria Math"/>
                  </w:rPr>
                  <m:t xml:space="preserve">T</m:t>
                </m:r>
              </m:e>
              <m:sub>
                <m:r>
                  <w:rPr>
                    <w:rFonts w:ascii="Cambria Math" w:hAnsi="Cambria Math"/>
                  </w:rPr>
                  <m:t xml:space="preserve">kt</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it</m:t>
            </m:r>
          </m:sub>
        </m:sSub>
      </m:oMath>
      <w:r>
        <w:t xml:space="preserve"> </w:t>
        <w:tab/>
        <w:t>(6)</w:t>
      </w:r>
    </w:p>
    <w:p>
      <w:pPr>
        <w:pStyle w:val="FirstParagraph"/>
      </w:pPr>
      <w:r>
        <w:t xml:space="preserve">trong đó </w:t>
      </w:r>
      <w:r>
        <w:rPr>
          <w:i/>
          <w:iCs/>
        </w:rPr>
        <w:t xml:space="preserve">T</w:t>
      </w:r>
      <w:r>
        <w:rPr>
          <w:vertAlign w:val="subscript"/>
        </w:rPr>
        <w:t xml:space="preserve">kt</w:t>
      </w:r>
      <w:r>
        <w:t xml:space="preserve"> bằng 1 nếu tháng t là tháng k, với k chạy từ tháng 1/2024 đến tháng 12/2028 và bỏ tháng 6/2025 làm tháng gốc; các tháng trước 1/2024 được gộp thành một nhóm.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w:t>
      </w:r>
      <w:r>
        <w:rPr>
          <w:i/>
          <w:iCs/>
        </w:rPr>
        <w:t xml:space="preserve">δ</w:t>
      </w:r>
      <w:r>
        <w:rPr>
          <w:vertAlign w:val="subscript"/>
        </w:rPr>
        <w:t xml:space="preserve">k</w:t>
      </w:r>
      <w:r>
        <w:t xml:space="preserve"> từ tháng 1/2024 đến tháng 5/2025 bằng 0. Độ nhạy của kết luận trước các vi phạm xu hướng song song được đánh giá theo Rambachan và Roth (2023). Vì giữa tháng gốc và giai đoạn sau có 18 tháng chuyển tiếp, khoảng tin cậy theo cách này có thể rất rộng.</w:t>
      </w:r>
    </w:p>
    <w:p>
      <w:pPr>
        <w:pStyle w:val="FirstParagraph"/>
      </w:pPr>
      <w:r>
        <w:t xml:space="preserve">Việc chuyển sàn đổi nhiều quy tắc cùng lúc, trong đó ba quy tắc tác động mạnh yếu khác nhau tùy cổ phiếu: biên độ hẹp lại chỉ ràng buộc mã thường có lợi suất ngày lớn; bước giá nhỏ đi chủ yếu ở mã giá thấp; việc vào VN-Index và các chỉ số khác của HOSE tạo áp lực cầu lớn hơn ở mã có vốn hóa lớn so với giá trị giao dịch (mục 4.3.8).</w:t>
      </w:r>
    </w:p>
    <w:p>
      <w:pPr>
        <w:pStyle w:val="BodyText"/>
      </w:pPr>
      <w:r>
        <w:t xml:space="preserve">Ba mức chịu cú sốc tương ứng được đo bằng dữ liệu đến ngày 30/6/2025: tỷ lệ ngày có lợi suất tuyệt đối từ 7% đến dưới 10%; nghịch đảo của giá đóng cửa bình quân; và tỷ số giữa vốn hóa toàn phần và giá trị giao dịch bình quân ngày, vì VN-Index không điều chỉnh tỷ lệ tự do chuyển nhượng (Sở Giao dịch Chứng khoán Thành phố Hồ Chí Minh, 2026).</w:t>
      </w:r>
    </w:p>
    <w:p>
      <w:pPr>
        <w:pStyle w:val="FirstParagraph"/>
      </w:pPr>
      <w:r>
        <w:t xml:space="preserve">Bộ quy tắc của FTSE Russell coi cả HOSE và HNX là sàn đủ điều kiện ở Việt Nam (FTSE Russell, 2026a), nên việc đổi sàn tự nó không thay đổi tư cách được sàng lọc của một mã và không được coi là một kênh tác động qua chỉ số FTSE. Danh sách cổ phiếu đủ điều kiện, lập với dữ liệu đến ngày 30/6/2026, chỉ gồm mã niêm yết tại HOSE (FTSE Russell, 2026b) và được dùng để loại mã khỏi nhóm đối chứng; nếu mã chuyển sàn nào được đưa vào chỉ số ở các kỳ sau, δ được ước lượng thêm khi loại các mã này.</w:t>
      </w:r>
    </w:p>
    <w:p>
      <w:pPr>
        <w:pStyle w:val="FirstParagraph"/>
      </w:pPr>
      <w:r>
        <w:t xml:space="preserve">Phương trình (5) được mở rộng bằng các số hạng </w:t>
      </w:r>
      <w:r>
        <w:rPr>
          <w:i/>
          <w:iCs/>
        </w:rPr>
        <w:t xml:space="preserve">D</w:t>
      </w:r>
      <w:r>
        <w:rPr>
          <w:vertAlign w:val="subscript"/>
        </w:rPr>
        <w:t xml:space="preserve">i</w:t>
      </w:r>
      <w:r>
        <w:t xml:space="preserve">Post</w:t>
      </w:r>
      <w:r>
        <w:rPr>
          <w:vertAlign w:val="subscript"/>
        </w:rPr>
        <w:t xml:space="preserve">t</w:t>
      </w:r>
      <w:r>
        <w:rPr>
          <w:i/>
          <w:iCs/>
        </w:rPr>
        <w:t xml:space="preserve">E</w:t>
      </w:r>
      <w:r>
        <w:rPr>
          <w:vertAlign w:val="subscript"/>
        </w:rPr>
        <w:t xml:space="preserve">si</w:t>
      </w:r>
      <w:r>
        <w:t xml:space="preserve">, trong đó </w:t>
      </w:r>
      <w:r>
        <w:rPr>
          <w:i/>
          <w:iCs/>
        </w:rPr>
        <w:t xml:space="preserve">E</w:t>
      </w:r>
      <w:r>
        <w:rPr>
          <w:vertAlign w:val="subscript"/>
        </w:rPr>
        <w:t xml:space="preserve">si</w:t>
      </w:r>
      <w:r>
        <w:t xml:space="preserve"> là mức chịu cú sốc s của cổ phiếu i, trừ trung bình và chia cho độ lệch chuẩn giữa các mã chuyển sàn, nên </w:t>
      </w:r>
      <w:r>
        <w:rPr>
          <w:i/>
          <w:iCs/>
        </w:rPr>
        <w:t xml:space="preserve">δ</w:t>
      </w:r>
      <w:r>
        <w:t xml:space="preserve"> là tác động tại mức chịu cú sốc trung bình. Các số hạng </w:t>
      </w:r>
      <w:r>
        <w:rPr>
          <w:i/>
          <w:iCs/>
        </w:rPr>
        <w:t xml:space="preserve">E</w:t>
      </w:r>
      <w:r>
        <w:rPr>
          <w:vertAlign w:val="subscript"/>
        </w:rPr>
        <w:t xml:space="preserve">si</w:t>
      </w:r>
      <w:r>
        <w:rPr>
          <w:i/>
          <w:iCs/>
        </w:rPr>
        <w:t xml:space="preserve">τ</w:t>
      </w:r>
      <w:r>
        <w:rPr>
          <w:vertAlign w:val="subscript"/>
        </w:rPr>
        <w:t xml:space="preserve">t</w:t>
      </w:r>
      <w:r>
        <w:t xml:space="preserve"> cho mỗi mức chịu cú sốc một hiệu ứng theo tháng riêng, ước lượng trên mã đối chứng đo được cùng thước đo: mã UPCoM với biên độ, mã HOSE với bước giá và chỉ số. Nếu cổ phiếu UPCoM chuyển sang HOSE trước hoặc trong cửa sổ sau (mục 4.3.10), mức chịu cú sốc biên độ của mọi mã được đo bằng tỷ lệ ngày có lợi suất tuyệt đối từ ngưỡng chung trở lên và hiệu ứng theo tháng tương ứng được ước lượng trên mã HOSE đối chứng; thước đo này chỉ đại diện gần đúng cho mức chịu ràng buộc của biên độ.</w:t>
      </w:r>
    </w:p>
    <w:p>
      <w:pPr>
        <w:pStyle w:val="BodyText"/>
      </w:pPr>
      <w:r>
        <w:t xml:space="preserve">Giả định nhận dạng là: nếu không chuyển sàn, chênh lệch thanh khoản giữa mã chịu cú sốc mạnh và mã chịu cú sốc yếu trong nhóm chuyển sàn sẽ biến động như ở nhóm đối chứng; giả định này được kiểm tra bằng các hệ số trước sự kiện. Vì các mức chịu cú sốc có thể tương quan với nhau và với quy mô, hệ số tương tác không đo riêng tác động của từng quy tắc; mô hình có thêm tương tác với quy mô và với logarit Amihud ban đầu.</w:t>
      </w:r>
    </w:p>
    <w:p>
      <w:pPr>
        <w:pStyle w:val="FirstParagraph"/>
      </w:pPr>
      <w:r>
        <w:t xml:space="preserve">Mỗi hệ số tương tác được suy luận như δ, vì sai số chuẩn phân cụm theo cổ phiếu bác bỏ quá thường xuyên khi cú sốc chung theo tháng tác động mạnh hơn lên mã chịu cú sốc mạnh: với từng tháng, đề tài lấy hệ số góc của logarit Amihud theo mức chịu cú sốc ở mã chuyển sàn trừ hệ số góc ở mã đối chứng, rồi áp dụng bootstrap tự hồi quy cho chuỗi này. Các hệ số tương tác, kể cả theo trụ sở, là phân tích phụ đăng ký trước, không đưa vào thủ tục Holm.</w:t>
      </w:r>
    </w:p>
    <w:p>
      <w:pPr>
        <w:pStyle w:val="FirstParagraph"/>
      </w:pPr>
      <w:r>
        <w:t xml:space="preserve">Phân tích theo trụ sở kiểm tra xem việc chuyển sàn có tác động khác nhau đến doanh nghiệp có trụ sở tại Hà Nội và doanh nghiệp ở nơi khác hay không. Văn liệu cho thấy nhà quản lý quỹ ưa nắm giữ cổ phiếu của doanh nghiệp có trụ sở gần mình (Coval &amp; Moskowitz, 1999) và thanh khoản của cổ phiếu phụ thuộc vào vị trí trụ sở (Loughran &amp; Schultz, 2005), nhưng hai bài này nói về khoảng cách giữa nhà đầu tư và doanh nghiệp, không nói về vị trí của sàn. Kênh mà đề tài kiểm tra là sự chú ý và thông tin gắn với nơi đặt sàn: nếu kênh này có thật, cổ phiếu của doanh nghiệp có trụ sở tại Hà Nội được lợi ít hơn khi chuyển sang HOSE.</w:t>
      </w:r>
    </w:p>
    <w:p>
      <w:pPr>
        <w:pStyle w:val="FirstParagraph"/>
      </w:pPr>
      <w:r>
        <w:t xml:space="preserve">Chênh lệch này được ước lượng bằng tương tác giữa </w:t>
      </w:r>
      <w:r>
        <w:rPr>
          <w:i/>
          <w:iCs/>
        </w:rPr>
        <w:t xml:space="preserve">D</w:t>
      </w:r>
      <w:r>
        <w:rPr>
          <w:vertAlign w:val="subscript"/>
        </w:rPr>
        <w:t xml:space="preserve">i</w:t>
      </w:r>
      <w:r>
        <w:t xml:space="preserve">Post</w:t>
      </w:r>
      <w:r>
        <w:rPr>
          <w:vertAlign w:val="subscript"/>
        </w:rPr>
        <w:t xml:space="preserve">t</w:t>
      </w:r>
      <w:r>
        <w:t xml:space="preserve"> và biến giả trụ sở tại Hà Nội, xác định theo địa chỉ đăng ký tại ngày 30/6/2025, kèm tích của biến giả này với hiệu ứng cố định theo tháng (ước lượng trên các mã HOSE đối chứng có trụ sở tại Hà Nội) và tương tác với quy mô và ngành.</w:t>
      </w:r>
    </w:p>
    <w:p>
      <w:pPr>
        <w:pStyle w:val="FirstParagraph"/>
      </w:pPr>
      <w:r>
        <w:t xml:space="preserve">Chênh lệch theo trụ sở là ước lượng khác biệt của tác động trong cùng một thiết kế, không phải tác động nhân quả của vị trí trụ sở, và không đo lượng thanh khoản mà thị trường vốn Hà Nội mất, vì mọi mã đều chuyển sang HOSE. Khoảng tin cậy hẹp quanh 0 sẽ không ủng hộ vai trò của vị trí sàn khi giao dịch đã điện tử hóa toàn quốc.</w:t>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được lấy mẫu lại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 + </m:t>
        </m:r>
        <m:r>
          <w:rPr>
            <w:rFonts w:ascii="Cambria Math" w:hAnsi="Cambria Math"/>
          </w:rPr>
          <m:t xml:space="preserve">β</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it</m:t>
            </m:r>
          </m:sub>
        </m:sSub>
        <m:r>
          <m:rPr>
            <m:sty m:val="p"/>
          </m:rPr>
          <w:rPr>
            <w:rFonts w:ascii="Cambria Math" w:hAnsi="Cambria Math"/>
          </w:rPr>
          <m:t xml:space="preserve"> + </m:t>
        </m:r>
        <m:r>
          <w:rPr>
            <w:rFonts w:ascii="Cambria Math" w:hAnsi="Cambria Math"/>
          </w:rPr>
          <m:t xml:space="preserve">λ</m:t>
        </m:r>
        <m:sSub>
          <m:sSubPr>
            <m:ctrlPr>
              <w:rPr>
                <w:rFonts w:ascii="Cambria Math" w:hAnsi="Cambria Math"/>
              </w:rPr>
            </m:ctrlPr>
          </m:sSubPr>
          <m:e>
            <m:r>
              <w:rPr>
                <w:rFonts w:ascii="Cambria Math" w:hAnsi="Cambria Math"/>
              </w:rPr>
              <m:t xml:space="preserve">W</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của trung tâm i ở kỳ t, chuẩn hóa thành điểm z trong từng kỳ vì điểm GFCI được ước lượng lại mỗi kỳ và số trung tâm thay đổi giữa các kỳ. SMD</w:t>
      </w:r>
      <w:r>
        <w:rPr>
          <w:vertAlign w:val="subscript"/>
        </w:rPr>
        <w:t xml:space="preserve">it</w:t>
      </w:r>
      <w:r>
        <w:t xml:space="preserve"> là chỉ báo phát triển thị trường cổ phiếu, gộp từ tỷ lệ vòng quay và vốn hóa trên GDP (Čihák và cộng sự, 2012), còn </w:t>
      </w:r>
      <w:r>
        <w:rPr>
          <w:i/>
          <w:iCs/>
        </w:rPr>
        <w:t xml:space="preserve">W</w:t>
      </w:r>
      <w:r>
        <w:rPr>
          <w:vertAlign w:val="subscript"/>
        </w:rPr>
        <w:t xml:space="preserve">it</w:t>
      </w:r>
      <w:r>
        <w:t xml:space="preserve"> gồm thu nhập bình quân đầu người và chỉ số quản trị nhà nước (Kaufmann và cộng sự, 2011); cả hai được đo ở quốc gia chứa trung tâm i, trong năm liền trước kỳ t. </w:t>
      </w:r>
      <w:r>
        <w:rPr>
          <w:i/>
          <w:iCs/>
        </w:rPr>
        <w:t xml:space="preserve">λ</w:t>
      </w:r>
      <w:r>
        <w:t xml:space="preserve"> là véc-tơ hệ số của </w:t>
      </w:r>
      <w:r>
        <w:rPr>
          <w:i/>
          <w:iCs/>
        </w:rPr>
        <w:t xml:space="preserve">W</w:t>
      </w:r>
      <w:r>
        <w:rPr>
          <w:vertAlign w:val="subscript"/>
        </w:rPr>
        <w:t xml:space="preserve">it</w:t>
      </w:r>
      <w:r>
        <w:t xml:space="preserve">;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trung tâm và theo kỳ; </w:t>
      </w:r>
      <w:r>
        <w:rPr>
          <w:i/>
          <w:iCs/>
        </w:rPr>
        <w:t xml:space="preserve">ε</w:t>
      </w:r>
      <w:r>
        <w:rPr>
          <w:vertAlign w:val="subscript"/>
        </w:rPr>
        <w:t xml:space="preserve">it</w:t>
      </w:r>
      <w:r>
        <w:t xml:space="preserve"> là sai số. Nếu Cơ sở dữ liệu Phát triển Tài chính Toàn cầu không phủ các năm sau 2021, đề tài dùng số liệu của Liên đoàn các Sở Giao dịch Thế giới, sau khi kiểm tra độ phủ và điều khoản sử dụng.</w:t>
      </w:r>
    </w:p>
    <w:p>
      <w:pPr>
        <w:pStyle w:val="FirstParagraph"/>
      </w:pPr>
      <w:r>
        <w:t xml:space="preserve">Sai số chuẩn được phân cụm theo quốc gia. Vì mô hình có hiệu ứng cố định theo trung tâm, </w:t>
      </w:r>
      <w:r>
        <w:rPr>
          <w:i/>
          <w:iCs/>
        </w:rPr>
        <w:t xml:space="preserve">β</w:t>
      </w:r>
      <w:r>
        <w:t xml:space="preserve"> được xác định từ biến thiên theo thời gian trong từng quốc gia, và biến thiên này nhỏ vì </w:t>
      </w:r>
      <w:r>
        <w:rPr/>
        <w:t xml:space="preserve">SMD</w:t>
      </w:r>
      <w:r>
        <w:t xml:space="preserve"> thay đổi chậm; đề tài báo cáo thêm ước lượng không có hiệu ứng cố định theo trung tâm. Điểm GFCI đã chứa vốn hóa, giá trị và khối lượng giao dịch cổ phiếu từ Liên đoàn các Sở Giao dịch Thế giới (3 trong 144 nhân tố của kỳ GFCI 40; Wardle &amp; Mainelli, 2026), và trung tâm mạnh có thể kéo theo giao dịch cổ phiếu, nên </w:t>
      </w:r>
      <w:r>
        <w:rPr>
          <w:i/>
          <w:iCs/>
        </w:rPr>
        <w:t xml:space="preserve">β</w:t>
      </w:r>
      <w:r>
        <w:t xml:space="preserve"> được gọi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là xu hướng song song, được kiểm tra bằng các hệ số trước sự kiện của phương trình (6).</w:t>
      </w:r>
      <w:r>
        <w:rPr>
          <w:i/>
          <w:iCs/>
        </w:rPr>
        <w:t xml:space="preserve"/>
      </w:r>
      <w:r>
        <w:t xml:space="preserve"/>
      </w:r>
      <w:r>
        <w:rPr>
          <w:i/>
          <w:iCs/>
        </w:rPr>
        <w:t xml:space="preserve"/>
      </w:r>
      <w:r>
        <w:t xml:space="preserve"/>
      </w:r>
    </w:p>
    <w:p w:rsidR="005D3DB2" w:rsidRDefault="00000000">
      <w:pPr>
        <w:pStyle w:val="FirstParagraph"/>
      </w:pPr>
      <w:r>
        <w:t xml:space="preserve">Thứ hai, nhóm đối chứng không chịu tác động của sự kiện. Nhóm đối chứng HOSE chịu ba thay đổi trùng thời gian: FTSE Russell đưa cổ phiếu Việt Nam vào chỉ số theo bốn đợt từ tháng 9/2026 đến tháng 9/2027 (FTSE Russell, 2026b); HOSE dự kiến công bố phân loại cổ phiếu vào Bảng Chính và Bảng Tiêu chuẩn lần đầu ngày 28/12/2026, theo dự thảo quy chế đang lấy ý kiến (Tuổi Trẻ Online, 2026a); và VN-Index, vốn tự động cập nhật danh mục sau ngày giao dịch đầu tiên của cổ phiếu niêm yết mới (Sở Giao dịch Chứng khoán Thành phố Hồ Chí Minh, 2026), nhiều khả năng nhận các mã chuyển sàn từ phiên thứ hai trên HOSE. Ngày vào chỉ số thực tế của từng mã và quy chế phân bảng chính thức, khi được ban hành, được ghi lại từ công bố của HOSE và đưa vào ước lượng.</w:t>
      </w:r>
    </w:p>
    <w:p w:rsidR="005D3DB2" w:rsidRDefault="00000000">
      <w:pPr>
        <w:pStyle w:val="FirstParagraph"/>
      </w:pPr>
      <w:r>
        <w:t xml:space="preserve">Vì vậy, nhóm đối chứng HOSE loại các mã thuộc danh sách đủ điều kiện của FTSE Russell, δ được ước lượng thêm với biến giả nhóm bảng phân loại, và thanh khoản của từng nhóm đối chứng được so với xu hướng trước của chính nhóm đó.</w:t>
      </w:r>
    </w:p>
    <w:p w:rsidR="005D3DB2" w:rsidRDefault="00000000">
      <w:pPr>
        <w:pStyle w:val="FirstParagraph"/>
      </w:pPr>
      <w:r>
        <w:t xml:space="preserve">Ủy ban Chứng khoán Nhà nước cũng đang nghiên cứu nới biên độ và giao dịch xuyên trưa (Thời báo Tài chính Việt Nam, 2026). Nếu các thay đổi này được áp dụng trong cửa sổ sau, ngày áp dụng được ghi là một cú sốc trùng thời gian và ước lượng được báo cáo thêm với cửa sổ sau cắt tại ngày đó.</w:t>
      </w:r>
    </w:p>
    <w:p w:rsidR="005D3DB2" w:rsidRDefault="00000000">
      <w:pPr>
        <w:pStyle w:val="FirstParagraph"/>
      </w:pPr>
      <w:r>
        <w:t xml:space="preserve">Nếu nhóm đối chứng HOSE mất thanh khoản do dòng lệnh chuyển sang cổ phiếu chuyển sàn, δ phóng đại tác động, và ước lượng với nhóm đối chứng UPCoM, nếu nhóm này còn dữ liệu sau sự kiện, là một cận khác. Ngược lại, nếu thanh khoản lan tỏa dương sang nhóm đối chứng HOSE, như đã ghi nhận ở Tel Aviv (Amihud và cộng sự, 1997) và quanh đợt hợp nhất Tokyo–Osaka (Hisada, 2018), δ đánh giá thấp tác động.</w:t>
      </w:r>
    </w:p>
    <w:p w:rsidR="005D3DB2" w:rsidRDefault="00000000">
      <w:pPr>
        <w:pStyle w:val="FirstParagraph"/>
      </w:pPr>
      <w:r>
        <w:t xml:space="preserve">Thứ ba, việc rời mẫu không liên quan đến sự kiện; đề tài báo cáo tỷ lệ mã hủy niêm yết ở từng nhóm và ước lượng lại trên bảng cân bằng. Vì việc chuyển sàn đổi cùng lúc biên độ, bước giá, hệ thống giao dịch và tư cách thành phần chỉ số, δ đo tác động gộp của sàn, không đo riêng từng quy tắc.</w:t>
      </w:r>
    </w:p>
    <w:p w14:paraId="6A2099F9" w14:textId="77777777" w:rsidR="005D3DB2" w:rsidRDefault="00000000">
      <w:pPr>
        <w:pStyle w:val="BodyText"/>
      </w:pPr>
      <w:r>
        <w:rPr>
          <w:b/>
          <w:bCs/>
        </w:rPr>
        <w:t xml:space="preserve">Từ bằng chứng đến định hướng cho Hà Nội.</w:t>
      </w:r>
      <w:r>
        <w:t xml:space="preserve"> Kết quả H</w:t>
      </w:r>
      <w:r>
        <w:rPr>
          <w:vertAlign w:val="subscript"/>
        </w:rPr>
        <w:t xml:space="preserve">1</w:t>
      </w:r>
      <w:r>
        <w:t xml:space="preserve">–H</w:t>
      </w:r>
      <w:r>
        <w:rPr>
          <w:vertAlign w:val="subscript"/>
        </w:rPr>
        <w:t xml:space="preserve">4</w:t>
      </w:r>
      <w:r>
        <w:t xml:space="preserve"> được tổng hợp cùng phép so sánh vai trò của Hà Nội với Bắc Kinh và Thượng Hải (Lai, 2012; Wang và cộng sự, 2007) và với Thành phố Hồ Chí Minh, dựa trên văn bản chính sách và dữ liệu công khai, thành định hướng chuyên môn hóa cho các thị trường mà HNX tiếp tục vận hành. Phần này là tổng hợp định tính, không kiểm định giả thuyết.</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Lực kiểm định của H</w:t>
      </w:r>
      <w:r>
        <w:rPr>
          <w:vertAlign w:val="subscript"/>
        </w:rPr>
        <w:t xml:space="preserve">3</w:t>
      </w:r>
      <w:r>
        <w:t xml:space="preserve"> phụ thuộc chủ yếu vào số tháng trước và sau sự kiện, phương sai và mức tự tương quan của chuỗi chênh lệch theo tháng, và chỉ phụ thuộc yếu vào số cổ phiếu.</w:t>
      </w:r>
    </w:p>
    <w:p w:rsidR="005D3DB2" w:rsidRDefault="00000000">
      <w:pPr>
        <w:pStyle w:val="FirstParagraph"/>
      </w:pPr>
      <w:r>
        <w:t xml:space="preserve"/>
      </w:r>
      <w:r>
        <w:rPr>
          <w:vertAlign w:val="subscript"/>
        </w:rPr>
        <w:t xml:space="preserve"/>
      </w:r>
      <w:r>
        <w:t xml:space="preserve">Với giả định chuỗi chênh lệch theo tháng là một quá trình tự hồi quy bậc một có hệ số φ và độ lệch chuẩn không điều kiện σ, cửa sổ trước dài 193 tháng (6/2009–6/2025), 18 tháng chuyển tiếp bị loại và giai đoạn sau dài 24 tháng, hiệu ứng nhỏ nhất phát hiện được của δ ở lực kiểm định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Chẳng hạn, với σ = 0,2 và φ = 0,6, đề tài chỉ phát hiện được mức giảm logarit Amihud từ khoảng 0,25, tương đương độ phi thanh khoản giảm khoảng 22%. Đây là giả định minh họa; σ, φ và hiệu ứng nhỏ nhất phát hiện được sẽ được ước lượng lại từ giai đoạn tham chiếu và ghi vào tệp đăng ký.</w:t>
      </w:r>
    </w:p>
    <w:p w:rsidR="005D3DB2" w:rsidRDefault="00000000">
      <w:pPr>
        <w:pStyle w:val="FirstParagraph"/>
      </w:pPr>
      <w:r>
        <w:t xml:space="preserve">H</w:t>
      </w:r>
      <w:r>
        <w:rPr>
          <w:vertAlign w:val="subscript"/>
        </w:rPr>
        <w:t xml:space="preserve">4</w:t>
      </w:r>
      <w:r>
        <w:t xml:space="preserve"> có ít cửa sổ nên chỉ được báo cáo ở dạng ước lượng, và so sánh theo hai giai đoạn căng thẳng chỉ ở dạng mô tả. Giá trị p đưa vào thủ tục Holm (1979) ở mức 5% là giá trị p một phía: phân cụm theo quốc gia cho H</w:t>
      </w:r>
      <w:r>
        <w:rPr>
          <w:vertAlign w:val="subscript"/>
        </w:rPr>
        <w:t xml:space="preserve">1</w:t>
      </w:r>
      <w:r>
        <w:t xml:space="preserve">, bootstrap khối dừng cho H</w:t>
      </w:r>
      <w:r>
        <w:rPr>
          <w:vertAlign w:val="subscript"/>
        </w:rPr>
        <w:t xml:space="preserve">2</w:t>
      </w:r>
      <w:r>
        <w:t xml:space="preserve"> và bootstrap tự hồi quy cho H</w:t>
      </w:r>
      <w:r>
        <w:rPr>
          <w:vertAlign w:val="subscript"/>
        </w:rPr>
        <w:t xml:space="preserve">3</w:t>
      </w:r>
      <w:r>
        <w:t xml:space="preserve">.</w:t>
      </w:r>
    </w:p>
    <w:p w:rsidR="005D3DB2" w:rsidRDefault="00000000">
      <w:pPr>
        <w:pStyle w:val="FirstParagraph"/>
      </w:pPr>
      <w:r>
        <w:t xml:space="preserve">Ở H</w:t>
      </w:r>
      <w:r>
        <w:rPr>
          <w:vertAlign w:val="subscript"/>
        </w:rPr>
        <w:t xml:space="preserve">1</w:t>
      </w:r>
      <w:r>
        <w:t xml:space="preserve">, đề tài kiểm tra độ vững trên mẫu các trung tâm có ít nhất năm kỳ và trên mẫu cân bằng. Vì kỳ GFCI 40 đã có nhân tố trùng với </w:t>
      </w:r>
      <w:r>
        <w:rPr/>
        <w:t xml:space="preserve">SMD</w:t>
      </w:r>
      <w:r>
        <w:t xml:space="preserve"> (Wardle &amp; Mainelli, 2026), H</w:t>
      </w:r>
      <w:r>
        <w:rPr>
          <w:vertAlign w:val="subscript"/>
        </w:rPr>
        <w:t xml:space="preserve">1</w:t>
      </w:r>
      <w:r>
        <w:t xml:space="preserve"> được ước lượng lại trên các kỳ không trùng lặp nếu đủ số kỳ.</w:t>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hoặc không được phép dùng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đề tài trả lời câu hỏi 3 bằng các mã đã tự chuyển từ HNX sang HOSE trước năm 2026.</w:t>
      </w:r>
    </w:p>
    <w:p w:rsidR="005D3DB2" w:rsidRDefault="00000000">
      <w:pPr>
        <w:pStyle w:val="BodyText"/>
      </w:pPr>
      <w:r>
        <w:t xml:space="preserve">Thông báo của VNX chỉ áp dụng cho cổ phiếu niêm yết, nên đợt chuyển ngày 28/12/2026 không gồm UPCoM (Báo Đầu tư Chứng khoán, 2026; Sở Giao dịch Chứng khoán Việt Nam, 2026), nhưng hạn chuyển cổ phiếu UPCoM sang HOSE vẫn là hết ngày 31/12/2026 (Bộ Tài chính, 2023), nên UPCoM có thể chuyển sàn theo một đợt riêng trước hết ngày 31/12/2026, tức trước cửa sổ sau, hoặc trong cửa sổ sau nếu mốc này được lùi. Khi đó, nhóm đối chứng UPCoM và chỉ số của UPCoM chỉ được dùng đến tháng liền trước ngày chuyển, ước lượng chính dựa vào nhóm đối chứng HOSE, và tương tác theo biên độ dùng thước đo thay thế ở mục 4.3.7.</w:t>
      </w:r>
    </w:p>
    <w:p w:rsidR="005D3DB2" w:rsidRDefault="00000000">
      <w:pPr>
        <w:pStyle w:val="BodyText"/>
      </w:pPr>
      <w:r>
        <w:t xml:space="preserve">Nếu cả hai nhóm đối chứng không đạt kiểm tra xu hướng song song, đề tài dùng nhóm đối chứng tổng hợp từ các mã HOSE ngoài danh sách FTSE Russell và mã UPCoM. Nếu dữ liệu sau sự kiện ngắn hơn 24 tháng hoặc rổ CS có ít hơn 30 cổ phiếu đủ thanh khoản, đề tài dùng, tương ứng, toàn bộ tháng có sẵn hoặc rổ 20 cổ phiếu.</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là cấu hình cơ sở của bảy mô hình phân bổ. Thị trường trái phiếu và phái sinh chỉ được xét trong phần định hướng chuyên môn hóa. Đề tài không đánh giá chính sách nào khác ngoài đợt chuyển sàn và không khảo sát nhà đầu tư.</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một sự kiện, khi các giả định ở mục 4.3.8 được thỏa mãn; kết luận về H</w:t>
      </w:r>
      <w:r>
        <w:rPr>
          <w:vertAlign w:val="subscript"/>
        </w:rPr>
        <w:t xml:space="preserve">4</w:t>
      </w:r>
      <w:r>
        <w:t xml:space="preserve"> chỉ áp dụng cho rổ CS.</w:t>
      </w:r>
    </w:p>
    <w:p>
      <w:pPr>
        <w:pStyle w:val="BodyText"/>
      </w:pPr>
      <w:r>
        <w:t xml:space="preserve">Đề tài không giải quyết trọn bài toán số 19: câu hỏi số 2 và số 4 (về công nghệ tài chính và dịch vụ tài chính thế hệ mới) nằm ngoài phạm vi, và với câu hỏi số 3, đề tài chỉ cung cấp thước đo nền.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w:t>
      </w:r>
    </w:p>
    <w:p>
      <w:pPr>
        <w:pStyle w:val="BodyText"/>
      </w:pPr>
      <w:r>
        <w:t xml:space="preserve">Trước khi nộp hồ sơ đề nghị hỗ trợ, thí sinh sẽ xin văn bản xác nhận hoặc cam kết sử dụng kết quả của ít nhất một đơn vị trong số này, ưu tiên HNX; văn bản này cũng là căn cứ của chỉ tiêu (6).</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8788" w:type="dxa"/>
        <w:tblLayout w:type="fixed"/>
        <w:tblLook w:val="0020" w:firstRow="1" w:lastRow="0" w:firstColumn="0" w:lastColumn="0" w:noHBand="0" w:noVBand="0"/>
      </w:tblPr>
      <w:tblGrid>
        <w:gridCol w:w="1100"/>
        <w:gridCol w:w="2900"/>
        <w:gridCol w:w="4788"/>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1100" w:type="dxa"/>
          </w:tcPr>
          <w:p w14:paraId="68617A13" w14:textId="77777777" w:rsidR="005D3DB2" w:rsidRDefault="00000000">
            <w:pPr>
              <w:pStyle w:val="Compact"/>
              <w:jc w:val="center"/>
            </w:pPr>
            <w:r>
              <w:t>Chương</w:t>
            </w:r>
          </w:p>
        </w:tc>
        <w:tc>
          <w:tcPr>
            <w:tcW w:w="2900" w:type="dxa"/>
          </w:tcPr>
          <w:p w14:paraId="7E951140" w14:textId="77777777" w:rsidR="005D3DB2" w:rsidRDefault="00000000">
            <w:pPr>
              <w:pStyle w:val="Compact"/>
              <w:jc w:val="center"/>
            </w:pPr>
            <w:r>
              <w:t>Tên chương</w:t>
            </w:r>
          </w:p>
        </w:tc>
        <w:tc>
          <w:tcPr>
            <w:tcW w:w="4788" w:type="dxa"/>
          </w:tcPr>
          <w:p w14:paraId="37C3C919" w14:textId="77777777" w:rsidR="005D3DB2" w:rsidRDefault="00000000">
            <w:pPr>
              <w:pStyle w:val="Compact"/>
              <w:jc w:val="center"/>
            </w:pPr>
            <w:r>
              <w:t>Các tiểu mục chính (đến ba chữ số)</w:t>
            </w:r>
          </w:p>
        </w:tc>
      </w:tr>
      <w:tr w:rsidR="005D3DB2" w14:paraId="4C1B0FF7" w14:textId="77777777">
        <w:trPr>
          <w:cantSplit/>
        </w:trPr>
        <w:tc>
          <w:tcPr>
            <w:tcW w:w="1100" w:type="dxa"/>
          </w:tcPr>
          <w:p w14:paraId="322FF50B" w14:textId="77777777" w:rsidR="005D3DB2" w:rsidRDefault="00000000">
            <w:pPr>
              <w:pStyle w:val="Compact"/>
            </w:pPr>
            <w:r>
              <w:t>Chương 1</w:t>
            </w:r>
          </w:p>
        </w:tc>
        <w:tc>
          <w:tcPr>
            <w:tcW w:w="2900" w:type="dxa"/>
          </w:tcPr>
          <w:p w14:paraId="74D88853" w14:textId="77777777" w:rsidR="005D3DB2" w:rsidRDefault="00000000">
            <w:pPr>
              <w:pStyle w:val="Compact"/>
            </w:pPr>
            <w:r>
              <w:t>Giới thiệu nghiên cứu</w:t>
            </w:r>
          </w:p>
        </w:tc>
        <w:tc>
          <w:tcPr>
            <w:tcW w:w="4788" w:type="dxa"/>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1100" w:type="dxa"/>
          </w:tcPr>
          <w:p w14:paraId="4540440E" w14:textId="77777777" w:rsidR="005D3DB2" w:rsidRDefault="00000000">
            <w:pPr>
              <w:pStyle w:val="Compact"/>
            </w:pPr>
            <w:r>
              <w:t>Chương 2</w:t>
            </w:r>
          </w:p>
        </w:tc>
        <w:tc>
          <w:tcPr>
            <w:tcW w:w="2900" w:type="dxa"/>
          </w:tcPr>
          <w:p w14:paraId="4D7FB84F" w14:textId="77777777" w:rsidR="005D3DB2" w:rsidRDefault="00000000">
            <w:pPr>
              <w:pStyle w:val="Compact"/>
            </w:pPr>
            <w:r>
              <w:t xml:space="preserve">Tổng quan tài liệu và khung phân tích</w:t>
            </w:r>
          </w:p>
        </w:tc>
        <w:tc>
          <w:tcPr>
            <w:tcW w:w="4788" w:type="dxa"/>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1100" w:type="dxa"/>
          </w:tcPr>
          <w:p w14:paraId="42945545" w14:textId="77777777" w:rsidR="005D3DB2" w:rsidRDefault="00000000">
            <w:pPr>
              <w:pStyle w:val="Compact"/>
            </w:pPr>
            <w:r>
              <w:t>Chương 3</w:t>
            </w:r>
          </w:p>
        </w:tc>
        <w:tc>
          <w:tcPr>
            <w:tcW w:w="2900" w:type="dxa"/>
          </w:tcPr>
          <w:p w14:paraId="4F981ECB" w14:textId="77777777" w:rsidR="005D3DB2" w:rsidRDefault="00000000">
            <w:pPr>
              <w:pStyle w:val="Compact"/>
            </w:pPr>
            <w:r>
              <w:t xml:space="preserve">Dữ liệu và phương pháp</w:t>
            </w:r>
          </w:p>
        </w:tc>
        <w:tc>
          <w:tcPr>
            <w:tcW w:w="4788" w:type="dxa"/>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1100" w:type="dxa"/>
          </w:tcPr>
          <w:p w14:paraId="0BA0B803" w14:textId="77777777" w:rsidR="005D3DB2" w:rsidRDefault="00000000">
            <w:pPr>
              <w:pStyle w:val="Compact"/>
            </w:pPr>
            <w:r>
              <w:t>Chương 4</w:t>
            </w:r>
          </w:p>
        </w:tc>
        <w:tc>
          <w:tcPr>
            <w:tcW w:w="2900" w:type="dxa"/>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4788" w:type="dxa"/>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vững; 4.4 Thảo luận: Thành phố Hồ Chí Minh, Đà Nẵng và Hà Nội</w:t>
            </w:r>
          </w:p>
        </w:tc>
      </w:tr>
      <w:tr w:rsidR="005D3DB2" w14:paraId="2E8DF854" w14:textId="77777777">
        <w:trPr>
          <w:cantSplit/>
        </w:trPr>
        <w:tc>
          <w:tcPr>
            <w:tcW w:w="1100" w:type="dxa"/>
          </w:tcPr>
          <w:p w14:paraId="59786C49" w14:textId="77777777" w:rsidR="005D3DB2" w:rsidRDefault="00000000">
            <w:pPr>
              <w:pStyle w:val="Compact"/>
            </w:pPr>
            <w:r>
              <w:t>Chương 5</w:t>
            </w:r>
          </w:p>
        </w:tc>
        <w:tc>
          <w:tcPr>
            <w:tcW w:w="2900" w:type="dxa"/>
          </w:tcPr>
          <w:p w14:paraId="7BDF0C6D" w14:textId="77777777" w:rsidR="005D3DB2" w:rsidRDefault="00000000">
            <w:pPr>
              <w:pStyle w:val="Compact"/>
            </w:pPr>
            <w:r>
              <w:t xml:space="preserve">Chất lượng thị trường vốn trước hợp nhất: HNX, UPCoM và HOSE</w:t>
            </w:r>
          </w:p>
        </w:tc>
        <w:tc>
          <w:tcPr>
            <w:tcW w:w="4788" w:type="dxa"/>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1100" w:type="dxa"/>
          </w:tcPr>
          <w:p w14:paraId="177C7BB2" w14:textId="77777777" w:rsidR="005D3DB2" w:rsidRDefault="00000000">
            <w:pPr>
              <w:pStyle w:val="Compact"/>
            </w:pPr>
            <w:r>
              <w:t>Chương 6</w:t>
            </w:r>
          </w:p>
        </w:tc>
        <w:tc>
          <w:tcPr>
            <w:tcW w:w="2900" w:type="dxa"/>
          </w:tcPr>
          <w:p w14:paraId="1DA21297" w14:textId="77777777" w:rsidR="005D3DB2" w:rsidRDefault="00000000">
            <w:pPr>
              <w:pStyle w:val="Compact"/>
            </w:pPr>
            <w:r>
              <w:t xml:space="preserve">Tác động của việc chuyển sàn và định hướng cho thị trường vốn Hà Nội</w:t>
            </w:r>
          </w:p>
        </w:tc>
        <w:tc>
          <w:tcPr>
            <w:tcW w:w="4788" w:type="dxa"/>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của tác động theo mức chịu cú sốc biên độ, bước giá và chỉ số; 6.1.2 Khác biệt theo quy mô và theo trụ sở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1100" w:type="dxa"/>
          </w:tcPr>
          <w:p w14:paraId="488E10B5" w14:textId="77777777" w:rsidR="005D3DB2" w:rsidRDefault="00000000">
            <w:pPr>
              <w:pStyle w:val="Compact"/>
            </w:pPr>
            <w:r>
              <w:t>Kết luận</w:t>
            </w:r>
          </w:p>
        </w:tc>
        <w:tc>
          <w:tcPr>
            <w:tcW w:w="2900" w:type="dxa"/>
          </w:tcPr>
          <w:p w14:paraId="0D23B9F0" w14:textId="77777777" w:rsidR="005D3DB2" w:rsidRDefault="005D3DB2">
            <w:pPr>
              <w:pStyle w:val="Compact"/>
            </w:pPr>
          </w:p>
        </w:tc>
        <w:tc>
          <w:tcPr>
            <w:tcW w:w="4788" w:type="dxa"/>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Thứ nhất, theo Thông báo tuyển sinh năm 2026, chương trình Tiến sĩ Kinh tế và Quản lý có tính liên ngành, tập trung vào kinh tế hành vi và quản lý trong lĩnh vực kinh tế; đề tài thuộc tài chính định lượng và giao thoa với quản lý ở phần định hướng chuyên môn hóa thị trường vốn Hà Nội.</w:t>
      </w:r>
    </w:p>
    <w:p w:rsidR="005D3DB2" w:rsidRDefault="00000000">
      <w:pPr>
        <w:pStyle w:val="BodyText"/>
      </w:pPr>
      <w:r>
        <w:t xml:space="preserve">Thứ hai, chương trình giảng dạy bằng tiếng Anh hoặc tiếng Việt. Học bằng tiếng Anh thuận lợi cho công bố quốc tế, và thí sinh có chứng chỉ tiếng Anh Bậc 4 theo Khung năng lực ngoại ngữ 6 bậc dùng cho Việt Nam.</w:t>
      </w:r>
    </w:p>
    <w:p w:rsidR="005D3DB2" w:rsidRDefault="00000000">
      <w:pPr>
        <w:pStyle w:val="BodyText"/>
      </w:pPr>
      <w:r>
        <w:t xml:space="preserve">Thứ ba,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 xml:space="preserve">Trong hai quý đầu năm thứ nhất, thí sinh hoàn thành 9 tín chỉ học bổ sung (học phần Hành vi tổ chức và Lãnh đạo cùng hai học phần tự chọn) và các học phần theo chương trình, ưu tiên học phần tự chọn về kinh tế lượng chuỗi thời gian và phương pháp nghiên cứu định lượng.</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so sánh vai trò của Hà Nội với các trung tâm trong khu vực.</w:t>
      </w:r>
      <w:r>
        <w:rPr>
          <w:vertAlign w:val="subscript"/>
        </w:rPr>
        <w:t xml:space="preserve"/>
      </w:r>
      <w:r>
        <w:t xml:space="preserve"> Mục tiêu là ít nhất một bài, do thí sinh là tác giả chính, thuộc cơ sở dữ liệu Web of Science hạng Q1 hoặc Q2.</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8788" w:type="dxa"/>
        <w:tblLayout w:type="fixed"/>
        <w:tblLook w:val="0020" w:firstRow="1" w:lastRow="0" w:firstColumn="0" w:lastColumn="0" w:noHBand="0" w:noVBand="0"/>
      </w:tblPr>
      <w:tblGrid>
        <w:gridCol w:w="1000"/>
        <w:gridCol w:w="4900"/>
        <w:gridCol w:w="2888"/>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1D0347E4" w14:textId="77777777" w:rsidR="005D3DB2" w:rsidRDefault="00000000">
            <w:pPr>
              <w:pStyle w:val="Compact"/>
              <w:jc w:val="center"/>
            </w:pPr>
            <w:r>
              <w:t>Năm</w:t>
            </w:r>
          </w:p>
        </w:tc>
        <w:tc>
          <w:tcPr>
            <w:tcW w:w="4900" w:type="dxa"/>
          </w:tcPr>
          <w:p w14:paraId="21E9C063" w14:textId="77777777" w:rsidR="005D3DB2" w:rsidRDefault="00000000">
            <w:pPr>
              <w:pStyle w:val="Compact"/>
              <w:jc w:val="center"/>
            </w:pPr>
            <w:r>
              <w:t>Nội dung</w:t>
            </w:r>
          </w:p>
        </w:tc>
        <w:tc>
          <w:tcPr>
            <w:tcW w:w="2888" w:type="dxa"/>
          </w:tcPr>
          <w:p w14:paraId="1F86562E" w14:textId="77777777" w:rsidR="005D3DB2" w:rsidRDefault="00000000">
            <w:pPr>
              <w:pStyle w:val="Compact"/>
              <w:jc w:val="center"/>
            </w:pPr>
            <w:r>
              <w:t>Sản phẩm</w:t>
            </w:r>
          </w:p>
        </w:tc>
      </w:tr>
      <w:tr w:rsidR="005D3DB2" w14:paraId="489CA679" w14:textId="77777777">
        <w:trPr>
          <w:cantSplit/>
        </w:trPr>
        <w:tc>
          <w:tcPr>
            <w:tcW w:w="1000" w:type="dxa"/>
          </w:tcPr>
          <w:p w14:paraId="758DF502" w14:textId="77777777" w:rsidR="005D3DB2" w:rsidRDefault="00000000">
            <w:pPr>
              <w:pStyle w:val="Compact"/>
            </w:pPr>
            <w:r>
              <w:t>Năm 1</w:t>
            </w:r>
          </w:p>
        </w:tc>
        <w:tc>
          <w:tcPr>
            <w:tcW w:w="4900" w:type="dxa"/>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2888" w:type="dxa"/>
          </w:tcPr>
          <w:p w14:paraId="49F49FA0" w14:textId="77777777" w:rsidR="005D3DB2" w:rsidRDefault="00000000">
            <w:pPr>
              <w:pStyle w:val="Compact"/>
            </w:pPr>
            <w:r>
              <w:t xml:space="preserve">Tệp đăng ký trước; tổng quan nghiên cứu; chuyên đề 1; Chỉ số chất lượng thị trường vốn bản đầu</w:t>
            </w:r>
          </w:p>
        </w:tc>
      </w:tr>
      <w:tr w:rsidR="005D3DB2" w14:paraId="475714BB" w14:textId="77777777">
        <w:trPr>
          <w:cantSplit/>
        </w:trPr>
        <w:tc>
          <w:tcPr>
            <w:tcW w:w="1000" w:type="dxa"/>
          </w:tcPr>
          <w:p w14:paraId="3CAB58A2" w14:textId="77777777" w:rsidR="005D3DB2" w:rsidRDefault="00000000">
            <w:pPr>
              <w:pStyle w:val="Compact"/>
            </w:pPr>
            <w:r>
              <w:t>Năm 2</w:t>
            </w:r>
          </w:p>
        </w:tc>
        <w:tc>
          <w:tcPr>
            <w:tcW w:w="4900" w:type="dxa"/>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2888" w:type="dxa"/>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1000" w:type="dxa"/>
          </w:tcPr>
          <w:p w14:paraId="72C3354E" w14:textId="77777777" w:rsidR="005D3DB2" w:rsidRDefault="00000000">
            <w:pPr>
              <w:pStyle w:val="Compact"/>
            </w:pPr>
            <w:r>
              <w:t>Năm 3</w:t>
            </w:r>
          </w:p>
        </w:tc>
        <w:tc>
          <w:tcPr>
            <w:tcW w:w="4900" w:type="dxa"/>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2888" w:type="dxa"/>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1000" w:type="dxa"/>
          </w:tcPr>
          <w:p w14:paraId="4FCE09B1" w14:textId="77777777" w:rsidR="005D3DB2" w:rsidRDefault="00000000">
            <w:pPr>
              <w:pStyle w:val="Compact"/>
            </w:pPr>
            <w:r>
              <w:t>Năm 4</w:t>
            </w:r>
          </w:p>
        </w:tc>
        <w:tc>
          <w:tcPr>
            <w:tcW w:w="4900" w:type="dxa"/>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2888" w:type="dxa"/>
          </w:tcPr>
          <w:p w14:paraId="4CC80AB9" w14:textId="77777777" w:rsidR="005D3DB2" w:rsidRDefault="00000000">
            <w:pPr>
              <w:pStyle w:val="Compact"/>
            </w:pPr>
            <w:r>
              <w:t xml:space="preserve">Bài báo 3; báo cáo định hướng chuyên môn hóa gửi Sở Khoa học và Công nghệ Hà Nội; luận án; hai chỉ số mã nguồn mở</w:t>
            </w:r>
          </w:p>
        </w:tc>
      </w:tr>
    </w:tbl>
    <w:p w14:paraId="6FB360A3" w14:textId="77777777" w:rsidR="005D3DB2" w:rsidRDefault="00000000">
      <w:pPr>
        <w:pStyle w:val="SourceNote"/>
      </w:pPr>
      <w:r>
        <w:t>Nguồn: Thí sinh đề xuất</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8788" w:type="dxa"/>
        <w:tblLayout w:type="fixed"/>
        <w:tblLook w:val="0020" w:firstRow="1" w:lastRow="0" w:firstColumn="0" w:lastColumn="0" w:noHBand="0" w:noVBand="0"/>
      </w:tblPr>
      <w:tblGrid>
        <w:gridCol w:w="600"/>
        <w:gridCol w:w="3900"/>
        <w:gridCol w:w="2600"/>
        <w:gridCol w:w="1688"/>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tcPr>
          <w:p w14:paraId="7F46F851" w14:textId="77777777" w:rsidR="005D3DB2" w:rsidRDefault="00000000">
            <w:pPr>
              <w:pStyle w:val="Compact"/>
              <w:jc w:val="center"/>
            </w:pPr>
            <w:r>
              <w:t>TT</w:t>
            </w:r>
          </w:p>
        </w:tc>
        <w:tc>
          <w:tcPr>
            <w:tcW w:w="3900" w:type="dxa"/>
          </w:tcPr>
          <w:p w14:paraId="60B13376" w14:textId="77777777" w:rsidR="005D3DB2" w:rsidRDefault="00000000">
            <w:pPr>
              <w:pStyle w:val="Compact"/>
              <w:jc w:val="center"/>
            </w:pPr>
            <w:r>
              <w:t>Công trình</w:t>
            </w:r>
          </w:p>
        </w:tc>
        <w:tc>
          <w:tcPr>
            <w:tcW w:w="2600" w:type="dxa"/>
          </w:tcPr>
          <w:p w14:paraId="09100F43" w14:textId="77777777" w:rsidR="005D3DB2" w:rsidRDefault="00000000">
            <w:pPr>
              <w:pStyle w:val="Compact"/>
              <w:jc w:val="center"/>
            </w:pPr>
            <w:r>
              <w:t>Tạp chí; ISSN</w:t>
            </w:r>
          </w:p>
        </w:tc>
        <w:tc>
          <w:tcPr>
            <w:tcW w:w="1688" w:type="dxa"/>
          </w:tcPr>
          <w:p w14:paraId="48262534" w14:textId="77777777" w:rsidR="005D3DB2" w:rsidRDefault="00000000">
            <w:pPr>
              <w:pStyle w:val="Compact"/>
              <w:jc w:val="center"/>
            </w:pPr>
            <w:r>
              <w:t>Trạng thái</w:t>
            </w:r>
          </w:p>
        </w:tc>
      </w:tr>
      <w:tr w:rsidR="005D3DB2" w14:paraId="223C44CB" w14:textId="77777777">
        <w:trPr>
          <w:cantSplit/>
        </w:trPr>
        <w:tc>
          <w:tcPr>
            <w:tcW w:w="600" w:type="dxa"/>
          </w:tcPr>
          <w:p w14:paraId="6A2810EB" w14:textId="77777777" w:rsidR="005D3DB2" w:rsidRDefault="00000000">
            <w:pPr>
              <w:pStyle w:val="Compact"/>
            </w:pPr>
            <w:r>
              <w:t>1</w:t>
            </w:r>
          </w:p>
        </w:tc>
        <w:tc>
          <w:tcPr>
            <w:tcW w:w="3900" w:type="dxa"/>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2600" w:type="dxa"/>
          </w:tcPr>
          <w:p w14:paraId="7C63DA21" w14:textId="77777777" w:rsidR="005D3DB2" w:rsidRDefault="00000000">
            <w:pPr>
              <w:pStyle w:val="Compact"/>
            </w:pPr>
            <w:r>
              <w:t>Tạp chí Kinh tế - Luật và Ngân hàng; ISSN 3030-4199; Tập 28, Số 9, tr. 52–64; DOI 10.59276/3030-4199/jelb.bav.895</w:t>
            </w:r>
          </w:p>
        </w:tc>
        <w:tc>
          <w:tcPr>
            <w:tcW w:w="1688" w:type="dxa"/>
          </w:tcPr>
          <w:p w14:paraId="1DB41FFF" w14:textId="77777777" w:rsidR="005D3DB2" w:rsidRDefault="00000000">
            <w:pPr>
              <w:pStyle w:val="Compact"/>
            </w:pPr>
            <w:r>
              <w:t>Đã công bố</w:t>
            </w:r>
          </w:p>
        </w:tc>
      </w:tr>
      <w:tr w:rsidR="005D3DB2" w14:paraId="136CE50D" w14:textId="77777777">
        <w:trPr>
          <w:cantSplit/>
        </w:trPr>
        <w:tc>
          <w:tcPr>
            <w:tcW w:w="600" w:type="dxa"/>
          </w:tcPr>
          <w:p w14:paraId="7D27DA56" w14:textId="77777777" w:rsidR="005D3DB2" w:rsidRDefault="00000000">
            <w:pPr>
              <w:pStyle w:val="Compact"/>
            </w:pPr>
            <w:r>
              <w:t>2</w:t>
            </w:r>
          </w:p>
        </w:tc>
        <w:tc>
          <w:tcPr>
            <w:tcW w:w="3900" w:type="dxa"/>
          </w:tcPr>
          <w:p w14:paraId="7CF01717" w14:textId="77777777" w:rsidR="005D3DB2" w:rsidRDefault="00000000">
            <w:pPr>
              <w:pStyle w:val="Compact"/>
            </w:pPr>
            <w:r>
              <w:t xml:space="preserve">Nguyễn Thanh Bình, Nguyễn Văn Trung, “Black-Litterman portfolio optimization using regime switching CAPM and ABC-MCMC: Empirical evidence from the Vietnamese stock market period 2019 - 2025” (Nguyễn &amp; Nguyễn, 2026a)</w:t>
            </w:r>
          </w:p>
        </w:tc>
        <w:tc>
          <w:tcPr>
            <w:tcW w:w="2600" w:type="dxa"/>
          </w:tcPr>
          <w:p w14:paraId="21B2C551" w14:textId="77777777" w:rsidR="005D3DB2" w:rsidRDefault="00000000">
            <w:pPr>
              <w:pStyle w:val="Compact"/>
            </w:pPr>
            <w:r>
              <w:t>Tạp chí Nghiên cứu Chính sách và Phát triển; ISSN 3030-4091; Tập 3, Số 1, tr. 81–99; DOI 10.63640/3030-4091/jpd.apd.194</w:t>
            </w:r>
          </w:p>
        </w:tc>
        <w:tc>
          <w:tcPr>
            <w:tcW w:w="1688" w:type="dxa"/>
          </w:tcPr>
          <w:p w14:paraId="624886EC" w14:textId="77777777" w:rsidR="005D3DB2" w:rsidRDefault="00000000">
            <w:pPr>
              <w:pStyle w:val="Compact"/>
            </w:pPr>
            <w:r>
              <w:t>Đã công bố</w:t>
            </w:r>
          </w:p>
        </w:tc>
      </w:tr>
      <w:tr w:rsidR="005D3DB2" w14:paraId="33E29DC0" w14:textId="77777777">
        <w:trPr>
          <w:cantSplit/>
        </w:trPr>
        <w:tc>
          <w:tcPr>
            <w:tcW w:w="600" w:type="dxa"/>
          </w:tcPr>
          <w:p w14:paraId="539BEAFB" w14:textId="77777777" w:rsidR="005D3DB2" w:rsidRDefault="00000000">
            <w:pPr>
              <w:pStyle w:val="Compact"/>
            </w:pPr>
            <w:r>
              <w:t>3</w:t>
            </w:r>
          </w:p>
        </w:tc>
        <w:tc>
          <w:tcPr>
            <w:tcW w:w="3900" w:type="dxa"/>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2600" w:type="dxa"/>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1688" w:type="dxa"/>
          </w:tcPr>
          <w:p w14:paraId="6213FD20" w14:textId="77777777" w:rsidR="005D3DB2" w:rsidRDefault="00000000">
            <w:pPr>
              <w:pStyle w:val="Compact"/>
            </w:pPr>
            <w:r>
              <w:t xml:space="preserve">Đã được chấp nhận đăng năm 2026, chưa xuất bản tại ngày 30/9/2026</w:t>
            </w:r>
          </w:p>
        </w:tc>
      </w:tr>
      <w:tr w:rsidR="005D3DB2" w14:paraId="33E29DC0" w14:textId="77777777">
        <w:trPr>
          <w:cantSplit/>
        </w:trPr>
        <w:tc>
          <w:tcPr>
            <w:tcW w:w="600" w:type="dxa"/>
          </w:tcPr>
          <w:p w14:paraId="539BEAFB" w14:textId="77777777" w:rsidR="005D3DB2" w:rsidRDefault="00000000">
            <w:pPr>
              <w:pStyle w:val="Compact"/>
            </w:pPr>
            <w:r>
              <w:t xml:space="preserve">4</w:t>
            </w:r>
          </w:p>
        </w:tc>
        <w:tc>
          <w:tcPr>
            <w:tcW w:w="3900" w:type="dxa"/>
          </w:tcPr>
          <w:p w14:paraId="1F926F0F" w14:textId="77777777" w:rsidR="005D3DB2" w:rsidRDefault="00000000">
            <w:pPr>
              <w:pStyle w:val="Compact"/>
            </w:pPr>
            <w:r>
              <w:t xml:space="preserve">Nguyen Thanh Binh, Nguyen Van Trung*, Nguyen Bach Diep, Ha Hong Hanh, Le Hong Minh, “Portfolio optimization with the inverse Black–Litterman framework and clustering machine-learning models: Evidence from Vietnamese bank stocks”</w:t>
            </w:r>
          </w:p>
        </w:tc>
        <w:tc>
          <w:tcPr>
            <w:tcW w:w="2600" w:type="dxa"/>
          </w:tcPr>
          <w:p w14:paraId="4FBB5E0D" w14:textId="77777777" w:rsidR="005D3DB2" w:rsidRDefault="00000000">
            <w:pPr>
              <w:pStyle w:val="Compact"/>
            </w:pPr>
            <w:r>
              <w:t xml:space="preserve">Multidisciplinary Science Journal (Malque Publishing); ISSN 2675-1240; Scopus Q3</w:t>
            </w:r>
          </w:p>
        </w:tc>
        <w:tc>
          <w:tcPr>
            <w:tcW w:w="1688" w:type="dxa"/>
          </w:tcPr>
          <w:p w14:paraId="6213FD20" w14:textId="77777777" w:rsidR="005D3DB2" w:rsidRDefault="00000000">
            <w:pPr>
              <w:pStyle w:val="Compact"/>
            </w:pPr>
            <w:r>
              <w:t xml:space="preserve">Đã được chấp nhận đăng, công bố trực tuyến trong mục Accepted Articles ngày 09/10/2026 (mã 19322; https://malque.pub/ojs/index.php/msj/article/view/19322)</w:t>
            </w:r>
          </w:p>
        </w:tc>
      </w:tr>
    </w:tbl>
    <w:p w14:paraId="17CAA286" w14:textId="77777777" w:rsidR="005D3DB2" w:rsidRDefault="00000000">
      <w:pPr>
        <w:pStyle w:val="SourceNote"/>
      </w:pPr>
      <w:r>
        <w:t xml:space="preserve">Ghi chú: (*) Tác giả liên hệ. Tên bài báo bằng tiếng Anh giữ nguyên như khi công bố. Trạng thái tính đến ngày 30/9/2026; riêng bài số 4 cập nhật đến ngày 09/10/2026.</w:t>
      </w:r>
    </w:p>
    <w:p w14:paraId="53C9A500" w14:textId="77777777" w:rsidR="005D3DB2" w:rsidRDefault="00000000">
      <w:pPr>
        <w:pStyle w:val="BodyText"/>
      </w:pPr>
      <w:r>
        <w:t xml:space="preserve">Ngoài các công trình trên, thí sinh có tám bản thảo đang ở các bước phản biện hoặc xét duyệt (Bảng 7), trong đó hai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xml:space="preserve">. Bản thảo đã gửi tạp chí, chưa công bố tại ngày 30/9/2026</w:t>
      </w:r>
      <w:bookmarkEnd w:id="59"/>
    </w:p>
    <w:tbl>
      <w:tblPr>
        <w:tblStyle w:val="Table"/>
        <w:tblW w:w="8788" w:type="dxa"/>
        <w:tblLayout w:type="fixed"/>
        <w:tblLook w:val="0020" w:firstRow="1" w:lastRow="0" w:firstColumn="0" w:lastColumn="0" w:noHBand="0" w:noVBand="0"/>
      </w:tblPr>
      <w:tblGrid>
        <w:gridCol w:w="550"/>
        <w:gridCol w:w="2900"/>
        <w:gridCol w:w="800"/>
        <w:gridCol w:w="2150"/>
        <w:gridCol w:w="1500"/>
        <w:gridCol w:w="888"/>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550" w:type="dxa"/>
          </w:tcPr>
          <w:p w14:paraId="1E281E21" w14:textId="77777777" w:rsidR="005D3DB2" w:rsidRDefault="00000000">
            <w:pPr>
              <w:pStyle w:val="Compact"/>
              <w:jc w:val="center"/>
            </w:pPr>
            <w:r>
              <w:t>TT</w:t>
            </w:r>
          </w:p>
        </w:tc>
        <w:tc>
          <w:tcPr>
            <w:tcW w:w="2900" w:type="dxa"/>
          </w:tcPr>
          <w:p w14:paraId="04188E2A" w14:textId="77777777" w:rsidR="005D3DB2" w:rsidRDefault="00000000">
            <w:pPr>
              <w:pStyle w:val="Compact"/>
              <w:jc w:val="center"/>
            </w:pPr>
            <w:r>
              <w:t>Tên bài báo</w:t>
            </w:r>
          </w:p>
        </w:tc>
        <w:tc>
          <w:tcPr>
            <w:tcW w:w="800" w:type="dxa"/>
          </w:tcPr>
          <w:p w14:paraId="3D12A13F" w14:textId="77777777" w:rsidR="005D3DB2" w:rsidRDefault="00000000">
            <w:pPr>
              <w:pStyle w:val="Compact"/>
              <w:jc w:val="center"/>
            </w:pPr>
            <w:r>
              <w:t>Số tác giả</w:t>
            </w:r>
          </w:p>
        </w:tc>
        <w:tc>
          <w:tcPr>
            <w:tcW w:w="2150" w:type="dxa"/>
          </w:tcPr>
          <w:p w14:paraId="0EC0CC60" w14:textId="77777777" w:rsidR="005D3DB2" w:rsidRDefault="00000000">
            <w:pPr>
              <w:pStyle w:val="Compact"/>
              <w:jc w:val="center"/>
            </w:pPr>
            <w:r>
              <w:t>Tạp chí; ISSN</w:t>
            </w:r>
          </w:p>
        </w:tc>
        <w:tc>
          <w:tcPr>
            <w:tcW w:w="1500" w:type="dxa"/>
          </w:tcPr>
          <w:p w14:paraId="156D343A" w14:textId="77777777" w:rsidR="005D3DB2" w:rsidRDefault="00000000">
            <w:pPr>
              <w:pStyle w:val="Compact"/>
              <w:jc w:val="center"/>
            </w:pPr>
            <w:r>
              <w:t>Trạng thái (mã bài)</w:t>
            </w:r>
          </w:p>
        </w:tc>
        <w:tc>
          <w:tcPr>
            <w:tcW w:w="888" w:type="dxa"/>
          </w:tcPr>
          <w:p w14:paraId="19795523" w14:textId="77777777" w:rsidR="005D3DB2" w:rsidRDefault="00000000">
            <w:pPr>
              <w:pStyle w:val="Compact"/>
              <w:jc w:val="center"/>
            </w:pPr>
            <w:r>
              <w:t>Liên quan đến đề tài</w:t>
            </w:r>
          </w:p>
        </w:tc>
      </w:tr>
      <w:tr w:rsidR="005D3DB2" w14:paraId="636303B6" w14:textId="77777777">
        <w:trPr>
          <w:cantSplit/>
        </w:trPr>
        <w:tc>
          <w:tcPr>
            <w:tcW w:w="550" w:type="dxa"/>
          </w:tcPr>
          <w:p w14:paraId="5CAC10E7" w14:textId="77777777" w:rsidR="005D3DB2" w:rsidRDefault="00000000">
            <w:pPr>
              <w:pStyle w:val="Compact"/>
            </w:pPr>
            <w:r>
              <w:t xml:space="preserve">1</w:t>
            </w:r>
          </w:p>
        </w:tc>
        <w:tc>
          <w:tcPr>
            <w:tcW w:w="2900" w:type="dxa"/>
          </w:tcPr>
          <w:p w14:paraId="5011594A" w14:textId="77777777" w:rsidR="005D3DB2" w:rsidRDefault="00000000">
            <w:pPr>
              <w:pStyle w:val="Compact"/>
            </w:pPr>
            <w:r>
              <w:t>Tác động của cấu trúc sở hữu lên ổn định tài chính của các ngân hàng thương mại Việt Nam</w:t>
            </w:r>
          </w:p>
        </w:tc>
        <w:tc>
          <w:tcPr>
            <w:tcW w:w="800" w:type="dxa"/>
          </w:tcPr>
          <w:p w14:paraId="449B50E3" w14:textId="77777777" w:rsidR="005D3DB2" w:rsidRDefault="00000000">
            <w:pPr>
              <w:pStyle w:val="Compact"/>
            </w:pPr>
            <w:r>
              <w:t>2</w:t>
            </w:r>
          </w:p>
        </w:tc>
        <w:tc>
          <w:tcPr>
            <w:tcW w:w="2150" w:type="dxa"/>
          </w:tcPr>
          <w:p w14:paraId="157AE89D" w14:textId="77777777" w:rsidR="005D3DB2" w:rsidRDefault="00000000">
            <w:pPr>
              <w:pStyle w:val="Compact"/>
            </w:pPr>
            <w:r>
              <w:t>Tạp chí Kinh tế - Luật và Ngân hàng; ISSN 3030-4199</w:t>
            </w:r>
          </w:p>
        </w:tc>
        <w:tc>
          <w:tcPr>
            <w:tcW w:w="1500" w:type="dxa"/>
          </w:tcPr>
          <w:p w14:paraId="273A81D7" w14:textId="77777777" w:rsidR="005D3DB2" w:rsidRDefault="00000000">
            <w:pPr>
              <w:pStyle w:val="Compact"/>
            </w:pPr>
            <w:r>
              <w:t>Qua 2 vòng phản biện, đang chỉnh sửa (mã 3129)</w:t>
            </w:r>
          </w:p>
        </w:tc>
        <w:tc>
          <w:tcPr>
            <w:tcW w:w="888" w:type="dxa"/>
          </w:tcPr>
          <w:p w14:paraId="0A93CE6E" w14:textId="77777777" w:rsidR="005D3DB2" w:rsidRDefault="00000000">
            <w:pPr>
              <w:pStyle w:val="Compact"/>
            </w:pPr>
            <w:r>
              <w:t>Không</w:t>
            </w:r>
          </w:p>
        </w:tc>
      </w:tr>
      <w:tr w:rsidR="005D3DB2" w14:paraId="7954A65C" w14:textId="77777777">
        <w:trPr>
          <w:cantSplit/>
        </w:trPr>
        <w:tc>
          <w:tcPr>
            <w:tcW w:w="550" w:type="dxa"/>
          </w:tcPr>
          <w:p w14:paraId="68924E55" w14:textId="77777777" w:rsidR="005D3DB2" w:rsidRDefault="00000000">
            <w:pPr>
              <w:pStyle w:val="Compact"/>
            </w:pPr>
            <w:r>
              <w:t xml:space="preserve">2</w:t>
            </w:r>
          </w:p>
        </w:tc>
        <w:tc>
          <w:tcPr>
            <w:tcW w:w="2900" w:type="dxa"/>
          </w:tcPr>
          <w:p w14:paraId="4FD3FE53" w14:textId="77777777" w:rsidR="005D3DB2" w:rsidRDefault="00000000">
            <w:pPr>
              <w:pStyle w:val="Compact"/>
            </w:pPr>
            <w:r>
              <w:t>Limits to arbitrage in the Vietnamese physical gold market: The failure of short-term momentum</w:t>
            </w:r>
          </w:p>
        </w:tc>
        <w:tc>
          <w:tcPr>
            <w:tcW w:w="800" w:type="dxa"/>
          </w:tcPr>
          <w:p w14:paraId="12D0A221" w14:textId="77777777" w:rsidR="005D3DB2" w:rsidRDefault="00000000">
            <w:pPr>
              <w:pStyle w:val="Compact"/>
            </w:pPr>
            <w:r>
              <w:t>3</w:t>
            </w:r>
          </w:p>
        </w:tc>
        <w:tc>
          <w:tcPr>
            <w:tcW w:w="2150" w:type="dxa"/>
          </w:tcPr>
          <w:p w14:paraId="68E875A5" w14:textId="77777777" w:rsidR="005D3DB2" w:rsidRDefault="00000000">
            <w:pPr>
              <w:pStyle w:val="Compact"/>
            </w:pPr>
            <w:r>
              <w:t>Journal of Economic and Banking Studies; ISSN 2734-9853</w:t>
            </w:r>
          </w:p>
        </w:tc>
        <w:tc>
          <w:tcPr>
            <w:tcW w:w="1500" w:type="dxa"/>
          </w:tcPr>
          <w:p w14:paraId="38F63AD8" w14:textId="77777777" w:rsidR="005D3DB2" w:rsidRDefault="00000000">
            <w:pPr>
              <w:pStyle w:val="Compact"/>
            </w:pPr>
            <w:r>
              <w:t>Đang sửa vòng 1 (mã JEBS.1563)</w:t>
            </w:r>
          </w:p>
        </w:tc>
        <w:tc>
          <w:tcPr>
            <w:tcW w:w="888" w:type="dxa"/>
          </w:tcPr>
          <w:p w14:paraId="593C4CA1" w14:textId="77777777" w:rsidR="005D3DB2" w:rsidRDefault="00000000">
            <w:pPr>
              <w:pStyle w:val="Compact"/>
            </w:pPr>
            <w:r>
              <w:t>Không</w:t>
            </w:r>
          </w:p>
        </w:tc>
      </w:tr>
      <w:tr w:rsidR="005D3DB2" w14:paraId="455EFBD7" w14:textId="77777777">
        <w:trPr>
          <w:cantSplit/>
        </w:trPr>
        <w:tc>
          <w:tcPr>
            <w:tcW w:w="550" w:type="dxa"/>
          </w:tcPr>
          <w:p w14:paraId="3F7F0A83" w14:textId="77777777" w:rsidR="005D3DB2" w:rsidRDefault="00000000">
            <w:pPr>
              <w:pStyle w:val="Compact"/>
            </w:pPr>
            <w:r>
              <w:t xml:space="preserve">3</w:t>
            </w:r>
          </w:p>
        </w:tc>
        <w:tc>
          <w:tcPr>
            <w:tcW w:w="2900" w:type="dxa"/>
          </w:tcPr>
          <w:p w14:paraId="07C31D6F" w14:textId="77777777" w:rsidR="005D3DB2" w:rsidRDefault="00000000">
            <w:pPr>
              <w:pStyle w:val="Compact"/>
            </w:pPr>
            <w:r>
              <w:t>Corporate Brownwashing and Firm Valuation in ASEAN-5 Disclosure Regimes</w:t>
            </w:r>
          </w:p>
        </w:tc>
        <w:tc>
          <w:tcPr>
            <w:tcW w:w="800" w:type="dxa"/>
          </w:tcPr>
          <w:p w14:paraId="634CD6A2" w14:textId="77777777" w:rsidR="005D3DB2" w:rsidRDefault="00000000">
            <w:pPr>
              <w:pStyle w:val="Compact"/>
            </w:pPr>
            <w:r>
              <w:t>2</w:t>
            </w:r>
          </w:p>
        </w:tc>
        <w:tc>
          <w:tcPr>
            <w:tcW w:w="2150" w:type="dxa"/>
          </w:tcPr>
          <w:p w14:paraId="15D2DE3E" w14:textId="77777777" w:rsidR="005D3DB2" w:rsidRDefault="00000000">
            <w:pPr>
              <w:pStyle w:val="Compact"/>
            </w:pPr>
            <w:r>
              <w:t>Cogent Business &amp; Management; ISSN 2331-1975; Scopus Q2</w:t>
            </w:r>
          </w:p>
        </w:tc>
        <w:tc>
          <w:tcPr>
            <w:tcW w:w="1500" w:type="dxa"/>
          </w:tcPr>
          <w:p w14:paraId="55A4BEBF" w14:textId="77777777" w:rsidR="005D3DB2" w:rsidRDefault="00000000">
            <w:pPr>
              <w:pStyle w:val="Compact"/>
            </w:pPr>
            <w:r>
              <w:t>Đang phản biện vòng 1 (mã 260865765)</w:t>
            </w:r>
          </w:p>
        </w:tc>
        <w:tc>
          <w:tcPr>
            <w:tcW w:w="888" w:type="dxa"/>
          </w:tcPr>
          <w:p w14:paraId="2C369781" w14:textId="77777777" w:rsidR="005D3DB2" w:rsidRDefault="00000000">
            <w:pPr>
              <w:pStyle w:val="Compact"/>
            </w:pPr>
            <w:r>
              <w:t>Không</w:t>
            </w:r>
          </w:p>
        </w:tc>
      </w:tr>
      <w:tr w:rsidR="005D3DB2" w14:paraId="4E668E66" w14:textId="77777777">
        <w:trPr>
          <w:cantSplit/>
        </w:trPr>
        <w:tc>
          <w:tcPr>
            <w:tcW w:w="550" w:type="dxa"/>
          </w:tcPr>
          <w:p w14:paraId="67F047FC" w14:textId="77777777" w:rsidR="005D3DB2" w:rsidRDefault="00000000">
            <w:pPr>
              <w:pStyle w:val="Compact"/>
            </w:pPr>
            <w:r>
              <w:t xml:space="preserve">4</w:t>
            </w:r>
          </w:p>
        </w:tc>
        <w:tc>
          <w:tcPr>
            <w:tcW w:w="2900" w:type="dxa"/>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800" w:type="dxa"/>
          </w:tcPr>
          <w:p w14:paraId="7DD3169A" w14:textId="77777777" w:rsidR="005D3DB2" w:rsidRDefault="00000000">
            <w:pPr>
              <w:pStyle w:val="Compact"/>
            </w:pPr>
            <w:r>
              <w:t>6</w:t>
            </w:r>
          </w:p>
        </w:tc>
        <w:tc>
          <w:tcPr>
            <w:tcW w:w="2150" w:type="dxa"/>
          </w:tcPr>
          <w:p w14:paraId="26170363" w14:textId="77777777" w:rsidR="005D3DB2" w:rsidRDefault="00000000">
            <w:pPr>
              <w:pStyle w:val="Compact"/>
            </w:pPr>
            <w:r>
              <w:t>Asian Journal of Economics and Banking; ISSN 2615-9821</w:t>
            </w:r>
          </w:p>
        </w:tc>
        <w:tc>
          <w:tcPr>
            <w:tcW w:w="1500" w:type="dxa"/>
          </w:tcPr>
          <w:p w14:paraId="5BE9C6F4" w14:textId="77777777" w:rsidR="005D3DB2" w:rsidRDefault="00000000">
            <w:pPr>
              <w:pStyle w:val="Compact"/>
            </w:pPr>
            <w:r>
              <w:t>Chờ phân công phản biện (mã AJEB-08-2026-0208)</w:t>
            </w:r>
          </w:p>
        </w:tc>
        <w:tc>
          <w:tcPr>
            <w:tcW w:w="888" w:type="dxa"/>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550" w:type="dxa"/>
          </w:tcPr>
          <w:p w14:paraId="4F71AE07" w14:textId="77777777" w:rsidR="005D3DB2" w:rsidRDefault="00000000">
            <w:pPr>
              <w:pStyle w:val="Compact"/>
            </w:pPr>
            <w:r>
              <w:t xml:space="preserve">5</w:t>
            </w:r>
          </w:p>
        </w:tc>
        <w:tc>
          <w:tcPr>
            <w:tcW w:w="2900" w:type="dxa"/>
          </w:tcPr>
          <w:p w14:paraId="572E2D9D" w14:textId="77777777" w:rsidR="005D3DB2" w:rsidRDefault="00000000">
            <w:pPr>
              <w:pStyle w:val="Compact"/>
            </w:pPr>
            <w:r>
              <w:t>Nested equity index correlations overstate true co-movement: Evidence from Vietnam</w:t>
            </w:r>
          </w:p>
        </w:tc>
        <w:tc>
          <w:tcPr>
            <w:tcW w:w="800" w:type="dxa"/>
          </w:tcPr>
          <w:p w14:paraId="2198CF88" w14:textId="77777777" w:rsidR="005D3DB2" w:rsidRDefault="00000000">
            <w:pPr>
              <w:pStyle w:val="Compact"/>
            </w:pPr>
            <w:r>
              <w:t>4</w:t>
            </w:r>
          </w:p>
        </w:tc>
        <w:tc>
          <w:tcPr>
            <w:tcW w:w="2150" w:type="dxa"/>
          </w:tcPr>
          <w:p w14:paraId="7E5E52AB" w14:textId="77777777" w:rsidR="005D3DB2" w:rsidRDefault="00000000">
            <w:pPr>
              <w:pStyle w:val="Compact"/>
            </w:pPr>
            <w:r>
              <w:t>Asia-Pacific Financial Markets; ISSN 1387-2834; Scopus Q2</w:t>
            </w:r>
          </w:p>
        </w:tc>
        <w:tc>
          <w:tcPr>
            <w:tcW w:w="1500" w:type="dxa"/>
          </w:tcPr>
          <w:p w14:paraId="03966828" w14:textId="77777777" w:rsidR="005D3DB2" w:rsidRDefault="00000000">
            <w:pPr>
              <w:pStyle w:val="Compact"/>
            </w:pPr>
            <w:r>
              <w:t>Ban biên tập đang xem xét (mã FEJM-D-26-00726)</w:t>
            </w:r>
          </w:p>
        </w:tc>
        <w:tc>
          <w:tcPr>
            <w:tcW w:w="888" w:type="dxa"/>
          </w:tcPr>
          <w:p w14:paraId="3C266793" w14:textId="77777777" w:rsidR="005D3DB2" w:rsidRDefault="00000000">
            <w:pPr>
              <w:pStyle w:val="Compact"/>
            </w:pPr>
            <w:r>
              <w:t xml:space="preserve">Không</w:t>
            </w:r>
          </w:p>
        </w:tc>
      </w:tr>
      <w:tr w:rsidR="005D3DB2" w14:paraId="789C5D6A" w14:textId="77777777">
        <w:trPr>
          <w:cantSplit/>
        </w:trPr>
        <w:tc>
          <w:tcPr>
            <w:tcW w:w="550" w:type="dxa"/>
          </w:tcPr>
          <w:p w14:paraId="11F21158" w14:textId="77777777" w:rsidR="005D3DB2" w:rsidRDefault="00000000">
            <w:pPr>
              <w:pStyle w:val="Compact"/>
            </w:pPr>
            <w:r>
              <w:t xml:space="preserve">6</w:t>
            </w:r>
          </w:p>
        </w:tc>
        <w:tc>
          <w:tcPr>
            <w:tcW w:w="2900" w:type="dxa"/>
          </w:tcPr>
          <w:p w14:paraId="0E901BC3" w14:textId="77777777" w:rsidR="005D3DB2" w:rsidRDefault="00000000">
            <w:pPr>
              <w:pStyle w:val="Compact"/>
            </w:pPr>
            <w:r>
              <w:t>Who gains from a market upgrade? Stock liquidity and prices around Vietnam’s FTSE Russell reclassification</w:t>
            </w:r>
          </w:p>
        </w:tc>
        <w:tc>
          <w:tcPr>
            <w:tcW w:w="800" w:type="dxa"/>
          </w:tcPr>
          <w:p w14:paraId="4985C38F" w14:textId="77777777" w:rsidR="005D3DB2" w:rsidRDefault="00000000">
            <w:pPr>
              <w:pStyle w:val="Compact"/>
            </w:pPr>
            <w:r>
              <w:t>4</w:t>
            </w:r>
          </w:p>
        </w:tc>
        <w:tc>
          <w:tcPr>
            <w:tcW w:w="2150" w:type="dxa"/>
          </w:tcPr>
          <w:p w14:paraId="2BAC15E0" w14:textId="77777777" w:rsidR="005D3DB2" w:rsidRDefault="00000000">
            <w:pPr>
              <w:pStyle w:val="Compact"/>
            </w:pPr>
            <w:r>
              <w:t>Finance Research Open; ISSN 3050-7006</w:t>
            </w:r>
          </w:p>
        </w:tc>
        <w:tc>
          <w:tcPr>
            <w:tcW w:w="1500" w:type="dxa"/>
          </w:tcPr>
          <w:p w14:paraId="03CFEC73" w14:textId="77777777" w:rsidR="005D3DB2" w:rsidRDefault="00000000">
            <w:pPr>
              <w:pStyle w:val="Compact"/>
            </w:pPr>
            <w:r>
              <w:t>Ban biên tập đang xem xét (mã FINR-D-26-00823)</w:t>
            </w:r>
          </w:p>
        </w:tc>
        <w:tc>
          <w:tcPr>
            <w:tcW w:w="888" w:type="dxa"/>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550" w:type="dxa"/>
          </w:tcPr>
          <w:p w14:paraId="21B89AB4" w14:textId="77777777" w:rsidR="005D3DB2" w:rsidRDefault="00000000">
            <w:pPr>
              <w:pStyle w:val="Compact"/>
            </w:pPr>
            <w:r>
              <w:t xml:space="preserve">7</w:t>
            </w:r>
          </w:p>
        </w:tc>
        <w:tc>
          <w:tcPr>
            <w:tcW w:w="2900" w:type="dxa"/>
          </w:tcPr>
          <w:p w14:paraId="4213B425" w14:textId="77777777" w:rsidR="005D3DB2" w:rsidRDefault="00000000">
            <w:pPr>
              <w:pStyle w:val="Compact"/>
            </w:pPr>
            <w:r>
              <w:t>Rated at the peak? Firm valuation around the first LSEG ESG score in five Southeast Asian markets</w:t>
            </w:r>
          </w:p>
        </w:tc>
        <w:tc>
          <w:tcPr>
            <w:tcW w:w="800" w:type="dxa"/>
          </w:tcPr>
          <w:p w14:paraId="08F2D798" w14:textId="77777777" w:rsidR="005D3DB2" w:rsidRDefault="00000000">
            <w:pPr>
              <w:pStyle w:val="Compact"/>
            </w:pPr>
            <w:r>
              <w:t>4</w:t>
            </w:r>
          </w:p>
        </w:tc>
        <w:tc>
          <w:tcPr>
            <w:tcW w:w="2150" w:type="dxa"/>
          </w:tcPr>
          <w:p w14:paraId="6745A820" w14:textId="77777777" w:rsidR="005D3DB2" w:rsidRDefault="00000000">
            <w:pPr>
              <w:pStyle w:val="Compact"/>
            </w:pPr>
            <w:r>
              <w:t>Sustainable Finance Review; ISSN 2977-7542</w:t>
            </w:r>
          </w:p>
        </w:tc>
        <w:tc>
          <w:tcPr>
            <w:tcW w:w="1500" w:type="dxa"/>
          </w:tcPr>
          <w:p w14:paraId="764FBF85" w14:textId="77777777" w:rsidR="005D3DB2" w:rsidRDefault="00000000">
            <w:pPr>
              <w:pStyle w:val="Compact"/>
            </w:pPr>
            <w:r>
              <w:t>Chờ xử lý tại tòa soạn (mã SFR-09-2026-0113)</w:t>
            </w:r>
          </w:p>
        </w:tc>
        <w:tc>
          <w:tcPr>
            <w:tcW w:w="888" w:type="dxa"/>
          </w:tcPr>
          <w:p w14:paraId="6C7340BB" w14:textId="77777777" w:rsidR="005D3DB2" w:rsidRDefault="00000000">
            <w:pPr>
              <w:pStyle w:val="Compact"/>
            </w:pPr>
            <w:r>
              <w:t>Không</w:t>
            </w:r>
          </w:p>
        </w:tc>
      </w:tr>
      <w:tr w:rsidR="005D3DB2" w14:paraId="56719B6F" w14:textId="77777777">
        <w:trPr>
          <w:cantSplit/>
        </w:trPr>
        <w:tc>
          <w:tcPr>
            <w:tcW w:w="550" w:type="dxa"/>
          </w:tcPr>
          <w:p w14:paraId="0D2FF7BD" w14:textId="77777777" w:rsidR="005D3DB2" w:rsidRDefault="00000000">
            <w:pPr>
              <w:pStyle w:val="Compact"/>
            </w:pPr>
            <w:r>
              <w:t xml:space="preserve">8</w:t>
            </w:r>
          </w:p>
        </w:tc>
        <w:tc>
          <w:tcPr>
            <w:tcW w:w="2900" w:type="dxa"/>
          </w:tcPr>
          <w:p w14:paraId="043FD78B" w14:textId="77777777" w:rsidR="005D3DB2" w:rsidRDefault="00000000">
            <w:pPr>
              <w:pStyle w:val="Compact"/>
            </w:pPr>
            <w:r>
              <w:t>Sales-based real earnings management and the cost of debt: Evidence from five ASEAN markets</w:t>
            </w:r>
          </w:p>
        </w:tc>
        <w:tc>
          <w:tcPr>
            <w:tcW w:w="800" w:type="dxa"/>
          </w:tcPr>
          <w:p w14:paraId="203CA6B8" w14:textId="77777777" w:rsidR="005D3DB2" w:rsidRDefault="00000000">
            <w:pPr>
              <w:pStyle w:val="Compact"/>
            </w:pPr>
            <w:r>
              <w:t>5</w:t>
            </w:r>
          </w:p>
        </w:tc>
        <w:tc>
          <w:tcPr>
            <w:tcW w:w="2150" w:type="dxa"/>
          </w:tcPr>
          <w:p w14:paraId="51D4B5A9" w14:textId="77777777" w:rsidR="005D3DB2" w:rsidRDefault="00000000">
            <w:pPr>
              <w:pStyle w:val="Compact"/>
            </w:pPr>
            <w:r>
              <w:t>Accounting Open; ISSN 3050-5461</w:t>
            </w:r>
          </w:p>
        </w:tc>
        <w:tc>
          <w:tcPr>
            <w:tcW w:w="1500" w:type="dxa"/>
          </w:tcPr>
          <w:p w14:paraId="684A05E9" w14:textId="77777777" w:rsidR="005D3DB2" w:rsidRDefault="00000000">
            <w:pPr>
              <w:pStyle w:val="Compact"/>
            </w:pPr>
            <w:r>
              <w:t>Ban biên tập đang xem xét (mã ACCOP-D-26-00232)</w:t>
            </w:r>
          </w:p>
        </w:tc>
        <w:tc>
          <w:tcPr>
            <w:tcW w:w="888" w:type="dxa"/>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cả tám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rsidR="005D3DB2" w:rsidRDefault="00000000">
      <w:pPr>
        <w:pStyle w:val="FirstParagraph"/>
      </w:pPr>
      <w:r>
        <w:t xml:space="preserve">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rsidR="005D3DB2" w:rsidRDefault="00000000">
      <w:pPr>
        <w:pStyle w:val="FirstParagraph"/>
      </w:pPr>
      <w:r>
        <w:t xml:space="preserve">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rsidR="005D3DB2" w:rsidRDefault="00000000">
      <w:pPr>
        <w:pStyle w:val="FirstParagraph"/>
      </w:pPr>
      <w:r>
        <w:t xml:space="preserve">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số 6 ở Bảng 7, về thanh khoản cổ phiếu quanh đợt nâng hạng thị trường của FTSE Russell, cho thí sinh kinh nghiệm với nghiên cứu sự kiện trên thanh khoản, công cụ trực tiếp của H</w:t>
      </w:r>
      <w:r>
        <w:rPr>
          <w:vertAlign w:val="subscript"/>
        </w:rPr>
        <w:t xml:space="preserve">3</w:t>
      </w:r>
      <w:r>
        <w:t xml:space="preserve">; bản thảo số 4, về điểm gãy cấu trúc của thanh khoản, cho thí sinh kinh nghiệm với độ phi thanh khoản Amihud và phương pháp Bai-Perron. Bài báo Nguyễn và Nguyễn (2026a) là nền của mô hình M</w:t>
      </w:r>
      <w:r>
        <w:rPr>
          <w:vertAlign w:val="subscript"/>
        </w:rPr>
        <w:t xml:space="preserve">5</w:t>
      </w:r>
      <w:r>
        <w:t xml:space="preserve">, và bài báo số 4 ở Bảng 6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rsidR="005D3DB2" w:rsidRDefault="00000000">
      <w:pPr>
        <w:pStyle w:val="BodyText"/>
      </w:pPr>
      <w:r>
        <w:t xml:space="preserve">Thí sinh cam kết thực hiện nghĩa vụ tại điểm e khoản 2 Điều 15 Nghị quyết số 57/2026/NQ-HĐND: sau khi hoàn thành chương trình đào tạo, tham gia mạng lưới chuyên gia khoa học, công nghệ, đổi mới sáng tạo và chuyển đổi số của Thành phố, và tham gia tư vấn, phản biện, cung cấp luận cứ khoa học cho bài toán số 19 và các nhiệm vụ khác phù hợp với chuyên môn khi được cơ quan có thẩm quyền mời hoặc giao nhiệm vụ (Hội đồng nhân dân thành phố Hà Nội, 2026).</w:t>
      </w:r>
    </w:p>
    <w:p w14:paraId="03A74E3B" w14:textId="77777777" w:rsidR="005D3DB2" w:rsidRDefault="00000000">
      <w:pPr>
        <w:pStyle w:val="BodyText"/>
      </w:pPr>
      <w:r>
        <w:t xml:space="preserve">Về nghiên cứu, thí sinh dự kiến mở rộng Chỉ số chất lượng thị trường vốn sang thị trường trái phiếu chính phủ và phái sinh do HNX vận hành, đánh giá tác động dài hạn của đợt hợp nhất,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Báo Đầu tư Chứng khoán. (2026). HNX nhập HOSE, UPCoM còn doanh nghiệp nào đang chia cổ tức tốt với P/E rẻ? [Bài báo ngày 06/10/2026].</w:t>
      </w:r>
    </w:p>
    <w:p>
      <w:pPr>
        <w:pStyle w:val="Reference"/>
      </w:pPr>
      <w:r>
        <w:t xml:space="preserve">Bộ Tài chính. (2020). </w:t>
      </w:r>
      <w:r>
        <w:rPr>
          <w:i/>
          <w:iCs/>
        </w:rPr>
        <w:t xml:space="preserve">Thông tư số 120/2020/TT-BTC ngày 31/12/2020 quy định giao dịch cổ phiếu niêm yết, đăng ký giao dịch và chứng chỉ quỹ, trái phiếu doanh nghiệp, chứng quyền có bảo đảm niêm yết trên hệ thống giao dịch chứng khoán</w:t>
      </w:r>
      <w:r>
        <w:t xml:space="preserve">.</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 quy định một số chính sách phát triển nguồn nhân lực chất lượng cao của thành phố Hà Nội.</w:t>
      </w:r>
      <w:r>
        <w:t xml:space="preserve"/>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ngày 27/6/2025 về Trung tâm tài chính quốc tế tại Việt Nam</w:t>
      </w:r>
      <w:r>
        <w:t xml:space="preserve">.</w:t>
      </w:r>
    </w:p>
    <w:p>
      <w:pPr>
        <w:pStyle w:val="Reference"/>
      </w:pPr>
      <w:r>
        <w:t xml:space="preserve">Sở Giao dịch Chứng khoán Hà Nội. (2016). </w:t>
      </w:r>
      <w:r>
        <w:rPr>
          <w:i/>
          <w:iCs/>
        </w:rPr>
        <w:t xml:space="preserve">Quyết định số 529/QĐ-SGDHN ngày 25/8/2016 về việc ban hành Quy chế giao dịch chứng khoán niêm yết tại Sở Giao dịch Chứng khoán Hà Nội</w:t>
      </w:r>
      <w:r>
        <w:t xml:space="preserve">.</w:t>
      </w:r>
    </w:p>
    <w:p>
      <w:pPr>
        <w:pStyle w:val="Reference"/>
      </w:pPr>
      <w:r>
        <w:t xml:space="preserve">Sở Giao dịch Chứng khoán Thành phố Hồ Chí Minh. (2016). </w:t>
      </w:r>
      <w:r>
        <w:rPr>
          <w:i/>
          <w:iCs/>
        </w:rPr>
        <w:t xml:space="preserve">Quyết định số 341/QĐ-SGDHCM ngày 22/8/2016 ban hành Quy chế giao dịch chứng khoán</w:t>
      </w:r>
      <w:r>
        <w:t xml:space="preserve">.</w:t>
      </w:r>
    </w:p>
    <w:p>
      <w:pPr>
        <w:pStyle w:val="Reference"/>
      </w:pPr>
      <w:r>
        <w:t xml:space="preserve">Sở Giao dịch Chứng khoán Thành phố Hồ Chí Minh. (2025). </w:t>
      </w:r>
      <w:r>
        <w:rPr>
          <w:i/>
          <w:iCs/>
        </w:rPr>
        <w:t xml:space="preserve">Quy định giao dịch đăng website HOSE</w:t>
      </w:r>
      <w:r>
        <w:t xml:space="preserve"> [Kèm theo Tờ trình số 51/TTr-HTGD ngày 26/4/2025].</w:t>
      </w:r>
    </w:p>
    <w:p>
      <w:pPr>
        <w:pStyle w:val="Reference"/>
      </w:pPr>
      <w:r>
        <w:t xml:space="preserve">Sở Giao dịch Chứng khoán Thành phố Hồ Chí Minh. (2026). </w:t>
      </w:r>
      <w:r>
        <w:rPr>
          <w:i/>
          <w:iCs/>
        </w:rPr>
        <w:t xml:space="preserve">Quyết định số 737/QĐ-SGDHCM ngày 29/9/2026 ban hành Quy tắc chỉ số VNINDEX phiên bản 1.0. https://stream.vnx.vn/VNX//Article/2026100813094820920260929_QD737_SGDHCM_QTCS-VNINDEX.pdf</w:t>
      </w:r>
      <w:r>
        <w:t xml:space="preserve"/>
      </w:r>
    </w:p>
    <w:p>
      <w:pPr>
        <w:pStyle w:val="Reference"/>
      </w:pPr>
      <w:r>
        <w:t xml:space="preserve">Sở Giao dịch Chứng khoán Việt Nam. (2026). </w:t>
      </w:r>
      <w:r>
        <w:rPr>
          <w:i/>
          <w:iCs/>
        </w:rPr>
        <w:t xml:space="preserve">Sắp xếp lại thị trường giao dịch cổ phiếu niêm yết theo Thông tư số 139/2025/TT-BTC ngày 30/12/2025 của Bộ Tài chính</w:t>
      </w:r>
      <w:r>
        <w:t xml:space="preserve"> [Thông báo ngày 30/9/2026]. https://vnx.vn/vi/thong-tin-tu-sgdck/VNX_QLHD/10005421</w:t>
      </w:r>
    </w:p>
    <w:p>
      <w:pPr>
        <w:pStyle w:val="Reference"/>
      </w:pPr>
      <w:r>
        <w:t xml:space="preserve">Thời báo Tài chính Việt Nam. (2026). Chuyển toàn bộ cổ phiếu HNX sang HOSE trong năm 2026, nghiên cứu giao dịch xuyên trưa và nới biên độ. https://</w:t>
      </w:r>
      <w:r>
        <w:rPr>
          <w:i/>
          <w:iCs/>
        </w:rPr>
        <w:t xml:space="preserve"/>
      </w:r>
      <w:r>
        <w:t xml:space="preserve">thoibaotaichinhvietnam.vn/chuyen-toan-bo-co-phieu-hnx-sang-hose-trong-nam-2026-nghien-cuu-giao-dich-xuyen-trua-va-noi-bien-do-204943.html</w:t>
      </w:r>
    </w:p>
    <w:p>
      <w:pPr>
        <w:pStyle w:val="Reference"/>
      </w:pPr>
      <w:r>
        <w:t xml:space="preserve">Tuổi Trẻ Online. (2026a). HOSE dự kiến chia cổ phiếu thành hai bảng Prime Board và Standard Board. https://</w:t>
      </w:r>
      <w:r>
        <w:rPr>
          <w:i/>
          <w:iCs/>
        </w:rPr>
        <w:t xml:space="preserve"/>
      </w:r>
      <w:r>
        <w:t xml:space="preserve">tuoitre.vn/hose-du-kien-chia-co-phieu-thanh-hai-bang-prime-board-va-standard-board-100261002092239776.htm</w:t>
      </w:r>
    </w:p>
    <w:p>
      <w:pPr>
        <w:pStyle w:val="Reference"/>
      </w:pPr>
      <w:r>
        <w:t xml:space="preserve">Tuổi Trẻ Online. (2026b). Toàn bộ cổ phiếu trên HNX sẽ chuyển sang HOSE từ 28-12 [Bài báo ngày 30/9/2026]. https://tuoitre.vn/toan-bo-co-phieu-tren-hnx-se-chuyen-sang-hose-tu-28-12-100260930201353937.htm</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 45(3), 365–390. https://doi.org/10.1016/S0304-405X(97)00021-4</w:t>
      </w:r>
      <w:r>
        <w:t xml:space="preserve"/>
      </w:r>
      <w:r>
        <w:rPr>
          <w:i/>
          <w:iCs/>
        </w:rPr>
        <w:t xml:space="preserve"/>
      </w:r>
      <w:r>
        <w:t xml:space="preserve"/>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 67(2), 719–760. https://doi.org/10.1111/j.1540-6261.2012.01729.x</w:t>
      </w:r>
      <w:r>
        <w:t xml:space="preserve"/>
      </w:r>
      <w:r>
        <w:rPr>
          <w:i/>
          <w:iCs/>
        </w:rPr>
        <w:t xml:space="preserve"/>
      </w:r>
      <w:r>
        <w:t xml:space="preserve"/>
      </w:r>
    </w:p>
    <w:p>
      <w:pPr>
        <w:pStyle w:val="Reference"/>
      </w:pPr>
      <w:r>
        <w:t xml:space="preserve">Coval, J. D., &amp; Moskowitz, T. J. (1999). Home bias at home: Local equity preference in domestic portfolios. The Journal of Finance, 54(6), 2045–2073. https://doi.org/10.1111/0022-1082.00181</w:t>
      </w:r>
      <w:r>
        <w:rPr>
          <w:i/>
          <w:iCs/>
        </w:rPr>
        <w:t xml:space="preserve"/>
      </w:r>
      <w:r>
        <w:t xml:space="preserve"/>
      </w:r>
      <w:r>
        <w:rPr>
          <w:i/>
          <w:iCs/>
        </w:rPr>
        <w:t xml:space="preserve"/>
      </w:r>
      <w:r>
        <w:t xml:space="preserve"/>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https://doi.org/10.1111/1475-6773.12993</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 28(1), 62–81. https://doi.org/10.1111/roie.12441</w:t>
      </w:r>
      <w:r>
        <w:t xml:space="preserve"/>
      </w:r>
      <w:r>
        <w:rPr>
          <w:i/>
          <w:iCs/>
        </w:rPr>
        <w:t xml:space="preserve"/>
      </w:r>
      <w:r>
        <w:t xml:space="preserve"/>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pPr>
        <w:pStyle w:val="Reference"/>
      </w:pPr>
      <w:r>
        <w:t xml:space="preserve">FTSE Russell. (2026a, September). </w:t>
      </w:r>
      <w:r>
        <w:rPr>
          <w:i/>
          <w:iCs/>
        </w:rPr>
        <w:t xml:space="preserve">FTSE Global Equity Index Series ground rules</w:t>
      </w:r>
      <w:r>
        <w:t xml:space="preserve"> (Version 14.4). LSEG.</w:t>
      </w:r>
    </w:p>
    <w:p>
      <w:pPr>
        <w:pStyle w:val="Reference"/>
      </w:pPr>
      <w:r>
        <w:t xml:space="preserve">FTSE Russell. (2026b, August). Reclassification</w:t>
      </w:r>
      <w:r>
        <w:rPr>
          <w:i/>
          <w:iCs/>
        </w:rPr>
        <w:t xml:space="preserve"> of Vietnam from Frontier to Secondary Emerging market status: Frequently asked questions</w:t>
      </w:r>
      <w:r>
        <w:t xml:space="preserve"> (Version 1.3). LSEG. https://www.lseg.com/content/dam/ftse-russell/en_us/documents/policy-documents/ftse-faq-document-vietnam-reclassification.pdf</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415–445).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 49(6), 1275–1296. https://doi.org/10.1177/0042098011408143</w:t>
      </w:r>
      <w:r>
        <w:t xml:space="preserve"/>
      </w:r>
      <w:r>
        <w:rPr>
          <w:i/>
          <w:iCs/>
        </w:rPr>
        <w:t xml:space="preserve"/>
      </w:r>
      <w:r>
        <w:t xml:space="preserve"/>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pPr>
        <w:pStyle w:val="Reference"/>
      </w:pPr>
      <w:r>
        <w:t xml:space="preserve">Loughran, T., &amp; Schultz, P. (2005). Liquidity: Urban versus rural firms. </w:t>
      </w:r>
      <w:r>
        <w:rPr>
          <w:i/>
          <w:iCs/>
        </w:rPr>
        <w:t xml:space="preserve">Journal of Financial Economics</w:t>
      </w:r>
      <w:r>
        <w:t xml:space="preserve">, </w:t>
      </w:r>
      <w:r>
        <w:rPr>
          <w:i/>
          <w:iCs/>
        </w:rPr>
        <w:t xml:space="preserve">78</w:t>
      </w:r>
      <w:r>
        <w:t xml:space="preserve">(2), 341–374.</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Wardle, M., &amp; Mainelli, M. (2026, September). The Global Financial Centres Index 40. Z/Yen Group &amp; China Development Institute. https://www.longfinance.net/media/documents/GFCI_40_Report_2026.09.16_v1.2.pdf</w:t>
      </w:r>
      <w:r>
        <w:rPr>
          <w:i/>
          <w:iCs/>
        </w:rPr>
        <w:t xml:space="preserve"/>
      </w:r>
      <w:r>
        <w:t xml:space="preserve"/>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 xml:space="preserve">Hà Nội, ngày … tháng 10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cPr>
      <w:vAlign w:val="top"/>
    </w:tcPr>
    <w:tblStylePr w:type="firstRow">
      <w:rPr>
        <w:b/>
        <w:bCs/>
      </w:rPr>
      <w:tcPr>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