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bước giá của HOSE trước ngày 12/9/2016].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bắt đầu có giao dịch [CẦN XÁC MINH ngày giao dịch đầu tiên của UPCoM trên văn bản của HNX].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TK</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HQ</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MB</m:t>
                </m:r>
              </m:e>
              <m:sub>
                <m:r>
                  <w:rPr>
                    <w:rFonts w:ascii="Cambria Math" w:hAnsi="Cambria Math"/>
                  </w:rPr>
                  <m:t xml:space="preserve">jt</m:t>
                </m:r>
              </m:sub>
            </m:sSub>
          </m:num>
          <m:den>
            <m:r>
              <m:rPr>
                <m:sty m:val="p"/>
              </m:rPr>
              <w:rPr>
                <w:rFonts w:ascii="Cambria Math" w:hAnsi="Cambria Math"/>
              </w:rPr>
              <m:t xml:space="preserve">3</m:t>
            </m:r>
          </m:den>
        </m:f>
      </m:oMath>
      <w:r>
        <w:t xml:space="preserve"> </w:t>
        <w:tab/>
        <w:t>(1)</w:t>
      </w:r>
    </w:p>
    <w:p>
      <w:pPr>
        <w:pStyle w:val="FirstParagraph"/>
      </w:pPr>
      <w:r>
        <w:t xml:space="preserve">trong đó MQI</w:t>
      </w:r>
      <w:r>
        <w:rPr>
          <w:vertAlign w:val="subscript"/>
        </w:rPr>
        <w:t xml:space="preserve">jt</w:t>
      </w:r>
      <w:r>
        <w:t xml:space="preserve"> là Chỉ số chất lượng thị trường vốn của sàn j (sàn niêm yết HNX, UPCoM hoặc HOSE) trong tháng t; TK</w:t>
      </w:r>
      <w:r>
        <w:rPr>
          <w:vertAlign w:val="subscript"/>
        </w:rPr>
        <w:t xml:space="preserve">jt</w:t>
      </w:r>
      <w:r>
        <w:t xml:space="preserve">, HQ</w:t>
      </w:r>
      <w:r>
        <w:rPr>
          <w:vertAlign w:val="subscript"/>
        </w:rPr>
        <w:t xml:space="preserve">jt</w:t>
      </w:r>
      <w:r>
        <w:t xml:space="preserve"> và MB</w:t>
      </w:r>
      <w:r>
        <w:rPr>
          <w:vertAlign w:val="subscript"/>
        </w:rPr>
        <w:t xml:space="preserve">jt</w:t>
      </w:r>
      <w:r>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Việt Nam trong bài báo Nguyễn và Nguyễn (2026a) và trong các bản thảo số 4 và số 6 ở Bảng 7 [CẦN XÁC MINH phạm vi sàn của từng bài].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Với mỗi mô hình, mỗi rổ (rổ CS gồm cổ phiếu chuyển sàn, rổ H gồm cổ phiếu HOSE được ghép với rổ CS) và mỗi cửa sổ đánh giá, </w:t>
      </w:r>
      <w:r>
        <w:rPr>
          <w:i/>
          <w:iCs/>
        </w:rPr>
        <w:t xml:space="preserve">μ</w:t>
      </w:r>
      <w:r>
        <w:t xml:space="preserve"> và </w:t>
      </w:r>
      <w:r>
        <w:rPr>
          <w:i/>
          <w:iCs/>
        </w:rPr>
        <w:t xml:space="preserve">σ</w:t>
      </w:r>
      <w:r>
        <w:t xml:space="preserve">²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r>
          <w:rPr>
            <w:rFonts w:ascii="Cambria Math" w:hAnsi="Cambria Math"/>
          </w:rPr>
          <m:t xml:space="preserve">U</m:t>
        </m:r>
        <m:r>
          <m:rPr>
            <m:sty m:val="p"/>
          </m:rPr>
          <w:rPr>
            <w:rFonts w:ascii="Cambria Math" w:hAnsi="Cambria Math"/>
          </w:rPr>
          <m:t xml:space="preserve"> = </m:t>
        </m:r>
        <m:r>
          <w:rPr>
            <w:rFonts w:ascii="Cambria Math" w:hAnsi="Cambria Math"/>
          </w:rPr>
          <m:t xml:space="preserve">μ</m:t>
        </m:r>
        <m:r>
          <m:rPr>
            <m:sty m:val="p"/>
          </m:rPr>
          <w:rPr>
            <w:rFonts w:ascii="Cambria Math" w:hAnsi="Cambria Math"/>
          </w:rPr>
          <m:t xml:space="preserve"> − </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p>
          <m:sSupPr>
            <m:ctrlPr>
              <w:rPr>
                <w:rFonts w:ascii="Cambria Math" w:hAnsi="Cambria Math"/>
              </w:rPr>
            </m:ctrlPr>
          </m:sSupPr>
          <m:e>
            <m:r>
              <w:rPr>
                <w:rFonts w:ascii="Cambria Math" w:hAnsi="Cambria Math"/>
              </w:rPr>
              <m:t xml:space="preserve">σ</m:t>
            </m:r>
          </m:e>
          <m:sup>
            <m:r>
              <m:rPr>
                <m:sty m:val="p"/>
              </m:rPr>
              <w:rPr>
                <w:rFonts w:ascii="Cambria Math" w:hAnsi="Cambria Math"/>
              </w:rPr>
              <m:t xml:space="preserve">2</m:t>
            </m:r>
          </m:sup>
        </m:s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(CS)</m:t>
        </m:r>
      </m:oMath>
      <w:r>
        <w:t xml:space="preserve"> </w:t>
        <w:tab/>
        <w:t>(3)</w:t>
      </w:r>
    </w:p>
    <w:p>
      <w:pPr>
        <w:pStyle w:val="FirstParagraph"/>
      </w:pPr>
      <w:r>
        <w:t xml:space="preserve">Chỉ số khả năng đầu tư là khoảng cách bình quân theo bảy mô hình:</w:t>
      </w:r>
    </w:p>
    <w:p>
      <w:pPr>
        <w:pStyle w:val="Equation"/>
      </w:pPr>
      <w:r>
        <w:tab/>
      </w:r>
      <m:oMath>
        <m:r>
          <w:rPr>
            <w:rFonts w:ascii="Cambria Math" w:hAnsi="Cambria Math"/>
          </w:rPr>
          <m:t xml:space="preserve">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 xml:space="preserve">G</m:t>
                </m:r>
              </m:e>
              <m:sub>
                <m:r>
                  <w:rPr>
                    <w:rFonts w:ascii="Cambria Math" w:hAnsi="Cambria Math"/>
                  </w:rPr>
                  <m:t xml:space="preserve">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G</m:t>
                </m:r>
              </m:e>
              <m:sub>
                <m:r>
                  <w:rPr>
                    <w:rFonts w:ascii="Cambria Math" w:hAnsi="Cambria Math"/>
                  </w:rPr>
                  <m:t xml:space="preserve">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 xml:space="preserve">G</m:t>
                </m:r>
              </m:e>
              <m:sub>
                <m:r>
                  <w:rPr>
                    <w:rFonts w:ascii="Cambria Math" w:hAnsi="Cambria Math"/>
                  </w:rPr>
                  <m:t xml:space="preserve">7</m:t>
                </m:r>
              </m:sub>
            </m:sSub>
          </m:num>
          <m:den>
            <m:r>
              <m:rPr>
                <m:sty m:val="p"/>
              </m:rPr>
              <w:rPr>
                <w:rFonts w:ascii="Cambria Math" w:hAnsi="Cambria Math"/>
              </w:rPr>
              <m:t xml:space="preserve">7</m:t>
            </m:r>
          </m:den>
        </m:f>
      </m:oMath>
      <w:r>
        <w:t xml:space="preserve"> </w:t>
        <w:tab/>
        <w:t>(4)</w:t>
      </w:r>
    </w:p>
    <w:p>
      <w:pPr>
        <w:pStyle w:val="FirstParagraph"/>
      </w:pPr>
      <w:r>
        <w:t xml:space="preserve">Chỉ số khả năng đầu tư </w:t>
      </w:r>
      <w:r>
        <w:rPr>
          <w:i/>
          <w:iCs/>
        </w:rPr>
        <w:t xml:space="preserve">Ḡ</w:t>
      </w:r>
      <w:r>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w:t>
      </w:r>
      <w:r>
        <w:t xml:space="preserve"> giữa bảy mô hình.</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w:t>
      </w:r>
      <w:r>
        <w:rPr>
          <w:i/>
          <w:iCs/>
        </w:rPr>
        <w:t xml:space="preserve">G</w:t>
      </w:r>
      <w:r>
        <w:rPr>
          <w:vertAlign w:val="subscript"/>
        </w:rPr>
        <w:t xml:space="preserve">m</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δ</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(5)</w:t>
      </w:r>
    </w:p>
    <w:p>
      <w:pPr>
        <w:pStyle w:val="FirstParagraph"/>
      </w:pPr>
      <w:r>
        <w:t xml:space="preserve">trong đó </w:t>
      </w:r>
      <w:r>
        <w:rPr>
          <w:i/>
          <w:iCs/>
        </w:rPr>
        <w:t xml:space="preserve">A</w:t>
      </w:r>
      <w:r>
        <w:rPr>
          <w:vertAlign w:val="subscript"/>
        </w:rPr>
        <w:t xml:space="preserve">it</w:t>
      </w:r>
      <w:r>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w:t>
      </w:r>
      <w:r>
        <w:rPr>
          <w:i/>
          <w:iCs/>
        </w:rPr>
        <w:t xml:space="preserve">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 </w:t>
      </w:r>
      <w:r>
        <w:rPr>
          <w:i/>
          <w:iCs/>
        </w:rPr>
        <w:t xml:space="preserve">δ</w:t>
      </w:r>
      <w:r>
        <w:t xml:space="preserve"> là tác động của việc chuyển sàn.</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T</m:t>
                </m:r>
              </m:e>
              <m:sub>
                <m:r>
                  <w:rPr>
                    <w:rFonts w:ascii="Cambria Math" w:hAnsi="Cambria Math"/>
                  </w:rPr>
                  <m:t xml:space="preserve">kt</m:t>
                </m:r>
              </m:sub>
            </m:sSub>
            <m:r>
              <m:rPr>
                <m:sty m:val="p"/>
              </m:rPr>
              <w:rPr>
                <w:rFonts w:ascii="Cambria Math" w:hAnsi="Cambria Math"/>
              </w:rPr>
              <m:t xml:space="preserve">)</m:t>
            </m:r>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(6)</w:t>
      </w:r>
    </w:p>
    <w:p>
      <w:pPr>
        <w:pStyle w:val="FirstParagraph"/>
      </w:pPr>
      <w:r>
        <w:t xml:space="preserve">trong đó </w:t>
      </w:r>
      <w:r>
        <w:rPr>
          <w:i/>
          <w:iCs/>
        </w:rPr>
        <w:t xml:space="preserve">T</w:t>
      </w:r>
      <w:r>
        <w:rPr>
          <w:vertAlign w:val="subscript"/>
        </w:rPr>
        <w:t xml:space="preserve">kt</w:t>
      </w:r>
      <w:r>
        <w:t xml:space="preserve"> bằng 1 nếu tháng t là tháng k, với k chạy từ tháng 1/2024 đến tháng 12/2028 và bỏ tháng 6/2025 làm tháng gốc; các tháng trước 1/2024 được gộp thành một nhóm.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w:t>
      </w:r>
      <w:r>
        <w:rPr>
          <w:i/>
          <w:iCs/>
        </w:rPr>
        <w:t xml:space="preserve">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w:t>
      </w:r>
      <w:r>
        <w:rPr>
          <w:i/>
          <w:iCs/>
        </w:rPr>
        <w:t xml:space="preserve">D</w:t>
      </w:r>
      <w:r>
        <w:rPr>
          <w:vertAlign w:val="subscript"/>
        </w:rPr>
        <w:t xml:space="preserve">i</w:t>
      </w:r>
      <w:r>
        <w:t xml:space="preserve"> × </w:t>
      </w:r>
      <w:r>
        <w:rPr>
          <w:i/>
          <w:iCs/>
        </w:rPr>
        <w:t xml:space="preserve">Post</w:t>
      </w:r>
      <w:r>
        <w:rPr>
          <w:vertAlign w:val="subscript"/>
        </w:rPr>
        <w:t xml:space="preserve">t</w:t>
      </w:r>
      <w:r>
        <w:t xml:space="preserve"> × </w:t>
      </w:r>
      <w:r>
        <w:rPr>
          <w:i/>
          <w:iCs/>
        </w:rPr>
        <w:t xml:space="preserve">E</w:t>
      </w:r>
      <w:r>
        <w:rPr>
          <w:vertAlign w:val="subscript"/>
        </w:rPr>
        <w:t xml:space="preserve">si</w:t>
      </w:r>
      <w:r>
        <w:t xml:space="preserve">, trong đó </w:t>
      </w:r>
      <w:r>
        <w:rPr>
          <w:i/>
          <w:iCs/>
        </w:rPr>
        <w:t xml:space="preserve">E</w:t>
      </w:r>
      <w:r>
        <w:rPr>
          <w:vertAlign w:val="subscript"/>
        </w:rPr>
        <w:t xml:space="preserve">si</w:t>
      </w:r>
      <w:r>
        <w:t xml:space="preserve"> là mức chịu cú sốc s của cổ phiếu i, trừ trung bình và chia cho độ lệch chuẩn giữa các mã chuyển sàn, nên </w:t>
      </w:r>
      <w:r>
        <w:rPr>
          <w:i/>
          <w:iCs/>
        </w:rPr>
        <w:t xml:space="preserve">δ</w:t>
      </w:r>
      <w:r>
        <w:t xml:space="preserve"> là tác động tại mức chịu cú sốc trung bình. Các số hạng </w:t>
      </w:r>
      <w:r>
        <w:rPr>
          <w:i/>
          <w:iCs/>
        </w:rPr>
        <w:t xml:space="preserve">E</w:t>
      </w:r>
      <w:r>
        <w:rPr>
          <w:vertAlign w:val="subscript"/>
        </w:rPr>
        <w:t xml:space="preserve">si</w:t>
      </w:r>
      <w:r>
        <w:t xml:space="preserve"> × </w:t>
      </w:r>
      <w:r>
        <w:rPr>
          <w:i/>
          <w:iCs/>
        </w:rP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[CẦN ĐỐI CHIẾU bản gốc của hai bài],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w:t>
      </w:r>
      <w:r>
        <w:rPr>
          <w:i/>
          <w:iCs/>
        </w:rPr>
        <w:t xml:space="preserve">D</w:t>
      </w:r>
      <w:r>
        <w:rPr>
          <w:vertAlign w:val="subscript"/>
        </w:rPr>
        <w:t xml:space="preserve">i</w:t>
      </w:r>
      <w:r>
        <w:t xml:space="preserve"> × </w:t>
      </w:r>
      <w:r>
        <w:rPr>
          <w:i/>
          <w:iCs/>
        </w:rP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γ</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θ</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β</m:t>
        </m:r>
        <m:r>
          <m:rPr>
            <m:sty m:val="p"/>
          </m:rPr>
          <w:rPr>
            <w:rFonts w:ascii="Cambria Math" w:hAnsi="Cambria Math"/>
          </w:rPr>
          <m:t xml:space="preserve">·</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it</m:t>
            </m:r>
          </m:sub>
        </m:sSub>
        <m:r>
          <m:rPr>
            <m:sty m:val="p"/>
          </m:rPr>
          <w:rPr>
            <w:rFonts w:ascii="Cambria Math" w:hAnsi="Cambria Math"/>
          </w:rPr>
          <m:t xml:space="preserve"> + </m:t>
        </m:r>
        <m:r>
          <w:rPr>
            <w:rFonts w:ascii="Cambria Math" w:hAnsi="Cambria Math"/>
          </w:rPr>
          <m:t xml:space="preserve">λ</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W</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it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của trung tâm i ở kỳ t, chuẩn hóa thành điểm z trong từng kỳ vì điểm GFCI được ước lượng lại mỗi kỳ và số trung tâm thay đổi giữa các kỳ. </w:t>
      </w:r>
      <w:r>
        <w:rPr>
          <w:i/>
          <w:iCs/>
        </w:rPr>
        <w:t xml:space="preserve">SMD</w:t>
      </w:r>
      <w:r>
        <w:rPr>
          <w:vertAlign w:val="subscript"/>
        </w:rPr>
        <w:t xml:space="preserve">it</w:t>
      </w:r>
      <w:r>
        <w:t xml:space="preserve"> là chỉ báo phát triển thị trường cổ phiếu, gộp từ tỷ lệ vòng quay và vốn hóa trên GDP (Čihák và cộng sự, 2012), còn </w:t>
      </w:r>
      <w:r>
        <w:rPr>
          <w:i/>
          <w:iCs/>
        </w:rPr>
        <w:t xml:space="preserve">W</w:t>
      </w:r>
      <w:r>
        <w:rPr>
          <w:vertAlign w:val="subscript"/>
        </w:rPr>
        <w:t xml:space="preserve">it</w:t>
      </w:r>
      <w:r>
        <w:t xml:space="preserve"> gồm thu nhập bình quân đầu người và chỉ số quản trị nhà nước (Kaufmann và cộng sự, 2011); cả hai được đo ở quốc gia chứa trung tâm i, trong năm liền trước kỳ t. </w:t>
      </w:r>
      <w:r>
        <w:rPr>
          <w:i/>
          <w:iCs/>
        </w:rPr>
        <w:t xml:space="preserve">λ</w:t>
      </w:r>
      <w:r>
        <w:t xml:space="preserve"> là véc-tơ hệ số của </w:t>
      </w:r>
      <w:r>
        <w:rPr>
          <w:i/>
          <w:iCs/>
        </w:rPr>
        <w:t xml:space="preserve">W</w:t>
      </w:r>
      <w:r>
        <w:rPr>
          <w:vertAlign w:val="subscript"/>
        </w:rPr>
        <w:t xml:space="preserve">it</w:t>
      </w:r>
      <w:r>
        <w:t xml:space="preserve">; </w:t>
      </w:r>
      <w:r>
        <w:rPr>
          <w:i/>
          <w:iCs/>
        </w:rPr>
        <w:t xml:space="preserve">γ</w:t>
      </w:r>
      <w:r>
        <w:rPr>
          <w:vertAlign w:val="subscript"/>
        </w:rPr>
        <w:t xml:space="preserve">i</w:t>
      </w:r>
      <w:r>
        <w:t xml:space="preserve"> và </w:t>
      </w:r>
      <w:r>
        <w:rPr>
          <w:i/>
          <w:iCs/>
        </w:rPr>
        <w:t xml:space="preserve">θ</w:t>
      </w:r>
      <w:r>
        <w:rPr>
          <w:vertAlign w:val="subscript"/>
        </w:rPr>
        <w:t xml:space="preserve">t</w:t>
      </w:r>
      <w:r>
        <w:t xml:space="preserve"> là hiệu ứng cố định theo trung tâm và theo kỳ. Nếu Cơ sở dữ liệu Phát triển Tài chính Toàn cầu không phủ các năm sau 2021, đề tài dùng số liệu của Liên đoàn các Sở Giao dịch Thế giới, sau khi kiểm tra độ phủ và điều khoản sử dụng.</w:t>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i/>
          <w:iCs/>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i/>
          <w:iCs/>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[CẦN BỔ SUNG số hiệu, ngày của Thông báo và mục tương ứng trong danh mục tài liệu],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[CẦN BỔ SUNG URL].</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w:t>
      </w:r>
      <w:r>
        <w:rPr>
          <w:i/>
          <w:iCs/>
        </w:rPr>
        <w:t xml:space="preserve">The Journal of Finance</w:t>
      </w:r>
      <w:r>
        <w:t xml:space="preserve">, </w:t>
      </w:r>
      <w:r>
        <w:rPr>
          <w:i/>
          <w:iCs/>
        </w:rPr>
        <w:t xml:space="preserve">54</w:t>
      </w:r>
      <w:r>
        <w:t xml:space="preserve">(6), 2045–2073.</w:t>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[CẦN BỔ SUNG số trang]).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