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700"/>
        <w:gridCol w:w="7088"/>
      </w:tblGrid>
      <w:tr>
        <w:trPr>
          <w:cantSplit/>
          <w:tblHeader/>
        </w:trPr>
        <w:tc>
          <w:tcPr>
            <w:tcW w:w="1700" w:type="dxa"/>
          </w:tcPr>
          <w:p>
            <w:pPr>
              <w:pStyle w:val="Compact"/>
              <w:jc w:val="center"/>
            </w:pPr>
            <w:r>
              <w:rPr>
                <w:b/>
              </w:rPr>
              <w:t xml:space="preserve">Chữ viết tắt</w:t>
            </w:r>
          </w:p>
        </w:tc>
        <w:tc>
          <w:tcPr>
            <w:tcW w:w="7088" w:type="dxa"/>
          </w:tcPr>
          <w:p>
            <w:pPr>
              <w:pStyle w:val="Compact"/>
              <w:jc w:val="center"/>
            </w:pPr>
            <w:r>
              <w:rPr>
                <w:b/>
              </w:rPr>
              <w:t xml:space="preserve">Nghĩa đầy đủ</w:t>
            </w:r>
          </w:p>
        </w:tc>
      </w:tr>
      <w:tr>
        <w:trPr>
          <w:cantSplit/>
        </w:trPr>
        <w:tc>
          <w:tcPr>
            <w:tcW w:w="1700" w:type="dxa"/>
          </w:tcPr>
          <w:p>
            <w:pPr>
              <w:pStyle w:val="Compact"/>
            </w:pPr>
            <w:r>
              <w:t xml:space="preserve">ARIMA</w:t>
            </w:r>
          </w:p>
        </w:tc>
        <w:tc>
          <w:tcPr>
            <w:tcW w:w="7088" w:type="dxa"/>
          </w:tcPr>
          <w:p>
            <w:pPr>
              <w:pStyle w:val="Compact"/>
            </w:pPr>
            <w:r>
              <w:t xml:space="preserve">mô hình tự hồi quy tích hợp trung bình trượt (Autoregressive Integrated Moving Average)</w:t>
            </w:r>
          </w:p>
        </w:tc>
      </w:tr>
      <w:tr>
        <w:trPr>
          <w:cantSplit/>
        </w:trPr>
        <w:tc>
          <w:tcPr>
            <w:tcW w:w="1700" w:type="dxa"/>
          </w:tcPr>
          <w:p>
            <w:pPr>
              <w:pStyle w:val="Compact"/>
            </w:pPr>
            <w:r>
              <w:t xml:space="preserve">CS</w:t>
            </w:r>
          </w:p>
        </w:tc>
        <w:tc>
          <w:tcPr>
            <w:tcW w:w="7088" w:type="dxa"/>
          </w:tcPr>
          <w:p>
            <w:pPr>
              <w:pStyle w:val="Compact"/>
            </w:pPr>
            <w:r>
              <w:t xml:space="preserve">rổ cổ phiếu chuyển sàn</w:t>
            </w:r>
          </w:p>
        </w:tc>
      </w:tr>
      <w:tr>
        <w:trPr>
          <w:cantSplit/>
        </w:trPr>
        <w:tc>
          <w:tcPr>
            <w:tcW w:w="1700" w:type="dxa"/>
          </w:tcPr>
          <w:p>
            <w:pPr>
              <w:pStyle w:val="Compact"/>
            </w:pPr>
            <w:r>
              <w:t xml:space="preserve">GDP</w:t>
            </w:r>
          </w:p>
        </w:tc>
        <w:tc>
          <w:tcPr>
            <w:tcW w:w="7088" w:type="dxa"/>
          </w:tcPr>
          <w:p>
            <w:pPr>
              <w:pStyle w:val="Compact"/>
            </w:pPr>
            <w:r>
              <w:t xml:space="preserve">tổng sản phẩm trong nước (Gross Domestic Product)</w:t>
            </w:r>
          </w:p>
        </w:tc>
      </w:tr>
      <w:tr>
        <w:trPr>
          <w:cantSplit/>
        </w:trPr>
        <w:tc>
          <w:tcPr>
            <w:tcW w:w="1700" w:type="dxa"/>
          </w:tcPr>
          <w:p>
            <w:pPr>
              <w:pStyle w:val="Compact"/>
            </w:pPr>
            <w:r>
              <w:t xml:space="preserve">GFCI</w:t>
            </w:r>
          </w:p>
        </w:tc>
        <w:tc>
          <w:tcPr>
            <w:tcW w:w="7088" w:type="dxa"/>
          </w:tcPr>
          <w:p>
            <w:pPr>
              <w:pStyle w:val="Compact"/>
            </w:pPr>
            <w:r>
              <w:t xml:space="preserve">Chỉ số Trung tâm Tài chính Toàn cầu (Global Financial Centres Index)</w:t>
            </w:r>
          </w:p>
        </w:tc>
      </w:tr>
      <w:tr>
        <w:trPr>
          <w:cantSplit/>
        </w:trPr>
        <w:tc>
          <w:tcPr>
            <w:tcW w:w="1700" w:type="dxa"/>
          </w:tcPr>
          <w:p>
            <w:pPr>
              <w:pStyle w:val="Compact"/>
            </w:pPr>
            <w:r>
              <w:t xml:space="preserve">H</w:t>
            </w:r>
          </w:p>
        </w:tc>
        <w:tc>
          <w:tcPr>
            <w:tcW w:w="7088" w:type="dxa"/>
          </w:tcPr>
          <w:p>
            <w:pPr>
              <w:pStyle w:val="Compact"/>
            </w:pPr>
            <w:r>
              <w:t xml:space="preserve">rổ cổ phiếu HOSE được ghép với rổ CS (khác với H</w:t>
            </w:r>
            <w:r>
              <w:rPr>
                <w:vertAlign w:val="subscript"/>
              </w:rPr>
              <w:t xml:space="preserve">1</w:t>
            </w:r>
            <w:r>
              <w:t xml:space="preserve">–H</w:t>
            </w:r>
            <w:r>
              <w:rPr>
                <w:vertAlign w:val="subscript"/>
              </w:rPr>
              <w:t xml:space="preserve">4</w:t>
            </w:r>
            <w:r>
              <w:t xml:space="preserve">, ký hiệu các giả thuyết)</w:t>
            </w:r>
          </w:p>
        </w:tc>
      </w:tr>
      <w:tr>
        <w:trPr>
          <w:cantSplit/>
        </w:trPr>
        <w:tc>
          <w:tcPr>
            <w:tcW w:w="1700" w:type="dxa"/>
          </w:tcPr>
          <w:p>
            <w:pPr>
              <w:pStyle w:val="Compact"/>
            </w:pPr>
            <w:r>
              <w:t xml:space="preserve">HNX</w:t>
            </w:r>
          </w:p>
        </w:tc>
        <w:tc>
          <w:tcPr>
            <w:tcW w:w="7088" w:type="dxa"/>
          </w:tcPr>
          <w:p>
            <w:pPr>
              <w:pStyle w:val="Compact"/>
            </w:pPr>
            <w:r>
              <w:t xml:space="preserve">Sở Giao dịch Chứng khoán Hà Nội</w:t>
            </w:r>
          </w:p>
        </w:tc>
      </w:tr>
      <w:tr>
        <w:trPr>
          <w:cantSplit/>
        </w:trPr>
        <w:tc>
          <w:tcPr>
            <w:tcW w:w="1700" w:type="dxa"/>
          </w:tcPr>
          <w:p>
            <w:pPr>
              <w:pStyle w:val="Compact"/>
            </w:pPr>
            <w:r>
              <w:t xml:space="preserve">HOSE</w:t>
            </w:r>
          </w:p>
        </w:tc>
        <w:tc>
          <w:tcPr>
            <w:tcW w:w="7088" w:type="dxa"/>
          </w:tcPr>
          <w:p>
            <w:pPr>
              <w:pStyle w:val="Compact"/>
            </w:pPr>
            <w:r>
              <w:t xml:space="preserve">Sở Giao dịch Chứng khoán Thành phố Hồ Chí Minh</w:t>
            </w:r>
          </w:p>
        </w:tc>
      </w:tr>
      <w:tr>
        <w:trPr>
          <w:cantSplit/>
        </w:trPr>
        <w:tc>
          <w:tcPr>
            <w:tcW w:w="1700" w:type="dxa"/>
          </w:tcPr>
          <w:p>
            <w:pPr>
              <w:pStyle w:val="Compact"/>
            </w:pPr>
            <w:r>
              <w:t xml:space="preserve">MQI</w:t>
            </w:r>
          </w:p>
        </w:tc>
        <w:tc>
          <w:tcPr>
            <w:tcW w:w="7088" w:type="dxa"/>
          </w:tcPr>
          <w:p>
            <w:pPr>
              <w:pStyle w:val="Compact"/>
            </w:pPr>
            <w:r>
              <w:t xml:space="preserve">Chỉ số chất lượng thị trường vốn (Market Quality Index)</w:t>
            </w:r>
          </w:p>
        </w:tc>
      </w:tr>
      <w:tr>
        <w:trPr>
          <w:cantSplit/>
        </w:trPr>
        <w:tc>
          <w:tcPr>
            <w:tcW w:w="1700" w:type="dxa"/>
          </w:tcPr>
          <w:p>
            <w:pPr>
              <w:pStyle w:val="Compact"/>
            </w:pPr>
            <w:r>
              <w:t xml:space="preserve">OECD</w:t>
            </w:r>
          </w:p>
        </w:tc>
        <w:tc>
          <w:tcPr>
            <w:tcW w:w="7088" w:type="dxa"/>
          </w:tcPr>
          <w:p>
            <w:pPr>
              <w:pStyle w:val="Compact"/>
            </w:pPr>
            <w:r>
              <w:t xml:space="preserve">Tổ chức Hợp tác và Phát triển Kinh tế (Organisation for Economic Co-operation and Development)</w:t>
            </w:r>
          </w:p>
        </w:tc>
      </w:tr>
      <w:tr>
        <w:trPr>
          <w:cantSplit/>
        </w:trPr>
        <w:tc>
          <w:tcPr>
            <w:tcW w:w="1700" w:type="dxa"/>
          </w:tcPr>
          <w:p>
            <w:pPr>
              <w:pStyle w:val="Compact"/>
            </w:pPr>
            <w:r>
              <w:t xml:space="preserve">OSF</w:t>
            </w:r>
          </w:p>
        </w:tc>
        <w:tc>
          <w:tcPr>
            <w:tcW w:w="7088" w:type="dxa"/>
          </w:tcPr>
          <w:p>
            <w:pPr>
              <w:pStyle w:val="Compact"/>
            </w:pPr>
            <w:r>
              <w:t xml:space="preserve">nền tảng khoa học mở (Open Science Framework)</w:t>
            </w:r>
          </w:p>
        </w:tc>
      </w:tr>
      <w:tr>
        <w:trPr>
          <w:cantSplit/>
        </w:trPr>
        <w:tc>
          <w:tcPr>
            <w:tcW w:w="1700" w:type="dxa"/>
          </w:tcPr>
          <w:p>
            <w:pPr>
              <w:pStyle w:val="Compact"/>
            </w:pPr>
            <w:r>
              <w:t xml:space="preserve">SMD</w:t>
            </w:r>
          </w:p>
        </w:tc>
        <w:tc>
          <w:tcPr>
            <w:tcW w:w="7088" w:type="dxa"/>
          </w:tcPr>
          <w:p>
            <w:pPr>
              <w:pStyle w:val="Compact"/>
            </w:pPr>
            <w:r>
              <w:t xml:space="preserve">chỉ báo phát triển thị trường cổ phiếu (Stock Market Development)</w:t>
            </w:r>
          </w:p>
        </w:tc>
      </w:tr>
      <w:tr>
        <w:trPr>
          <w:cantSplit/>
        </w:trPr>
        <w:tc>
          <w:tcPr>
            <w:tcW w:w="1700" w:type="dxa"/>
          </w:tcPr>
          <w:p>
            <w:pPr>
              <w:pStyle w:val="Compact"/>
            </w:pPr>
            <w:r>
              <w:t xml:space="preserve">UPCoM</w:t>
            </w:r>
          </w:p>
        </w:tc>
        <w:tc>
          <w:tcPr>
            <w:tcW w:w="7088" w:type="dxa"/>
          </w:tcPr>
          <w:p>
            <w:pPr>
              <w:pStyle w:val="Compact"/>
            </w:pPr>
            <w:r>
              <w:t xml:space="preserve">thị trường giao dịch cổ phiếu của công ty đại chúng chưa niêm yết</w:t>
            </w:r>
          </w:p>
        </w:tc>
      </w:tr>
      <w:tr>
        <w:trPr>
          <w:cantSplit/>
        </w:trPr>
        <w:tc>
          <w:tcPr>
            <w:tcW w:w="1700" w:type="dxa"/>
          </w:tcPr>
          <w:p>
            <w:pPr>
              <w:pStyle w:val="Compact"/>
            </w:pPr>
            <w:r>
              <w:t xml:space="preserve">VNX</w:t>
            </w:r>
          </w:p>
        </w:tc>
        <w:tc>
          <w:tcPr>
            <w:tcW w:w="70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 Trong các câu hỏi khoa học công nghệ chính của bài toán, câu hỏi thứ nhất hỏi mô hình trung tâm tài chính nào phù hợp với Hà Nội, và câu hỏi thứ ba hỏi những nền tảng công nghệ nào giúp tăng cường minh bạch và hiệu quả của thị trường tài chính. Đề tài không đề xuất mô hình hay nền tảng công nghệ.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HNX sang HOSE.</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đề tài đo khái niệm này bằng điểm GFCI; Naeem (2023) dùng thứ hạng GFCI cho cùng mục đích.</w:t>
      </w:r>
    </w:p>
    <w:p w:rsidR="005D3DB2" w:rsidRDefault="00000000">
      <w:pPr>
        <w:pStyle w:val="BodyText"/>
      </w:pPr>
      <w:r>
        <w:t xml:space="preserve">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có thanh khoản cao nhất trong nhóm này. Khái niệm này khác với khả năng đầu tư theo nghĩa giới hạn sở hữu của nhà đầu tư nước ngoài (Bae và cộng sự, 2004).</w:t>
      </w:r>
    </w:p>
    <w:p w:rsidR="005D3DB2" w:rsidRDefault="00000000">
      <w:pPr>
        <w:pStyle w:val="BodyText"/>
      </w:pPr>
      <w:r>
        <w:t xml:space="preserve">Hợp nhất sàn là việc chuyển toàn bộ cổ phiếu niêm yết từ Sở Giao dịch Chứng khoán Hà Nội (HNX) sang Sở Giao dịch Chứng khoán Thành phố Hồ Chí Minh (HOSE). Thị trường vốn Hà Nội là các thị trường do HNX tiếp tục vận hành sau hợp nhất: trái phiếu và chứng khoán phái sinh, cùng UPCoM trong thời gian UPCoM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sắp xếp lại thị trường được quy định từ Thông tư số 57/2021/TT-BTC, với mốc ban đầu là HNX ngừng nhận hồ sơ niêm yết cổ phiếu mới từ ngày 01/7/2023 và hoàn thành chuyển cổ phiếu niêm yết sang HOSE trong năm 2023; Thông tư số 69/2023/TT-BTC lùi hai mốc này thành ngày 01/7/2025 và hết năm 2025 (Bộ Tài chính, 2023). Thông tư số 139/2025/TT-BTC ngày 30/12/2025 lùi hạn này đến hết ngày 31/12/2026 (Bộ Tài chính, 2025). Theo thông báo của Sở Giao dịch Chứng khoán Việt Nam (VNX) ngày 30/9/2026, toàn bộ cổ phiếu niêm yết tại HNX giao dịch phiên cuối ngày 23/12/2026, tạm ngừng giao dịch hai ngày 24 và 25/12/2026, và giao dịch tại HOSE từ ngày 28/12/2026 (Sở Giao dịch Chứng khoán Việt Nam, 2026).</w:t>
      </w:r>
    </w:p>
    <w:p w:rsidR="005D3DB2" w:rsidRDefault="00000000">
      <w:pPr>
        <w:pStyle w:val="BodyText"/>
      </w:pPr>
      <w:r>
        <w:t xml:space="preserve">Văn bản hợp nhất cũng quy định HNX hoàn thành việc chuyển cổ phiếu của tổ chức đăng ký giao dịch trên thị trường giao dịch cổ phiếu của công ty đại chúng chưa niêm yết (UPCoM) sang HOSE chậm nhất đến hết ngày 31/12/2026 (Bộ Tài chính, 2023); mốc này do Thông tư số 69/2023/TT-BTC đặt, thay cho khung từ ngày 01/01/2025 đến hết ngày 30/6/2025 của Thông tư số 57/2021/TT-BTC, và Thông tư số 139/2025/TT-BTC không sửa mốc này. Thông báo của VNX chỉ áp dụng cho cổ phiếu niêm yết và nêu rõ trong hai ngày tạm ngừng, giao dịch tại các thị trường khác do HNX tổ chức vẫn thực hiện theo quy định hiện hành; lịch chuyển cổ phiếu UPCoM chưa được công bố tại thời điểm viết đề cương [CẦN XÁC MINH kế hoạch chuyển cổ phiếu đăng ký giao dịch theo khoản 4 Điều 4 Thông tư số 57/2021/TT-BTC]. Sau hợp nhất, HNX giữ vai trò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w:t>
      </w:r>
    </w:p>
    <w:p w:rsidR="005D3DB2" w:rsidRDefault="00000000">
      <w:pPr>
        <w:pStyle w:val="BodyText"/>
      </w:pPr>
      <w:r>
        <w:t xml:space="preserve">Cặp Hà Nội và Thành phố Hồ Chí Minh có thể so sánh với cặp Bắc Kinh và Thượng Hải. Bắc Kinh là một trung tâm tài chính lớn dù không có sở giao dịch chứng khoán tầm quốc gia trong phần lớn quá trình phát triển (Naeem, 2023). Trường hợp này cho thấy một thành phố có thể giữ vai trò trung tâm tài chính mà không cần sàn cổ phiếu, và đặt ra cho Hà Nội câu hỏi nên chuyên môn hóa vào những thị trường nào (Yao, 2012) sau đợt hợp nhất.</w:t>
      </w:r>
    </w:p>
    <w:p>
      <w:pPr>
        <w:pStyle w:val="BodyText"/>
      </w:pPr>
      <w:r>
        <w:t xml:space="preserve">Bằng chứng quốc tế cho thấy sàn giao dịch ảnh hưởng tới chất lượng giao dịch của cùng một cổ phiếu. Amihud và cộng sự (1997) nghiên cứu việc Sở Giao dịch Chứng khoán Tel Aviv chuyển dần cổ phiếu từ một phiên khớp lệnh định kỳ mỗi ngày sang cơ chế có thêm các phiên giao dịch liên tục. Trong giai đoạn từ năm ngày trước công bố đến 30 ngày sau khi cổ phiếu giao dịch theo cơ chế mới, lợi suất bất thường tích lũy điều chỉnh theo thị trường đạt khoảng 5,5%, và mức tăng thanh khoản đi cùng mức tăng giá.</w:t>
      </w:r>
    </w:p>
    <w:p>
      <w:pPr>
        <w:pStyle w:val="BodyText"/>
      </w:pPr>
      <w:r>
        <w:t xml:space="preserve">Nielsson (2009) thấy việc hình thành Euronext làm thanh khoản tăng ở doanh nghiệp lớn và doanh nghiệp có doanh thu nước ngoài, nhưng không tăng ở doanh nghiệp nhỏ. Ngược lại, Hisada (2018) nghiên cứu việc hợp nhất Sở Giao dịch Chứng khoán Tokyo và Sở Giao dịch Chứng khoán Osaka, trong đó thị trường cổ phiếu của hai sở hợp nhất ngày 16/7/2013. Trên mẫu các cổ phiếu niêm yết tại Tokyo không niêm yết kép tại Osaka, thanh khoản tăng trong ngắn hạn nhờ hiệu ứng cộng hưởng và tâm lý nhà đầu tư, rồi giảm sau một năm; hiệu ứng tâm lý mạnh hơn ở cổ phiếu nhỏ.</w:t>
      </w:r>
    </w:p>
    <w:p>
      <w:pPr>
        <w:pStyle w:val="BodyText"/>
      </w:pPr>
      <w:r>
        <w:t xml:space="preserve">Đợt hợp nhất ở Việt Nam đổi sàn của toàn bộ cổ phiếu niêm yết tại HNX, gồm 299 mã tính đến phiên 30/9/2026 (Tuổi Trẻ Online, 2026), trong cùng một ngày. Sự kiện này cho phép so sánh cùng các cổ phiếu trước và sau khi đổi sàn với một nhóm đối chứng. Đối với nhà đầu tư, tác động của sàn thể hiện qua khả năng đầu tư; đề tài đo khả năng đầu tư trên bảy mô hình phân bổ vì không mô hình nào vượt trội một cách nhất quán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 xml:space="preserve">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rPr>
          <w:b/>
          <w:bCs/>
        </w:rPr>
        <w:t xml:space="preserve"/>
      </w:r>
      <w:r>
        <w:t xml:space="preserve">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kể cả mức thay đổi của tác động theo mức chịu cú sốc biên độ, bước giá và chỉ số, và khác biệt giữa doanh nghiệp có trụ sở tại Hà Nội với doanh nghiệp ở nơi khác. Mục tiêu (iv) là tổng hợp các kết quả thành định hướng chuyên môn hóa và hạ tầng dữ liệu cho thị trường vốn Hà Nội; mục tiêu này là tổng hợp định tính, không kiểm định giả thuyết.</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rPr>
          <w:b/>
          <w:bCs/>
        </w:rPr>
        <w:t xml:space="preserve"/>
      </w:r>
      <w:r>
        <w:t xml:space="preserve">Trong bốn giả thuyết, H</w:t>
      </w:r>
      <w:r>
        <w:rPr>
          <w:vertAlign w:val="subscript"/>
        </w:rPr>
        <w:t xml:space="preserve">3</w:t>
      </w:r>
      <w:r>
        <w:t xml:space="preserve"> là kiểm định trọng tâm của luận án;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dùng phương pháp suy luận phù hợp với một sự kiện duy nhất, đo trực tiếp các cổ phiếu được chuyển sàn so với nhóm đối chứng, và ước lượng thêm tác động lên khả năng đầu tư. So với các công trình về Việt Nam (Vo &amp; Phan, 2017; Goutte và cộng sự, 2025; Nguyễn &amp; Nguyễn,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hai kết quả gắn với các sản phẩm mà bài toán số 19 nêu và một thước đo dùng chung. Thứ nhất là Chỉ số chất lượng thị trường vốn, mã nguồn mở, cập nhật theo tháng, có thể là một cấu phần của sản phẩm “Hệ thống dữ liệu tài chính đô thị”. Thứ hai là báo cáo định hướng chuyên môn hóa cho thị trường vốn Hà Nội sau hợp nhất, là một đầu vào phân tích cho sản phẩm “Trung tâm tài chính quốc tế tại Hà Nội”; đề tài không thiết kế sản phẩm này, và Nghị quyết số 222/2025/QH15 hiện chỉ đặt trung tâm tài chính quốc tế tại Thành phố Hồ Chí Minh và Đà Nẵng. Thứ ba, Chỉ số khả năng đầu tư là một thước đo mà các dịch vụ đầu tư mới có thể dùng để so sánh, không phải một sản phẩm của bài toán. Hai chỉ số và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sàn niêm yết HNX, UPCoM và HOSE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báo cáo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trên bảy mô hình phân bổ,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do thí sinh là tác giả chính, thuộc cơ sở dữ liệu Web of Science hạng Q1 hoặc Q2, và một đến hai báo cáo hội thảo.</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 kèm văn bản xác nhận nhu cầu sử dụng kết quả của ít nhất một đơn vị, ưu tiên HNX, đơn vị tiếp tục vận hành thị trường trái phiếu và chứng khoán phái sinh tại Hà Nội.</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w:t>
      </w:r>
    </w:p>
    <w:p>
      <w:pPr>
        <w:pStyle w:val="FirstParagraph"/>
      </w:pPr>
      <w:r>
        <w:rPr>
          <w:i/>
          <w:iCs/>
        </w:rPr>
        <w:t xml:space="preserve"/>
      </w:r>
      <w:r>
        <w:rPr/>
        <w:t xml:space="preserve">Naeem (2023) dùng dữ liệu 196 trung tâm tài chính, tính theo khu vực tài phán, giai đoạn 2007–2020, chọn 17 yếu tố bằng phương pháp cây quyết định và ước lượng hồi quy dữ liệu bảng với biến phụ thuộc là thứ hạng GFCI;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w:t>
      </w:r>
    </w:p>
    <w:p>
      <w:pPr>
        <w:pStyle w:val="FirstParagraph"/>
      </w:pPr>
      <w:r>
        <w:rPr>
          <w:i/>
          <w:iCs/>
        </w:rPr>
        <w:t xml:space="preserve"/>
      </w:r>
      <w:r>
        <w:rPr/>
        <w:t xml:space="preserve">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này đã được dùng phổ biến,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w:t>
      </w:r>
    </w:p>
    <w:p w:rsidR="005D3DB2" w:rsidRDefault="00000000">
      <w:pPr>
        <w:pStyle w:val="FirstParagraph"/>
      </w:pPr>
      <w:r>
        <w:rPr>
          <w:i/>
          <w:iCs/>
        </w:rPr>
        <w:t xml:space="preserve"/>
      </w:r>
      <w:r>
        <w:rPr/>
        <w:t xml:space="preserve">Nielsson (2009) thấy lợi ích thanh khoản của việc hình thành Euronext dồn vào doanh nghiệp lớn, còn Hisada (2018) thấy thanh khoản của các cổ phiếu sẵn có trên Sở Giao dịch Chứng khoán Tokyo tăng trong ngắn hạn sau khi thị trường cổ phiếu của Osaka được hợp nhất vào Tokyo năm 2013, đo bằng vòng quay và độ phi thanh khoản Amihud; hiệu ứng tâm lý mạnh hơn ở cổ phiếu nhỏ. Wójcik (2007) phân tích quan hệ hai chiều giữa sàn chứng khoán và trung tâm tài chính. Bằng chứng về hợp nhất sàn chủ yếu đến từ thị trường phát triển; chẳng hạn, Arnold và cộng sự (1999, dẫn theo Hisada, 2018) thấy hợp nhất sàn làm thanh khoản tăng.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(Nguyễn &amp; Nguyễn,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(Yao, 2012; Naeem, 2023; Lai,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Lesmond, 2005; Fong và cộng sự, 2017)</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(Huang &amp; Stoll, 1996; Nielsson, 2009; Hisada, 2018)</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(Vo &amp; Phan, 2017; Goutte và cộng sự, 2025; Nguyễn &amp; Nguyễn, 2026a)</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các truy vấn trên SSRN, RePEc/IDEAS, ScienceDirect, Oxford Academic, Wiley, Springer, Taylor &amp; Francis, MDPI và arXiv, thực hiện đến ngày 30/9/2026.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 này.</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so sánh cùng các cổ phiếu trước và sau ngày 28/12/2026 với nhóm đối chứng, đối với thanh khoản (H</w:t>
      </w:r>
      <w:r>
        <w:rPr>
          <w:vertAlign w:val="subscript"/>
        </w:rPr>
        <w:t xml:space="preserve">3</w:t>
      </w:r>
      <w:r>
        <w:t xml:space="preserve">) và khả năng đầu tư (H</w:t>
      </w:r>
      <w:r>
        <w:rPr>
          <w:vertAlign w:val="subscript"/>
        </w:rPr>
        <w:t xml:space="preserve">4</w:t>
      </w:r>
      <w:r>
        <w:t xml:space="preserve">). Bằng chứng quốc tế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có lợi suất tuyệt đối từ ngưỡng chung trở lên,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có lợi suất tuyệt đối từ ngưỡng chung trở lên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là phân tích mô tả; tương tác của tác động H</w:t>
      </w:r>
      <w:r>
        <w:rPr>
          <w:vertAlign w:val="subscript"/>
        </w:rPr>
        <w:t xml:space="preserve">3</w:t>
      </w:r>
      <w:r>
        <w:t xml:space="preserve"> với mức chịu cú sốc, quy mô và trụ sở doanh nghiệp là phân tích phụ đăng ký trước, không đưa vào thủ tục Holm.</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giữa các sàn, hiện là ±7% ở HOSE, ±10% ở HNX và ±15% ở UPCoM. Theo Điều 4 Thông tư số 120/2020/TT-BTC, biên độ do Sở Giao dịch Chứng khoán Việt Nam quyết định sau khi Ủy ban Chứng khoán Nhà nước chấp thuận, và Ủy ban Chứng khoán Nhà nước có thể điều chỉnh biên độ khi cần ổn định thị trường (Bộ Tài chính, 2020) [CẦN XÁC MINH các lần thay đổi biên độ trong giai đoạn 2009–2025]. Vì vậy, chỉ số được so sánh trên mẫu đối sánh theo quy mô và ngành, và được tính lại sau khi bỏ hai chỉ báo nhạy với biên độ [CẦN NÊU TÊN hai chỉ báo].</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Bước giá cũng khác nhau giữa các sàn [CẦN XÁC MINH quy định bước giá theo từng thời kỳ], nên tỷ lệ ngày lợi suất bằng 0 và chênh lệch Corwin–Schultz phản ánh một phần bước giá thay vì chi phí giao dịch, nhất là ở cổ phiếu giá thấp; đề tài báo cáo hai chỉ báo này theo nhóm mức giá và đọc thay đổi của tỷ lệ ngày lợi suất bằng 0 trong H</w:t>
      </w:r>
      <w:r>
        <w:rPr>
          <w:vertAlign w:val="subscript"/>
        </w:rPr>
        <w:t xml:space="preserve">3</w:t>
      </w:r>
      <w:r>
        <w:t xml:space="preserve"> cùng với thay đổi bước giá khi chuyển sàn.</w:t>
      </w:r>
      <w:r>
        <w:rPr>
          <w:vertAlign w:val="subscript"/>
        </w:rPr>
        <w:t xml:space="preserve"/>
      </w:r>
      <w:r>
        <w:t xml:space="preserve"/>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Với H</w:t>
      </w:r>
      <w:r>
        <w:rPr>
          <w:vertAlign w:val="subscript"/>
        </w:rPr>
        <w:t xml:space="preserve">3</w:t>
      </w:r>
      <w:r>
        <w:t xml:space="preserve">, biên độ giảm từ ±10% xuống ±7% khi chuyển sàn làm lợi suất tuyệt đối bị cắt ở những ngày chạm biên độ, nên độ phi thanh khoản Amihud có thể giảm một cách cơ học; việc chỉ loại các ngày chạm biên độ chưa đủ, vì sau khi chuyển sàn mọi ngày có lợi suất tuyệt đối từ khoảng 7% đến 10% trở thành ngày chạm biên độ và bị loại, nên các ngày còn lại có lợi suất tuyệt đối nhỏ hơn một cách cơ học.</w:t>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Đề tài vì vậy tính Amihud, ở cả hai nhóm và cả hai giai đoạn, chỉ trên các ngày có lợi suất tuyệt đối dưới một ngưỡng chung thấp hơn mức lợi suất tuyệt đối lớn nhất có thể đạt được ở biên độ ±7% sau khi làm tròn giá trần và giá sàn theo bước giá (giá trị cụ thể ghi trong tệp đăng ký) và không liền sau một ngày có lợi suất tuyệt đối từ chính ngưỡng chung đó trở lên; quy tắc loại ngày liền sau dùng cùng ngưỡng cho mọi cổ phiếu và mọi giai đoạn, vì một biến động vượt ngưỡng chung vẫn được ghi nhận là vượt ngưỡng dù cổ phiếu giao dịch với biên độ ±10% hay ±7%, nên tập ngày bị loại không thay đổi theo sàn [CẦN XÁC MINH quy tắc làm tròn giá trần và giá sàn theo bước giá của HOSE và HNX]; giá trị giao dịch chỉ gồm giao dịch khớp lệnh; tháng có ít hơn số ngày hợp lệ tối thiểu ghi trong tệp đăng ký được coi là thiếu; tỷ lệ ngày bị loại và tỷ lệ tháng thiếu được báo cáo theo nhóm và giai đoạn. Vòng quay là thước đo đối chiếu, vì vòng quay không dùng lợi suất nên không bị cắt theo biên độ như Amihud.</w:t>
      </w:r>
      <w:r>
        <w:rPr>
          <w:vertAlign w:val="subscript"/>
        </w:rPr>
        <w:t xml:space="preserve"/>
      </w:r>
      <w:r>
        <w:t xml:space="preserve"/>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công bố công khai từ năm 2007 (hợp tác với China Development Institute từ năm 2016) và được thí sinh số hóa từ báo cáo từng kỳ. Trước khi phân tích, thí sinh sẽ xin phép Long Finance dùng bộ dữ liệu lịch sử; nếu không được phép, đề tài áp dụng phương án dự phòng thứ nhất ở mục 4.3.10. Bộ này được ghép với các chỉ báo thị trường cổ phiếu cấp quốc gia trong Cơ sở dữ liệu Phát triển Tài chính Toàn cầu (Čihák và cộng sự, 2012) và các chỉ số quản trị nhà nước toàn cầu (Kaufmann và cộng sự, 2011).</w:t>
      </w:r>
    </w:p>
    <w:p w:rsidR="005D3DB2" w:rsidRDefault="00000000">
      <w:pPr>
        <w:pStyle w:val="FirstParagraph"/>
      </w:pPr>
      <w:r>
        <w:t xml:space="preserve">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theo quý, lấy từ trang công bố thông tin của HNX và HOSE hoặc từ nhà cung cấp dữ liệu thương mại; nguồn, điều khoản sử dụng và hạn công bố theo quy định được xác nhận trong quý 1 năm thứ nhất (Bảng 5).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bắt đầu có giao dịch. Vì lộ trình hợp nhất đã được quy định từ năm 2021 nhưng mốc thực hiện bị lùi hai lần, và HNX ngừng nhận niêm yết mới từ ngày 01/7/2025, giai đoạn tham chiếu kết thúc ngày 30/6/2025; giai đoạn từ tháng 7/2025 đến tháng 12/2026 là giai đoạn chuyển tiếp, được báo cáo riêng trong phiên bản nghiên cứu sự kiện; giai đoạn sau sự kiện kéo dài 24 tháng từ tháng 1/2027.</w:t>
      </w:r>
    </w:p>
    <w:p w:rsidR="005D3DB2" w:rsidRDefault="00000000">
      <w:pPr>
        <w:pStyle w:val="BodyText"/>
      </w:pPr>
      <w:r>
        <w:t xml:space="preserve">Ngày cổ phiếu bị đình chỉ giao dịch bị loại khỏi mẫu số của tỷ lệ ngày lợi suất bằng 0; lợi suất kỳ hủy niêm yết lấy theo giá giao dịch cuối cùng; độ phi thanh khoản Amihud được giới hạn tại phân vị 1% và 99% (winsorize), với phân vị tính trên mẫu gộp các sàn trong từng tháng để ngưỡng không thay đổi khi cổ phiếu đổi sàn; tháng không có giao dịch được ghi là thiếu và tỷ lệ tháng thiếu được báo cáo.</w:t>
      </w:r>
    </w:p>
    <w:p w:rsidR="005D3DB2" w:rsidRDefault="00000000">
      <w:pPr>
        <w:pStyle w:val="BodyText"/>
      </w:pPr>
      <w:r>
        <w:t xml:space="preserve">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đã được dùng rộng rãi ở thị trường mới nổi (Lesmond, 2005; Bekaert và cộng sự, 2007) và đã được so sánh với chuẩn tính từ dữ liệu trong ngày trên mẫu toàn cầu (Fong và cộng sự, 2017); nếu có giá chào mua và chào bán đóng cửa cho một phần mẫu, đề tài báo cáo tương quan giữa các chỉ báo ngày và chênh lệch yết giá đóng cửa trên phần mẫu đó.</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vững bắt buộc. Chiều minh bạch là số ngày trễ hạn công bố báo cáo tài chính theo quý, giữ nguyên giá trị cho các tháng đến kỳ công bố tiếp theo.</w:t>
      </w:r>
    </w:p>
    <w:p w:rsidR="005D3DB2" w:rsidRDefault="00000000">
      <w:pPr>
        <w:pStyle w:val="FirstParagraph"/>
      </w:pPr>
      <w:r>
        <w:t xml:space="preserve">Các chỉ báo cổ phiếu được gộp lên cấp sàn bằng trung vị có trọng số theo vốn hóa. Trước khi chuẩn hóa, độ phi thanh khoản Amihud được nhân với tỷ số giữa tổng vốn hóa của ba sàn trong tháng t và tổng vốn hóa tại tháng 6/2025, để chỉ số không thay đổi chỉ vì quy mô danh nghĩa của thị trường thay đổi.</w:t>
      </w:r>
    </w:p>
    <w:p>
      <w:pPr>
        <w:pStyle w:val="FirstParagraph"/>
      </w:pPr>
      <w:r>
        <w:t xml:space="preserve">Đề tài gộp các chỉ báo thành Chỉ số chất lượng thị trường vốn theo hướng dẫn xây dựng chỉ số tổng hợp của OECD (2008). Mỗi chỉ báo được chuẩn hóa thành điểm z theo trung bình và độ lệch chuẩn của mẫu gộp các sàn trong giai đoạn tham chiếu (đến tháng 6/2025), để giá trị đã công bố không phải tính lại khi có dữ liệu mới,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vững (OECD, 2008).</w:t>
      </w:r>
      <w:r>
        <w:rPr>
          <w:vertAlign w:val="subscript"/>
        </w:rPr>
        <w:t xml:space="preserve"/>
      </w:r>
      <w:r>
        <w:t xml:space="preserve"/>
      </w:r>
      <w:r>
        <w:rPr>
          <w:vertAlign w:val="subscript"/>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Đề tài kiểm định H</w:t>
      </w:r>
      <w:r>
        <w:rPr>
          <w:vertAlign w:val="subscript"/>
        </w:rPr>
        <w:t xml:space="preserve">2</w:t>
      </w:r>
      <w:r>
        <w:t xml:space="preserve"> bằng chuỗi chênh lệch chỉ số theo tháng giữa HOSE và sàn niêm yết HNX: H</w:t>
      </w:r>
      <w:r>
        <w:rPr>
          <w:vertAlign w:val="subscript"/>
        </w:rPr>
        <w:t xml:space="preserve">2</w:t>
      </w:r>
      <w:r>
        <w:t xml:space="preserve"> được ủng hộ khi chênh lệch bình quân trong giai đoạn tham chiếu dương và giá trị p bootstrap khối dừng trên chuỗi tháng (Politis &amp; Romano, 1994) nhỏ hơn ngưỡng Holm tương ứng; khoảng tin cậy được báo cáo kèm theo. Chênh lệch trong giai đoạn chuyển tiếp từ tháng 7/2025 đến tháng 12/2026 được báo cáo riêng ở dạng mô tả, vì HNX không nhận niêm yết mới trong giai đoạn này nên thành phần sàn thay đổi có hệ thống.</w:t>
      </w:r>
      <w:r>
        <w:rPr>
          <w:vertAlign w:val="subscript"/>
        </w:rPr>
        <w:t xml:space="preserve"/>
      </w:r>
      <w:r>
        <w:t xml:space="preserve">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làm kết luận ít phụ thuộc vào một mô hình, còn độ phân tán giữa các mô hình cho biết mức phụ thuộc đó.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Moore-Penrose và kết quả ghi rõ điều này.</w:t>
      </w:r>
    </w:p>
    <w:p w14:paraId="0EEA8DBF" w14:textId="77777777" w:rsidR="005D3DB2" w:rsidRDefault="00000000">
      <w:pPr>
        <w:pStyle w:val="BodyText"/>
      </w:pPr>
      <w:r>
        <w:t xml:space="preserve">Thí sinh đã dùng dữ liệu Việt Nam trong bài báo Nguyễn và Nguyễn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sau khi xin góp ý của người hướng dẫn dự kiến, ở dạng khóa có dấu thời gian, và khai rõ phạm vi sàn, giai đoạn và chỉ báo đã tính trong các bài trước.</w:t>
      </w:r>
    </w:p>
    <w:p w:rsidR="005D3DB2" w:rsidRDefault="00000000">
      <w:pPr>
        <w:pStyle w:val="BodyText"/>
      </w:pPr>
      <w:r>
        <w:t xml:space="preserve">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bậc trễ, cách hiệu chỉnh độ chệch và số lần lặp của bootstrap tự hồi quy cho H</w:t>
      </w:r>
      <w:r>
        <w:rPr>
          <w:vertAlign w:val="subscript"/>
        </w:rPr>
        <w:t xml:space="preserve">3</w:t>
      </w:r>
      <w:r>
        <w:t xml:space="preserve"> cùng kết quả mô phỏng kích thước của kiểm định; tập ngày giả định cho suy luận hoán vị; ngưỡng lợi suất tuyệt đối và số ngày hợp lệ tối thiểu khi tính Amihud; quy tắc chọn cửa sổ trước theo điểm gãy; định nghĩa ba mức chịu cú sốc và biến trụ sở tại Hà Nội, đặc tả và thủ tục suy luận cho các hệ số tương tác;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w:t>
      </w:r>
    </w:p>
    <w:p>
      <w:pPr>
        <w:pStyle w:val="FirstParagraph"/>
      </w:pPr>
      <w:r>
        <w:t xml:space="preserve"/>
      </w:r>
      <w:r>
        <w:rPr>
          <w:vertAlign w:val="subscript"/>
        </w:rPr>
        <w:t xml:space="preserve"/>
      </w:r>
      <w: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t xml:space="preserve"/>
      </w:r>
      <w:r>
        <w:rPr>
          <w:vertAlign w:val="subscript"/>
        </w:rPr>
        <w:t xml:space="preserve"/>
      </w:r>
      <w:r>
        <w:t xml:space="preserve"/>
      </w:r>
      <w:r>
        <w:rPr>
          <w:i/>
          <w:iCs/>
        </w:rPr>
        <w:t xml:space="preserve"/>
      </w:r>
      <w:r>
        <w:t xml:space="preserve">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mua-bán. Chênh lệch này lấy từ giá chào mua và chào bán đóng cửa nếu nhà cung cấp dữ liệu có; nếu không, đề tài dùng chênh lệch ước lượng từ giá cao nhất và thấp nhất theo tháng (Corwin &amp; Schultz, 2012). Nhờ vậy, cấu hình B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tính bằng điểm phần trăm mỗi năm; giá trị dương nghĩa là nhà đầu tư đa dạng hóa đạt lợi suất tương đương chắc chắn thấp hơn với rổ CS so với rổ H. Đề tài báo cáo kèm độ phân tán của </w:t>
      </w:r>
      <w:r>
        <w:rPr>
          <w:i/>
          <w:iCs/>
        </w:rPr>
        <w:t xml:space="preserve">G</w:t>
      </w:r>
      <w:r>
        <w:rPr>
          <w:vertAlign w:val="subscript"/>
        </w:rPr>
        <w:t xml:space="preserve">m,t</w:t>
      </w:r>
      <w:r>
        <w:t xml:space="preserve"> theo m.</w:t>
      </w:r>
    </w:p>
    <w:p>
      <w:pPr>
        <w:pStyle w:val="FirstParagraph"/>
      </w:pPr>
      <w:r>
        <w:t xml:space="preserve"/>
      </w:r>
      <w:r>
        <w:rPr>
          <w:i/>
          <w:iCs/>
        </w:rPr>
        <w:t xml:space="preserve"/>
      </w:r>
      <w:r>
        <w:rPr>
          <w:vertAlign w:val="subscript"/>
        </w:rPr>
        <w:t xml:space="preserve"/>
      </w:r>
      <w:r>
        <w:t xml:space="preserve">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mã HOSE được ghép nhiều lần nhận trọng số theo số lần ghép, và số mã khác nhau của rổ H được báo cáo.</w:t>
      </w:r>
    </w:p>
    <w:p>
      <w:pPr>
        <w:pStyle w:val="FirstParagraph"/>
      </w:pPr>
      <w:r>
        <w:t xml:space="preserve"/>
      </w:r>
      <w:r>
        <w:rPr>
          <w:i/>
          <w:iCs/>
        </w:rPr>
        <w:t xml:space="preserve"/>
      </w:r>
      <w:r>
        <w:rPr>
          <w:vertAlign w:val="subscript"/>
        </w:rPr>
        <w:t xml:space="preserve"/>
      </w:r>
      <w:r>
        <w:t xml:space="preserve">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Cửa sổ ước lượng của mọi cửa sổ đánh giá sau sự kiện đều chứa một phần dữ liệu trước ngày chuyển sàn, nên khoảng cách của các mô hình cần ước lượng gộp cả chất lượng thị trường mới lẫn tham số ước lượng trên dữ liệu cũ; vì M1 không cần ước lượng tham số, khoảng cách của M1 được báo cáo riêng như phép so sánh sạch nhất.</w:t>
      </w:r>
      <w:r>
        <w:rPr>
          <w:vertAlign w:val="subscript"/>
        </w:rPr>
        <w:t xml:space="preserve"/>
      </w:r>
      <w:r>
        <w:t xml:space="preserve"/>
      </w:r>
      <w:r>
        <w:rPr>
          <w:vertAlign w:val="subscript"/>
        </w:rPr>
        <w:t xml:space="preserve"/>
      </w:r>
      <w:r>
        <w:t xml:space="preserve"/>
      </w:r>
    </w:p>
    <w:p w:rsidR="005D3DB2" w:rsidRDefault="00000000">
      <w:pPr>
        <w:pStyle w:val="BodyText"/>
      </w:pPr>
      <w:r>
        <w:t xml:space="preserve">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mức tác động có thể xảy ra trên thực tế;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tính trên các ngày có lợi suất tuyệt đối dưới ngưỡng chung (thấp hơn mức lợi suất lớn nhất đạt được ở biên độ ±7%) và không liền sau một ngày có lợi suất tuyệt đối từ ngưỡng chung trở lên;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w:t>
      </w:r>
      <w:r>
        <w:rPr>
          <w:i/>
          <w:iCs/>
        </w:rPr>
        <w:t xml:space="preserve">Postt bằng 1 từ tháng 1/2027; αi và τt là hiệu ứng cố định theo cổ phiếu và theo tháng. Phương trình (5) được ước lượng trên giai đoạn tham chiếu</w:t>
      </w:r>
      <w:r>
        <w:rPr>
          <w:vertAlign w:val="subscript"/>
        </w:rPr>
        <w:t xml:space="preserve"/>
      </w:r>
      <w:r>
        <w:t xml:space="preserve"> (đến tháng 6/2025) và giai đoạn sau sự kiện (từ tháng 1/2027), còn các tháng từ 7/2025 đến 12/2026, gồm tháng chuyển sàn, chỉ được đưa vào phương trình (6). Vì giai đoạn tham chiếu dài 16 năm, đề tài kiểm định điểm gãy cấu trúc của chuỗi chênh lệch theo tháng trong giai đoạn này (Bai &amp; Perron, 1998), cho cửa sổ trước của ước lượng chính bắt đầu sau điểm gãy cuối cùng được phát hiện theo quy tắc ghi trong tệp đăng ký, và báo cáo kèm ước lượng với cửa sổ trước 24 tháng (7/2023–6/2025).</w:t>
      </w:r>
      <w:r>
        <w:rPr>
          <w:i/>
          <w:iCs/>
        </w:rPr>
        <w:t xml:space="preserve"/>
      </w:r>
      <w:r>
        <w:rPr>
          <w:vertAlign w:val="subscript"/>
        </w:rPr>
        <w:t xml:space="preserve"/>
      </w:r>
      <w:r>
        <w:t xml:space="preserve"/>
      </w:r>
      <w:r>
        <w:rPr>
          <w:i/>
          <w:iCs/>
        </w:rPr>
        <w:t xml:space="preserve"/>
      </w:r>
      <w:r>
        <w:rPr>
          <w:vertAlign w:val="subscript"/>
        </w:rPr>
        <w:t xml:space="preserve"/>
      </w:r>
      <w:r>
        <w:t xml:space="preserve"/>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Nhóm đối chứng chính gồm cổ phiếu HOSE ghép láng giềng gần nhất theo vốn hóa, ngành và độ phi thanh khoản tại ngày 30/6/2025, có hoàn lại, trong vùng hỗ trợ chung; vì ghép theo mức độ phi thanh khoản có thể tạo hồi quy về trung bình, đề tài báo cáo thêm kết quả khi chỉ ghép theo vốn hóa và ngành (Daw &amp; Hatfield, 2018); nhóm đối chứng phụ gồm cổ phiếu UPCoM trong thời gian còn do HNX vận hành.</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Vì mọi cổ phiếu chuyển sàn cùng một ngày, suy luận chính dựa trên chuỗi chênh lệch theo tháng giữa nhóm cổ phiếu chuyển sàn và nhóm đối chứng: gọi d</w:t>
      </w:r>
      <w:r>
        <w:rPr>
          <w:vertAlign w:val="subscript"/>
        </w:rPr>
        <w:t xml:space="preserve">t</w:t>
      </w:r>
      <w:r>
        <w:t xml:space="preserve"> là chênh lệch trung bình logarit Amihud giữa các cổ phiếu chuyển sàn và các cổ phiếu đối chứng ghép cặp trong tháng t, mỗi cặp có dữ liệu trong tháng có trọng số bằng nhau; thống kê kiểm định là trung bình của d</w:t>
      </w:r>
      <w:r>
        <w:rPr>
          <w:vertAlign w:val="subscript"/>
        </w:rPr>
        <w:t xml:space="preserve">t</w:t>
      </w:r>
      <w:r>
        <w:t xml:space="preserve"> trong giai đoạn sau sự kiện trừ trung bình của d</w:t>
      </w:r>
      <w:r>
        <w:rPr>
          <w:vertAlign w:val="subscript"/>
        </w:rPr>
        <w:t xml:space="preserve">t</w:t>
      </w:r>
      <w:r>
        <w:t xml:space="preserve"> trong cửa sổ trước. Giá trị p chính được tính bằng bootstrap tự hồi quy trên chuỗi d</w:t>
      </w:r>
      <w:r>
        <w:rPr>
          <w:vertAlign w:val="subscript"/>
        </w:rPr>
        <w:t xml:space="preserve">t</w:t>
      </w:r>
      <w:r>
        <w:t xml:space="preserve">: mô hình tự hồi quy được ước lượng trên giai đoạn tham chiếu, bậc trễ chọn theo tiêu chí thông tin, hệ số được hiệu chỉnh độ chệch, và kích thước của kiểm định được kiểm tra bằng mô phỏng trước ngày đăng ký.</w:t>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Suy luận trên các ngày giả định trong giai đoạn tham chiếu, với cùng cấu trúc cửa sổ trước, 18 tháng loại trừ và 24 tháng sau, theo tinh thần của Conley và Taber (2011), chỉ được báo cáo như kiểm tra bổ sung: các cửa sổ giả chồng lấn nhau và chỉ tạo ra khoảng sáu cửa sổ độc lập, và mô phỏng sơ bộ của thí sinh với chuỗi tự hồi quy bậc một cho thấy kiểm định này bác bỏ giả thuyết gốc với tần suất cao hơn đáng kể so với mức danh nghĩa. Sai số chuẩn phân cụm theo cổ phiếu và theo tháng chỉ được báo cáo để so sánh. H</w:t>
      </w:r>
      <w:r>
        <w:rPr>
          <w:vertAlign w:val="subscript"/>
        </w:rPr>
        <w:t xml:space="preserve">3</w:t>
      </w:r>
      <w:r>
        <w:t xml:space="preserve"> được ủng hộ khi δ âm và giá trị p bootstrap tự hồi quy nhỏ hơn ngưỡng Holm tương ứng; giá trị p hoán vị được báo cáo kèm.</w:t>
      </w:r>
      <w:r>
        <w:rPr>
          <w:vertAlign w:val="subscript"/>
        </w:rPr>
        <w:t xml:space="preserve"/>
      </w:r>
      <w:r>
        <w:t xml:space="preserve"/>
      </w:r>
      <w:r>
        <w:rPr>
          <w:i/>
          <w:iCs/>
        </w:rPr>
        <w:t xml:space="preserve"/>
      </w:r>
      <w:r>
        <w:t xml:space="preserve">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δ</m:t>
            </m:r>
          </m:e>
          <m:sub>
            <m:r>
              <m:rPr>
                <m:sty m:val="p"/>
              </m:rPr>
              <w:rPr>
                <w:rFonts w:ascii="Cambria Math" w:hAnsi="Cambria Math"/>
              </w:rPr>
              <m:t xml:space="preserve">pre</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&lt;</m:t>
        </m:r>
        <m:r>
          <m:rPr>
            <m:sty m:val="p"/>
          </m:rPr>
          <w:rPr>
            <w:rFonts w:ascii="Cambria Math" w:hAnsi="Cambria Math"/>
          </w:rPr>
          <m:t xml:space="preserve">1/2024</m:t>
        </m:r>
        <m:r>
          <m:rPr>
            <m:sty m:val="p"/>
          </m:rPr>
          <w:rPr>
            <w:rFonts w:ascii="Cambria Math" w:hAnsi="Cambria Math"/>
          </w:rPr>
          <m:t xml:space="preserve">]</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đến tháng 12/2028, các tháng trước 1/2024 được gộp vào một biến giả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δk từ tháng 1/2024 đến tháng 5/2025 bằng 0. Độ nhạy của kết luận được đánh giá theo Rambachan và Roth (2023), với giả định rằng sau tháng gốc, mức thay đổi giữa hai tháng liên tiếp của độ lệch khỏi xu hướng song song không vượt quá M̄ lần mức thay đổi lớn nhất giữa hai tháng liên tiếp trong các tháng 1/2024–6/2025; đề tài báo cáo giá trị M̄ nhỏ nhất làm kết luận thay đổi. Vì giữa tháng gốc và giai đoạn sau có 18 tháng chuyển tiếp, khoảng tin cậy theo cách này có thể rất rộng.</w:t>
      </w:r>
      <w:r>
        <w:rPr>
          <w:vertAlign w:val="subscript"/>
        </w:rPr>
        <w:t xml:space="preserve"/>
      </w:r>
      <w:r>
        <w:t xml:space="preserve"/>
      </w:r>
    </w:p>
    <w:p>
      <w:pPr>
        <w:pStyle w:val="FirstParagraph"/>
      </w:pPr>
      <w:r>
        <w:t xml:space="preserve">Một sự kiện duy nhất không có nghĩa là mọi cổ phiếu chịu cùng một cú sốc. Việc chuyển sàn đổi ba quy tắc cùng lúc, nhưng mỗi quy tắc tác động mạnh yếu khác nhau tùy đặc điểm của cổ phiếu trước sự kiện. Biên độ hẹp lại từ ±10% xuống ±7% chỉ ràng buộc những mã thường có lợi suất ngày lớn; bước giá chỉ đáng kể ở mã giá thấp; và việc vào VN-Index cùng các chỉ số khác do HOSE xây dựng tạo áp lực cầu lớn hơn ở mã có vốn hóa lớn so với giá trị giao dịch [CẦN XÁC MINH cách HOSE xử lý mã chuyển sàn trong các chỉ số].</w:t>
      </w:r>
    </w:p>
    <w:p>
      <w:pPr>
        <w:pStyle w:val="FirstParagraph"/>
      </w:pPr>
      <w:r>
        <w:t xml:space="preserve">Đề tài đo ba mức chịu cú sốc này cho từng mã chuyển sàn bằng dữ liệu đến ngày 30/6/2025: tỷ lệ ngày có lợi suất tuyệt đối từ 7% đến dưới 10% (mức chịu cú sốc biên độ), nghịch đảo của giá đóng cửa bình quân (mức chịu cú sốc bước giá), và tỷ số giữa vốn hóa và giá trị giao dịch bình quân ngày (mức chịu cú sốc chỉ số); vì VN-Index tính theo vốn hóa không điều chỉnh tỷ lệ tự do chuyển nhượng (Sở Giao dịch Chứng khoán Thành phố Hồ Chí Minh, 2026), thước đo chính dùng vốn hóa toàn phần, còn thước đo theo vốn hóa tự do chuyển nhượng được báo cáo thêm cho các chỉ số có điều chỉnh tỷ lệ này. Với mức chịu cú sốc bước giá, kết quả được báo cáo thêm với mức thay đổi của bước giá tương đối khi chuyển sàn, tính từ quy định bước giá của hai sàn tại ngày 30/6/2025, và với thước đo tỷ lệ ngày lợi suất bằng 0.</w:t>
      </w:r>
    </w:p>
    <w:p>
      <w:pPr>
        <w:pStyle w:val="FirstParagraph"/>
      </w:pPr>
      <w:r>
        <w:t xml:space="preserve">Việc FTSE Russell đưa cổ phiếu Việt Nam vào chỉ số không được coi là một kênh của việc chuyển sàn: danh sách cổ phiếu đủ điều kiện, lập với dữ liệu đến ngày 30/6/2026, chỉ gồm mã niêm yết tại HOSE (FTSE Russell, 2026), nên biến này không có biến thiên giữa các mã chuyển sàn và chỉ được dùng để loại mã khỏi nhóm đối chứng HOSE ở mục 4.3.8; nếu mã chuyển sàn nào được FTSE Russell đưa vào chỉ số ở các kỳ xét duyệt sau ngày 28/12/2026, ngày đó được ghi lại và δ được ước lượng thêm khi loại các mã này [CẦN XÁC MINH phạm vi sàn mà FTSE Russell sàng lọc trước ngày chuyển sàn].</w:t>
      </w:r>
    </w:p>
    <w:p>
      <w:pPr>
        <w:pStyle w:val="FirstParagraph"/>
      </w:pPr>
      <w:r>
        <w:t xml:space="preserve">Phương trình (5) được mở rộng bằng các số hạng D</w:t>
      </w:r>
      <w:r>
        <w:rPr>
          <w:vertAlign w:val="subscript"/>
        </w:rPr>
        <w:t xml:space="preserve">i</w:t>
      </w:r>
      <w:r>
        <w:t xml:space="preserve">·Post</w:t>
      </w:r>
      <w:r>
        <w:rPr>
          <w:vertAlign w:val="subscript"/>
        </w:rPr>
        <w:t xml:space="preserve">t</w:t>
      </w:r>
      <w:r>
        <w:t xml:space="preserve">·E</w:t>
      </w:r>
      <w:r>
        <w:rPr>
          <w:vertAlign w:val="subscript"/>
        </w:rPr>
        <w:t xml:space="preserve">s</w:t>
      </w:r>
      <w:r>
        <w:t xml:space="preserve">,</w:t>
      </w:r>
      <w:r>
        <w:rPr>
          <w:vertAlign w:val="subscript"/>
        </w:rPr>
        <w:t xml:space="preserve">i</w:t>
      </w:r>
      <w:r>
        <w:t xml:space="preserve">, trong đó E</w:t>
      </w:r>
      <w:r>
        <w:rPr>
          <w:vertAlign w:val="subscript"/>
        </w:rPr>
        <w:t xml:space="preserve">s</w:t>
      </w:r>
      <w:r>
        <w:t xml:space="preserve">,</w:t>
      </w:r>
      <w:r>
        <w:rPr>
          <w:vertAlign w:val="subscript"/>
        </w:rPr>
        <w:t xml:space="preserve">i</w:t>
      </w:r>
      <w:r>
        <w:t xml:space="preserve"> là mức chịu cú sốc s của cổ phiếu i, trừ trung bình và chia cho độ lệch chuẩn giữa các mã chuyển sàn, để δ trong phương trình mở rộng là tác động tại mức chịu cú sốc trung bình, và bằng các số hạng E</w:t>
      </w:r>
      <w:r>
        <w:rPr>
          <w:vertAlign w:val="subscript"/>
        </w:rPr>
        <w:t xml:space="preserve">s</w:t>
      </w:r>
      <w:r>
        <w:t xml:space="preserve">,</w:t>
      </w:r>
      <w:r>
        <w:rPr>
          <w:vertAlign w:val="subscript"/>
        </w:rPr>
        <w:t xml:space="preserve">i</w:t>
      </w:r>
      <w:r>
        <w:t xml:space="preserve">·τ</w:t>
      </w:r>
      <w:r>
        <w:rPr>
          <w:vertAlign w:val="subscript"/>
        </w:rPr>
        <w:t xml:space="preserve">t</w:t>
      </w:r>
      <w:r>
        <w:t xml:space="preserve"> để mỗi mức chịu cú sốc có hiệu ứng theo tháng riêng; các số hạng E</w:t>
      </w:r>
      <w:r>
        <w:rPr>
          <w:vertAlign w:val="subscript"/>
        </w:rPr>
        <w:t xml:space="preserve">s</w:t>
      </w:r>
      <w:r>
        <w:t xml:space="preserve">,</w:t>
      </w:r>
      <w:r>
        <w:rPr>
          <w:vertAlign w:val="subscript"/>
        </w:rPr>
        <w:t xml:space="preserve">i</w:t>
      </w:r>
      <w:r>
        <w:t xml:space="preserve">·τ</w:t>
      </w:r>
      <w:r>
        <w:rPr>
          <w:vertAlign w:val="subscript"/>
        </w:rPr>
        <w:t xml:space="preserve">t</w:t>
      </w:r>
      <w:r>
        <w:t xml:space="preserve"> được ước lượng trên những mã đối chứng đo được cùng thước đo, tức mã UPCoM với mức chịu cú sốc biên độ và mã HOSE với hai mức còn lại. Nếu cổ phiếu UPCoM chuyển sang HOSE trước khi hết cửa sổ sau, là khả năng chính theo mục 4.3.10, mã UPCoM không còn dùng được cho các tháng sau ngày chuyển; khi đó mức chịu cú sốc biên độ của mọi mã, cả mã chuyển sàn lẫn mã HOSE đối chứng, được đo bằng tỷ lệ ngày có lợi suất tuyệt đối từ ngưỡng chung trở lên trong dữ liệu đến ngày 30/6/2025, các số hạng tương ứng được ước lượng trên mã HOSE đối chứng, và hệ số tương tác theo biên độ được báo cáo kèm ghi chú rằng thước đo này chỉ đại diện cho mức chịu ràng buộc của biên độ. Giả định nhận dạng là: nếu không chuyển sàn, chênh lệch thanh khoản giữa mã chuyển sàn chịu cú sốc mạnh và mã chuyển sàn chịu cú sốc yếu sẽ biến động như chênh lệch tương ứng giữa các mã đối chứng; giả định này được kiểm tra bằng các hệ số trước sự kiện của cùng các tương tác. Tỷ lệ ngày bị loại và tỷ lệ tháng thiếu được báo cáo theo ba nhóm mức chịu cú sốc biên độ, và các hệ số tương tác được ước lượng lại trên những mã đủ số ngày hợp lệ ở cả hai giai đoạn.</w:t>
      </w:r>
    </w:p>
    <w:p>
      <w:pPr>
        <w:pStyle w:val="FirstParagraph"/>
      </w:pPr>
      <w:r>
        <w:t xml:space="preserve">Hệ số tương tác cho biết tác động thay đổi thế nào theo mức chịu cú sốc của từng kênh, nhưng không đo riêng tác động của từng quy tắc, vì các mức chịu cú sốc có thể tương quan với nhau và với quy mô doanh nghiệp; đề tài vì vậy đưa thêm tương tác với quy mô và với logarit Amihud tại ngày 30/6/2025, vì mức chịu cú sốc chỉ số gần với nghịch đảo của vòng quay và có thể chỉ phản ánh hồi quy về trung bình của mã kém thanh khoản, và báo cáo tương quan giữa các mức chịu cú sốc. Mọi mức chịu cú sốc được đo bằng dữ liệu đến ngày 30/6/2025, nên không phải là biến kiểm soát chịu ảnh hưởng của sự kiện.</w:t>
      </w:r>
    </w:p>
    <w:p>
      <w:pPr>
        <w:pStyle w:val="FirstParagraph"/>
      </w:pPr>
      <w:r>
        <w:t xml:space="preserve">Sai số chuẩn phân cụm theo cổ phiếu và suy luận hoán vị xáo trộn mức chịu cú sốc giữa các mã chuyển sàn đều coi các mã là độc lập, nên bác bỏ quá thường xuyên khi cú sốc chung theo tháng tác động mạnh hơn lên mã chịu cú sốc mạnh. Suy luận chính cho mỗi hệ số tương tác vì vậy dùng cùng thủ tục với δ: đề tài ước lượng, cho từng tháng, hệ số góc của logarit Amihud theo mức chịu cú sốc ở các mã chuyển sàn trừ hệ số góc tương ứng ở các mã đối chứng, rồi áp dụng bootstrap tự hồi quy cho chuỗi hiệu số theo tháng này, với thống kê kiểm định là trung bình sau sự kiện trừ trung bình trong cửa sổ trước và mức ý nghĩa hai phía 5%; sai số chuẩn phân cụm theo cổ phiếu và giá trị p hoán vị chỉ được báo cáo kèm. Hiệu ứng nhỏ nhất phát hiện được của từng hệ số tương tác được tính theo cùng thủ tục và ghi vào tệp đăng ký. Các hệ số tương tác, kể cả tương tác theo trụ sở dưới đây, là phân tích phụ được đăng ký trước và không đưa vào thủ tục Holm.</w:t>
      </w:r>
    </w:p>
    <w:p>
      <w:pPr>
        <w:pStyle w:val="FirstParagraph"/>
      </w:pPr>
      <w:r>
        <w:t xml:space="preserve">Phân tích theo trụ sở doanh nghiệp kiểm tra xem việc chuyển sàn có tác động khác nhau đến doanh nghiệp có trụ sở tại Hà Nội và doanh nghiệp ở nơi khác hay không. Văn liệu về địa lý tài chính cho thấy nhà quản lý quỹ ưa nắm giữ cổ phiếu của doanh nghiệp có trụ sở gần mình (Coval &amp; Moskowitz, 1999) và thanh khoản của cổ phiếu phụ thuộc vào vị trí trụ sở doanh nghiệp (Loughran &amp; Schultz, 2005) [CẦN ĐỐI CHIẾU bản gốc của hai bài]. Hai bài này nói về khoảng cách giữa nhà đầu tư và doanh nghiệp, không nói về vị trí của sàn; khi sàn đổi, nhà đầu tư không đổi chỗ, nên kênh mà đề tài kiểm tra là sự chú ý và thông tin gắn với sàn niêm yết, chẳng hạn mức độ đưa tin và sự chú ý của nhà đầu tư ở nơi đặt sàn; việc có mặt trong HNX-Index áp dụng chung cho mọi mã chuyển sàn nên tự nó không tạo khác biệt theo trụ sở.</w:t>
      </w:r>
      <w:r>
        <w:rPr>
          <w:vertAlign w:val="subscript"/>
        </w:rPr>
        <w:t xml:space="preserve"/>
      </w:r>
      <w:r>
        <w:t xml:space="preserve"/>
      </w:r>
      <w:r>
        <w:rPr>
          <w:vertAlign w:val="subscript"/>
        </w:rPr>
        <w:t xml:space="preserve"/>
      </w:r>
      <w:r>
        <w:t xml:space="preserve"/>
      </w:r>
    </w:p>
    <w:p>
      <w:pPr>
        <w:pStyle w:val="FirstParagraph"/>
      </w:pPr>
      <w:r>
        <w:t xml:space="preserve">Nếu việc sàn niêm yết đặt cùng thành phố với trụ sở doanh nghiệp tạo lợi thế về thông tin hoặc về sự chú ý của nhà đầu tư địa phương, cổ phiếu của doanh nghiệp có trụ sở tại Hà Nội sẽ được lợi ít hơn khi chuyển sang HOSE so với cổ phiếu của doanh nghiệp ở nơi khác. Đề tài ước lượng chênh lệch này bằng tương tác giữa D</w:t>
      </w:r>
      <w:r>
        <w:rPr>
          <w:vertAlign w:val="subscript"/>
        </w:rPr>
        <w:t xml:space="preserve">i</w:t>
      </w:r>
      <w:r>
        <w:t xml:space="preserve">·Post</w:t>
      </w:r>
      <w:r>
        <w:rPr>
          <w:vertAlign w:val="subscript"/>
        </w:rPr>
        <w:t xml:space="preserve">t</w:t>
      </w:r>
      <w:r>
        <w:t xml:space="preserve"> và biến giả trụ sở tại Hà Nội, xác định theo địa chỉ đăng ký tại ngày 30/6/2025, kèm số hạng tích giữa biến giả trụ sở tại Hà Nội và hiệu ứng cố định theo tháng, ước lượng trên các mã HOSE đối chứng có trụ sở tại Hà Nội, để cú sốc chung theo tháng riêng của doanh nghiệp Hà Nội không bị gán cho việc chuyển sàn, và kèm tương tác với quy mô và ngành để chênh lệch không chỉ phản ánh khác biệt về cơ cấu doanh nghiệp.</w:t>
      </w:r>
    </w:p>
    <w:p>
      <w:pPr>
        <w:pStyle w:val="FirstParagraph"/>
      </w:pPr>
      <w:r>
        <w:t xml:space="preserve">Chênh lệch theo trụ sở là ước lượng dị biệt trong cùng một thiết kế, không phải tác động nhân quả của vị trí trụ sở, vì vị trí trụ sở không được phân bổ ngẫu nhiên. Nếu chênh lệch khác 0, kết quả gợi ý vị trí sàn có liên hệ với thanh khoản của doanh nghiệp có trụ sở tại Hà Nội; nếu khoảng tin cậy hẹp quanh 0, kết quả không ủng hộ vai trò của vị trí sàn khi giao dịch đã điện tử hóa toàn quốc; nếu khoảng tin cậy rộng, kết quả được gọi là chưa đủ cơ sở kết luận theo quy tắc ở mục 4.3.10.</w:t>
      </w:r>
    </w:p>
    <w:p>
      <w:pPr>
        <w:pStyle w:val="FirstParagraph"/>
      </w:pPr>
      <w:r>
        <w:t xml:space="preserve">Chênh lệch này không đo lượng thanh khoản mà thị trường vốn Hà Nội mất, vì mọi mã trong phép so sánh đều chuyển sang HOSE. Tệp đăng ký ghi số mã có trụ sở tại Hà Nội trong các mã chuyển sàn và hiệu ứng nhỏ nhất phát hiện được của hệ số này. Trong mọi trường hợp, kết quả là đầu vào định lượng cho định hướng chuyên môn hóa ở cuối mục 4.3.8.</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sau khi kiểm tra độ phủ và điều khoản sử dụng.</w:t>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vertAlign w:val="subscript"/>
        </w:rPr>
        <w:t xml:space="preserve"/>
      </w:r>
      <w:r>
        <w:t xml:space="preserve"/>
      </w:r>
      <w:r>
        <w:rPr>
          <w:i/>
          <w:iCs/>
        </w:rPr>
        <w:t xml:space="preserve"/>
      </w:r>
      <w:r>
        <w:t xml:space="preserve"/>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Điểm GFCI gộp kết quả khảo sát với các nhân tố định lượng; nhóm phát triển khu vực tài chính có vốn hóa, giá trị và khối lượng giao dịch cổ phiếu lấy từ Liên đoàn các Sở Giao dịch Thế giới (3 trong 144 nhân tố của kỳ GFCI 40, cùng bảng với nhân tố mức chỉ số cổ phiếu; Wardle &amp; Mainelli, 2026). Vì phần trùng lặp cơ học này, và vì trung tâm mạnh có thể kéo theo giao dịch cổ phiếu, đề tài gọi β là liên hệ có điều kiện.</w:t>
      </w:r>
      <w:r>
        <w:rPr>
          <w:i/>
          <w:iCs/>
        </w:rPr>
        <w:t xml:space="preserve"/>
      </w:r>
      <w:r>
        <w:t xml:space="preserve">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Ba thay đổi trùng thời gian tác động lên nhóm đối chứng HOSE: FTSE Russell đưa cổ phiếu Việt Nam vào chỉ số theo bốn đợt vào các tháng 9/2026, 3/2027, 6/2027 và 9/2027 (FTSE Russell, 2026); theo dự thảo quy chế mà VNX đang lấy ý kiến, HOSE dự kiến công bố kết quả phân loại cổ phiếu vào Bảng Chính và Bảng Tiêu chuẩn lần đầu ngày 28/12/2026 (Tuổi Trẻ Online, 2026); và HOSE tiếp nhận 299 mã, đồng thời VN-Index gồm toàn bộ cổ phiếu niêm yết trên HOSE và tự động cập nhật danh mục sau ngày giao dịch đầu tiên của cổ phiếu niêm yết mới (Sở Giao dịch Chứng khoán Thành phố Hồ Chí Minh, 2026), nên các mã chuyển sàn nhiều khả năng vào chỉ số từ phiên thứ hai trên HOSE [CẦN XÁC MINH cách HOSE xử lý mã chuyển sàn trong VN-Index và quy chế phân bảng chính thức].</w:t>
      </w:r>
      <w:r>
        <w:rPr>
          <w:i/>
          <w:iCs/>
        </w:rPr>
        <w:t xml:space="preserve"/>
      </w:r>
      <w:r>
        <w:t xml:space="preserve"/>
      </w:r>
      <w:r>
        <w:rPr>
          <w:i/>
          <w:iCs/>
        </w:rPr>
        <w:t xml:space="preserve"/>
      </w:r>
      <w:r>
        <w:t xml:space="preserve"/>
      </w:r>
    </w:p>
    <w:p w:rsidR="005D3DB2" w:rsidRDefault="00000000">
      <w:pPr>
        <w:pStyle w:val="FirstParagraph"/>
      </w:pPr>
      <w:r>
        <w:t xml:space="preserve">Vì vậy nhóm đối chứng HOSE loại các mã thuộc danh sách cổ phiếu đủ điều kiện của FTSE Russell, </w:t>
      </w:r>
      <w:r>
        <w:rPr>
          <w:i/>
          <w:iCs/>
        </w:rPr>
        <w:t xml:space="preserve">δ</w:t>
      </w:r>
      <w:r>
        <w:t xml:space="preserve"> được ước lượng thêm với biến giả nhóm bảng phân loại, và đề tài báo cáo riêng thay đổi thanh khoản của từng nhóm đối chứng so với xu hướng trước của chính nhóm đó.</w:t>
      </w:r>
      <w:r>
        <w:rPr>
          <w:i/>
          <w:iCs/>
        </w:rPr>
        <w:t xml:space="preserve"/>
      </w:r>
      <w:r>
        <w:t xml:space="preserve"/>
      </w:r>
    </w:p>
    <w:p w:rsidR="005D3DB2" w:rsidRDefault="00000000">
      <w:pPr>
        <w:pStyle w:val="FirstParagraph"/>
      </w:pPr>
      <w:r>
        <w:t xml:space="preserve"/>
      </w:r>
      <w:r>
        <w:rPr>
          <w:i/>
          <w:iCs/>
        </w:rPr>
        <w:t xml:space="preserve"/>
      </w:r>
      <w:r>
        <w:t xml:space="preserve">Ngoài ra, Ủy ban Chứng khoán Nhà nước cho biết đang nghiên cứu nới biên độ dao động giá và giao dịch xuyên trưa, và Bộ Tài chính đặt vấn đề nghiên cứu rút ngắn chu kỳ thanh toán (Thời báo Tài chính Việt Nam, 2026). Nếu các thay đổi này được áp dụng trong cửa sổ sau sự kiện, chúng áp dụng chung cho cổ phiếu chuyển sàn và nhóm đối chứng HOSE nhưng có thể tác động mạnh hơn ở mã thường chạm biên độ. Khi đó, ngày áp dụng được ghi là một cú sốc trùng thời gian, ước lượng được báo cáo thêm với cửa sổ sau cắt tại ngày đó, và ngưỡng lợi suất chung khi tính Amihud được đặt thấp hơn biên độ hẹp nhất có hiệu lực trong toàn mẫu.</w:t>
      </w:r>
      <w:r>
        <w:rPr>
          <w:i/>
          <w:iCs/>
        </w:rPr>
        <w:t xml:space="preserve"/>
      </w:r>
      <w:r>
        <w:t xml:space="preserve"/>
      </w:r>
    </w:p>
    <w:p w:rsidR="005D3DB2" w:rsidRDefault="00000000">
      <w:pPr>
        <w:pStyle w:val="FirstParagraph"/>
      </w:pPr>
      <w:r>
        <w:t xml:space="preserve"/>
      </w:r>
      <w:r>
        <w:rPr>
          <w:i/>
          <w:iCs/>
        </w:rPr>
        <w:t xml:space="preserve"/>
      </w:r>
      <w:r>
        <w:t xml:space="preserve">Nếu nhóm đối chứng HOSE mất thanh khoản do dòng lệnh chuyển sang cổ phiếu chuyển sàn, δ phóng đại tác động, nên ước lượng với nhóm đối chứng UPCoM, nếu nhóm này còn dữ liệu sau sự kiện, được trình bày như một cận khác. Ngược lại, tác động lan tỏa có thể theo chiều dương: Amihud và cộng sự (1997) thấy khi một loại cổ phiếu của doanh nghiệp được chuyển sang cơ chế giao dịch tốt hơn, loại cổ phiếu còn lại của cùng doanh nghiệp cũng tăng giá, phù hợp với thanh khoản lan tỏa dương giữa các chứng khoán có giá trị tương quan; Hisada (2018) cho thấy thanh khoản của cổ phiếu sẵn có trên sàn tiếp nhận cũng tăng trong ngắn hạn quanh đợt hợp nhất Tokyo–Osaka. Nếu điều tương tự xảy ra với nhóm đối chứng HOSE, δ đánh giá thấp tác động.</w:t>
      </w:r>
      <w:r>
        <w:rPr>
          <w:i/>
          <w:iCs/>
        </w:rPr>
        <w:t xml:space="preserve"/>
      </w:r>
      <w:r>
        <w:t xml:space="preserve"/>
      </w:r>
    </w:p>
    <w:p w:rsidR="005D3DB2" w:rsidRDefault="00000000">
      <w:pPr>
        <w:pStyle w:val="FirstParagraph"/>
      </w:pPr>
      <w:r>
        <w:t xml:space="preserve"/>
      </w:r>
      <w:r>
        <w:rPr>
          <w:i/>
          <w:iCs/>
        </w:rPr>
        <w:t xml:space="preserve"/>
      </w:r>
      <w:r>
        <w:t xml:space="preserve">Thứ ba, việc rời mẫu không liên quan đến sự kiện: đề tài báo cáo tỷ lệ mã hủy niêm yết sau sự kiện ở từng nhóm và ước lượng lại trên bảng cân bằng. Việc chuyển sàn đổi cùng lúc biên độ dao động giá, bước giá, hệ thống giao dịch và tư cách thành phần chỉ số của HOSE,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Ngoài kết quả phân tích theo trụ sở doanh nghiệp ở mục 4.3.7, phần này là tổng hợp định tính, không kiểm định giả thuyết. Nếu người hướng dẫn và các tổ chức liên quan đồng ý, thí sinh lấy ý kiến chuyên gia không chính thức.</w:t>
      </w:r>
    </w:p>
    <w:p>
      <w:pPr>
        <w:pStyle w:val="BodyText"/>
      </w:pPr>
      <w:r>
        <w:t xml:space="preserve">Hai chỉ số được đóng gói thành mã nguồn mở, có tài liệu hướng dẫn. Chỉ số chất lượng thị trường vốn được cập nhật theo tháng cho HOSE, và cho UPCoM trong thời gian UPCoM còn do HNX vận hành,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Lực kiểm định của H</w:t>
      </w:r>
      <w:r>
        <w:rPr>
          <w:vertAlign w:val="subscript"/>
        </w:rPr>
        <w:t xml:space="preserve">3</w:t>
      </w:r>
      <w:r>
        <w:t xml:space="preserve"> phụ thuộc vào số tháng trước và sau sự kiện, cùng với phương sai và mức tự tương quan của chuỗi chênh lệch theo tháng; lực kiểm định chỉ phụ thuộc yếu</w:t>
      </w:r>
      <w:r>
        <w:rPr>
          <w:vertAlign w:val="subscript"/>
        </w:rPr>
        <w:t xml:space="preserve"/>
      </w:r>
      <w:r>
        <w:t xml:space="preserve"> vào số cổ phiếu, vì mọi cổ phiếu chuyển sàn cùng một ngày và phần nhiễu riêng của từng mã đã được bình quân trong chuỗi chênh lệch. Với các hệ số tương tác ở mục 4.3.7, số cổ phiếu chỉ quyết định phần nhiễu riêng; nếu cú sốc chung theo tháng tác động khác nhau theo mức chịu cú sốc, lực kiểm định của các hệ số này cũng bị giới hạn bởi số tháng như với δ.</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không điều kiện σ, cửa sổ trước dài 193 tháng (6/2009–6/2025), 18 tháng chuyển tiếp bị loại và giai đoạn sau dài 24 tháng, hiệu ứng nhỏ nhất phát hiện được của δ ở lực kiểm định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Chẳng hạn, với σ = 0,2 và φ = 0,6, đề tài chỉ phát hiện được mức giảm logarit Amihud từ khoảng 0,25 trở lên, tương đương độ phi thanh khoản giảm khoảng 22%. Các giá trị σ và φ này là giả định minh họa; thí sinh ước lượng hai tham số từ chuỗi chênh lệch của giai đoạn tham chiếu, tính lại hiệu ứng nhỏ nhất phát hiện được bằng mô phỏng theo đúng thủ tục kiểm định của H</w:t>
      </w:r>
      <w:r>
        <w:rPr>
          <w:vertAlign w:val="subscript"/>
        </w:rPr>
        <w:t xml:space="preserve">3</w:t>
      </w:r>
      <w:r>
        <w:t xml:space="preserve">, và ghi kết quả vào tệp đăng ký trước ngày 28/12/2026.</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một phía theo chiều của từng giả thuyết: giá trị p phân cụm theo quốc gia cho H</w:t>
      </w:r>
      <w:r>
        <w:rPr>
          <w:vertAlign w:val="subscript"/>
        </w:rPr>
        <w:t xml:space="preserve">1</w:t>
      </w:r>
      <w:r>
        <w:t xml:space="preserve">, giá trị p bootstrap khối dừng cho H</w:t>
      </w:r>
      <w:r>
        <w:rPr>
          <w:vertAlign w:val="subscript"/>
        </w:rPr>
        <w:t xml:space="preserve">2</w:t>
      </w:r>
      <w:r>
        <w:rPr>
          <w:vertAlign w:val="subscript"/>
        </w:rPr>
        <w:t xml:space="preserve"/>
      </w:r>
      <w:r>
        <w:t xml:space="preserve"> và giá trị p bootstrap tự hồi quy cho H</w:t>
      </w:r>
      <w:r>
        <w:rPr>
          <w:vertAlign w:val="subscript"/>
        </w:rPr>
        <w:t xml:space="preserve">3</w:t>
      </w:r>
      <w:r>
        <w:t xml:space="preserve">.</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Ở H</w:t>
      </w:r>
      <w:r>
        <w:rPr>
          <w:vertAlign w:val="subscript"/>
        </w:rPr>
        <w:t xml:space="preserve">1</w:t>
      </w:r>
      <w:r>
        <w:t xml:space="preserve">, đề tài kiểm tra độ vững trên mẫu các trung tâm có ít nhất năm kỳ và trên mẫu cân bằng gồm các trung tâm có mặt ở mọi kỳ được dùng, vì điểm z theo kỳ thay đổi khi tập trung tâm thay đổi. Đề tài cũng đối chiếu danh sách nhân tố công bố của từng kỳ GFCI với các thành phần của SMD và báo cáo tỷ lệ kỳ có trùng lặp. Vì kỳ GFCI 40 đã có trùng lặp</w:t>
      </w:r>
      <w:r>
        <w:rPr>
          <w:vertAlign w:val="subscript"/>
        </w:rPr>
        <w:t xml:space="preserve"/>
      </w:r>
      <w:r>
        <w:t xml:space="preserve"> (Wardle &amp; Mainelli, 2026), đề tài ước lượng lại H</w:t>
      </w:r>
      <w:r>
        <w:rPr>
          <w:vertAlign w:val="subscript"/>
        </w:rPr>
        <w:t xml:space="preserve">1</w:t>
      </w:r>
      <w:r>
        <w:t xml:space="preserve"> trên các kỳ không trùng lặp nếu số kỳ đủ lớn, và trong mọi trường hợp gọi β là liên hệ có điều kiện, gồm cả phần cơ học này.</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hoặc không được phép dùng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đề tài trả lời câu hỏi 3 bằng các mã đã tự chuyển từ HNX sang HOSE trước năm 2026.</w:t>
      </w:r>
    </w:p>
    <w:p w:rsidR="005D3DB2" w:rsidRDefault="00000000">
      <w:pPr>
        <w:pStyle w:val="BodyText"/>
      </w:pPr>
      <w:r>
        <w:t xml:space="preserve"/>
      </w:r>
      <w:r>
        <w:rPr>
          <w:vertAlign w:val="subscript"/>
        </w:rPr>
        <w:t xml:space="preserve"/>
      </w:r>
      <w:r>
        <w:t xml:space="preserve">Theo văn bản hiện hành, cổ phiếu UPCoM phải được chuyển sang HOSE chậm nhất đến hết ngày 31/12/2026 (Bộ Tài chính, 2023), nên đề tài coi trường hợp sau là khả năng chính: nếu cổ phiếu UPCoM được chuyển sang HOSE cùng đợt, hoặc trong 24 tháng sau sự kiện khi mốc ngày 31/12/2026 được lùi tiếp, nhóm đối chứng UPCoM chỉ được dùng đến tháng liền trước ngày chuyển của UPCoM, Chỉ số chất lượng thị trường vốn của UPCoM dừng tại tháng đó, ước lượng chính chỉ dựa vào nhóm đối chứng HOSE, và tương tác theo mức chịu cú sốc biên độ chuyển sang thước đo thay thế nêu ở mục 4.3.7. Nếu cả hai nhóm đối chứng không đạt kiểm tra xu hướng song song, đề tài dùng nhóm đối chứng tổng hợp từ các mã HOSE ngoài danh sách FTSE Russell và mã UPCoM. Nếu dữ liệu sau sự kiện ngắn hơn 24 tháng hoặc rổ CS có ít hơn 30 cổ phiếu đủ thanh khoản, đề tài dùng toàn bộ tháng có sẵn và rổ 20 cổ phiếu.</w:t>
      </w:r>
    </w:p>
    <w:p w:rsidR="005D3DB2" w:rsidRDefault="00000000">
      <w:pPr>
        <w:pStyle w:val="BodyText"/>
      </w:pPr>
      <w:r>
        <w:t xml:space="preserve"/>
      </w:r>
      <w:r>
        <w:rPr>
          <w:vertAlign w:val="subscript"/>
        </w:rPr>
        <w:t xml:space="preserve"/>
      </w:r>
      <w:r>
        <w:t xml:space="preserve">Các mã đã tự chuyển sàn trước năm 2026 còn được dùng trong một phân tích phụ mang tính mô tả về tác động của biên độ giá; vì các mã này tự chọn thời điểm chuyển, kết quả không được diễn giải là tác động tách riêng của biên độ.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CS, gồm tối đa 30 cổ phiếu chuyển sàn có thanh khoản cao nhất; định hướng chuyên môn hóa là tổng hợp có căn cứ.</w:t>
      </w:r>
    </w:p>
    <w:p>
      <w:pPr>
        <w:pStyle w:val="BodyText"/>
      </w:pPr>
      <w:r>
        <w:t xml:space="preserve">Đề tài không giải quyết trọn bài toán số 19; câu hỏi số 2 và số 4 về công nghệ tài chính và dịch vụ tài chính thế hệ mới nằm ngoài phạm vi; với câu hỏi số 3, đề tài chỉ cung cấp thước đo minh bạch và hiệu quả thị trường làm nền, không đề xuất nền tảng công nghệ.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 Trước khi nộp hồ sơ đề nghị hỗ trợ, thí sinh sẽ xin văn bản xác nhận nhu cầu sử dụng kết quả của ít nhất một đơn vị trong số này, ưu tiên HNX; văn bản này cũng là căn cứ của chỉ tiêu (6).</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vững;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của tác động theo mức chịu cú sốc biên độ, bước giá và chỉ số; 6.1.2 Khác biệt theo quy mô và theo trụ sở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còn đề tài thuộc tài chính định lượng và giao thoa với quản lý ở phần định hướng chuyên môn hóa thị trường vốn Hà Nội. Lý do thứ hai là ngôn ngữ đào tạo: chương trình giảng dạy bằng tiếng Anh hoặc tiếng Việt; học bằng tiếng Anh thuận lợi cho công bố quốc tế, và thí sinh có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do thí sinh là tác giả chính, thuộc cơ sở dữ liệu Web of Science hạng Q1 hoặc Q2.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thị trường vốn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năm phương án dự phòng (mục 4.3.10): không số hóa được hoặc không được phép dùng điểm GFCI; sự kiện bị lùi, thực hiện theo nhiều đợt hoặc không diễn ra; UPCoM chuyển sang HOSE trong cửa sổ sau sự kiện; nhóm đối chứng không đạt kiểm tra xu hướng song song; dữ liệu sau sự kiện ngắn hơn 24 tháng hoặc rổ CS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722A5281" w14:textId="77777777">
        <w:trPr>
          <w:cantSplit/>
        </w:trPr>
        <w:tc>
          <w:tcPr>
            <w:tcW w:w="550" w:type="dxa"/>
          </w:tcPr>
          <w:p w14:paraId="1B475C6E" w14:textId="77777777" w:rsidR="005D3DB2" w:rsidRDefault="00000000">
            <w:pPr>
              <w:pStyle w:val="Compact"/>
            </w:pPr>
            <w:r>
              <w:t>1</w:t>
            </w:r>
          </w:p>
        </w:tc>
        <w:tc>
          <w:tcPr>
            <w:tcW w:w="2900" w:type="dxa"/>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800" w:type="dxa"/>
          </w:tcPr>
          <w:p w14:paraId="099632FD" w14:textId="77777777" w:rsidR="005D3DB2" w:rsidRDefault="00000000">
            <w:pPr>
              <w:pStyle w:val="Compact"/>
            </w:pPr>
            <w:r>
              <w:t>5</w:t>
            </w:r>
          </w:p>
        </w:tc>
        <w:tc>
          <w:tcPr>
            <w:tcW w:w="2150" w:type="dxa"/>
          </w:tcPr>
          <w:p w14:paraId="622ED6E5" w14:textId="77777777" w:rsidR="005D3DB2" w:rsidRDefault="00000000">
            <w:pPr>
              <w:pStyle w:val="Compact"/>
            </w:pPr>
            <w:r>
              <w:t>Multidisciplinary Science Journal; ISSN 2675-1240; Scopus Q3</w:t>
            </w:r>
          </w:p>
        </w:tc>
        <w:tc>
          <w:tcPr>
            <w:tcW w:w="1500" w:type="dxa"/>
          </w:tcPr>
          <w:p w14:paraId="39F6F7DE" w14:textId="77777777" w:rsidR="005D3DB2" w:rsidRDefault="00000000">
            <w:pPr>
              <w:pStyle w:val="Compact"/>
            </w:pPr>
            <w:r>
              <w:t>Đã sửa xong vòng 2 (mã 19322)</w:t>
            </w:r>
          </w:p>
        </w:tc>
        <w:tc>
          <w:tcPr>
            <w:tcW w:w="888" w:type="dxa"/>
          </w:tcPr>
          <w:p w14:paraId="528FCFF9" w14:textId="77777777" w:rsidR="005D3DB2" w:rsidRDefault="00000000">
            <w:pPr>
              <w:pStyle w:val="Compact"/>
            </w:pPr>
            <w:r>
              <w:t>Có (mô hình danh mục)</w:t>
            </w:r>
          </w:p>
        </w:tc>
      </w:tr>
      <w:tr w:rsidR="005D3DB2" w14:paraId="636303B6" w14:textId="77777777">
        <w:trPr>
          <w:cantSplit/>
        </w:trPr>
        <w:tc>
          <w:tcPr>
            <w:tcW w:w="550" w:type="dxa"/>
          </w:tcPr>
          <w:p w14:paraId="5CAC10E7" w14:textId="77777777" w:rsidR="005D3DB2" w:rsidRDefault="00000000">
            <w:pPr>
              <w:pStyle w:val="Compact"/>
            </w:pPr>
            <w:r>
              <w:t>2</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3</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4</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5</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6</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7</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8</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9</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chín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Qua bài báo Nguyễn và Nguyễn (2026a), thí sinh đã làm việc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 Thí sinh cam kết thực hiện nghĩa vụ tại điểm e khoản 2 Điều 15 Nghị quyết số 57/2026/NQ-HĐND: sau khi hoàn thành chương trình đào tạo, tham gia mạng lưới chuyên gia khoa học, công nghệ, đổi mới sáng tạo và chuyển đổi số của Thành phố, và tham gia tư vấn, phản biện, cung cấp luận cứ khoa học cho bài toán số 19 và các nhiệm vụ khác phù hợp với chuyên môn khi được cơ quan có thẩm quyền mời hoặc giao nhiệm vụ (Hội đồng nhân dân thành phố Hà Nội, 2026).</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w:t>
      </w:r>
      <w:r>
        <w:t xml:space="preserve">.</w:t>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https://</w:t>
      </w:r>
      <w:r>
        <w:rPr>
          <w:i/>
          <w:iCs/>
        </w:rPr>
        <w:t xml:space="preserve"/>
      </w:r>
      <w:r>
        <w:t xml:space="preserve">thoibaotaichinhvietnam.vn/chuyen-toan-bo-co-phieu-hnx-sang-hose-trong-nam-2026-nghien-cuu-giao-dich-xuyen-trua-va-noi-bien-do-204943.html</w:t>
      </w:r>
    </w:p>
    <w:p>
      <w:pPr>
        <w:pStyle w:val="Reference"/>
      </w:pPr>
      <w:r>
        <w:t xml:space="preserve">Tuổi Trẻ Online. (2026). HOSE dự kiến chia cổ phiếu thành hai bảng Prime Board và Standard Board. https://</w:t>
      </w:r>
      <w:r>
        <w:rPr>
          <w:i/>
          <w:iCs/>
        </w:rPr>
        <w:t xml:space="preserve"/>
      </w:r>
      <w:r>
        <w:t xml:space="preserve">tuoitre.vn/hose-du-kien-chia-co-phieu-thanh-hai-bang-prime-board-va-standard-board-100261002092239776.htm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 45(3), 365–390. https://doi.org/10.1016/S0304-405X(97)00021-4</w:t>
      </w:r>
      <w:r>
        <w:t xml:space="preserve"/>
      </w:r>
      <w:r>
        <w:rPr>
          <w:i/>
          <w:iCs/>
        </w:rPr>
        <w:t xml:space="preserve"/>
      </w:r>
      <w:r>
        <w:t xml:space="preserve"/>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 67(2), 719–760. https://doi.org/10.1111/j.1540-6261.2012.01729.x</w:t>
      </w:r>
      <w:r>
        <w:t xml:space="preserve"/>
      </w:r>
      <w:r>
        <w:rPr>
          <w:i/>
          <w:iCs/>
        </w:rPr>
        <w:t xml:space="preserve"/>
      </w:r>
      <w:r>
        <w:t xml:space="preserve"/>
      </w:r>
    </w:p>
    <w:p>
      <w:pPr>
        <w:pStyle w:val="Reference"/>
      </w:pPr>
      <w:r>
        <w:t xml:space="preserve">Coval, J. D., &amp; Moskowitz, T. J. (1999). Home bias at home: Local equity preference in domestic portfolios. </w:t>
      </w:r>
      <w:r>
        <w:rPr>
          <w:i/>
          <w:iCs/>
        </w:rPr>
        <w:t xml:space="preserve">The Journal of Finance</w:t>
      </w:r>
      <w:r>
        <w:t xml:space="preserve">, </w:t>
      </w:r>
      <w:r>
        <w:rPr>
          <w:i/>
          <w:iCs/>
        </w:rPr>
        <w:t xml:space="preserve">54</w:t>
      </w:r>
      <w:r>
        <w:t xml:space="preserve">(6), 2045–2073.</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[CẦN XÁC MINH tập, số và trang]</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 28(1), 62–81. https://doi.org/10.1111/roie.12441 [CẦN XÁC MINH thứ tự tác giả trên trang bài của tạp chí]</w:t>
      </w:r>
      <w:r>
        <w:t xml:space="preserve"/>
      </w:r>
      <w:r>
        <w:rPr>
          <w:i/>
          <w:iCs/>
        </w:rPr>
        <w:t xml:space="preserve"/>
      </w:r>
      <w:r>
        <w:t xml:space="preserve"/>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 August). Reclassification</w:t>
      </w:r>
      <w:r>
        <w:rPr>
          <w:i/>
          <w:iCs/>
        </w:rPr>
        <w:t xml:space="preserve"> of Vietnam from Frontier to Secondary Emerging market status: Frequently asked questions</w:t>
      </w:r>
      <w:r>
        <w:t xml:space="preserve"> (Version 1.3). LSEG. https://www.lseg.com/content/dam/ftse-russell/en_us/documents/policy-documents/ftse-faq-document-vietnam-reclassification.pdf</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 49(6), 1275–1296. https://doi.org/10.1177/0042098011408143</w:t>
      </w:r>
      <w:r>
        <w:t xml:space="preserve"/>
      </w:r>
      <w:r>
        <w:rPr>
          <w:i/>
          <w:iCs/>
        </w:rPr>
        <w:t xml:space="preserve"/>
      </w:r>
      <w:r>
        <w:t xml:space="preserve"/>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September). The Global Financial Centres Index 40. Z/Yen Group &amp; China Development Institute. https://www.longfinance.net/media/documents/GFCI_40_Report_2026.09.16_v1.2.pdf</w:t>
      </w:r>
      <w:r>
        <w:rPr>
          <w:i/>
          <w:iCs/>
        </w:rPr>
        <w:t xml:space="preserve"/>
      </w:r>
      <w:r>
        <w:t xml:space="preserve"/>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 xml:space="preserve">Hà Nội, ngày … tháng 10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shd w:val="clear" w:color="auto" w:fill="E7E6E6"/>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