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PHƯƠNG THỨC PHÁT TRIỂN HÀ NỘI THÀNH TRUNG TÂM TÀI CHÍNH VÀ DỊCH VỤ CHẤT LƯỢNG CAO: MÔ HÌNH, MINH BẠCH THỊ TRƯỜNG VÀ DỊCH VỤ ĐẦU TƯ SỐ</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w:t>
      </w:r>
      <w:r>
        <w:rPr>
          <w:b/>
          <w:bCs/>
        </w:rPr>
        <w:t xml:space="preserve">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w:t>
      </w:r>
      <w:r>
        <w:t xml:space="preserve">Phương thức phát triển Hà Nội thành trung tâm tài chính và dịch vụ chất lượng cao: Mô hình, minh bạch thị trường và dịch vụ đầu tư số</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4.3.4. Xác định chế độ thị trường</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4.3.5. Động cơ phân bổ của dịch vụ đầu tư số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4.3.6. Thước đo rủi ro lựa chọn mô hình</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4.3.8. Cơ chế giảm thiểu</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Bảng 3. Tập mô hình danh mục cạnh tranh</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Hình 1. Khung phân tích chất lượng thị trường, dịch vụ đầu tư số và mô hình trung tâm tài chính cho Hà Nội</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Hình 2. Cửa sổ ước lượng, cửa sổ đánh giá và thời điểm chọn mô hình</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đặt mục tiêu trở thành trung tâm tài chính và dịch vụ chất lượng cao quốc tế. Thành phố đưa mục tiêu này vào Danh mục bài toán lớn giai đoạn 2026–2030 dưới dạng bài toán số 19: “Phương thức nào để xây dựng Hà Nội thành trung tâm tài chính và dịch vụ chất lượng cao quốc tế?” (Ủy ban nhân dân thành phố Hà Nội, 2026) [CẦN ĐỐI CHIẾU bản chính thức]. Bài toán nêu bốn câu hỏi chính: mô hình trung tâm tài chính nào phù hợp với Hà Nội; công nghệ tài chính nào hiện đại hóa hệ thống tài chính đô thị; nền tảng công nghệ nào tăng cường minh bạch và hiệu quả của thị trường tài chính; và phát triển dịch vụ tài chính thế hệ mới dựa trên Fintech và kinh tế số ra sao. Đề tài lấy câu hỏi thứ nhất, thứ ba và thứ tư làm trục nghiên cứu, chạm câu hỏi thứ hai qua dịch vụ đầu tư số, và chọn thị trường chứng khoán cùng dịch vụ đầu tư làm đối tượng phân tích.</w:t>
      </w:r>
    </w:p>
    <w:p w14:paraId="2EA2BE63" w14:textId="77777777" w:rsidR="005D3DB2" w:rsidRDefault="00000000">
      <w:pPr>
        <w:pStyle w:val="BodyText"/>
      </w:pPr>
      <w:r>
        <w:t xml:space="preserve">Đề cương dùng năm khái niệm với nghĩa cố định. Trung tâm tài chính là thành phố hay khu vực tập trung các hoạt động tài chính quan trọng và đa dạng; sức hấp dẫn của trung tâm là khả năng giữ và thu hút các tổ chức tài chính, còn sức cạnh tranh là khả năng cung cấp dịch vụ đáp ứng nhu cầu trong nước và quốc tế (Yao, 2012). Minh bạch thị trường là mức độ thông tin về doanh nghiệp niêm yết được công bố đúng hạn và đầy đủ; hiệu quả thị trường là mức thanh khoản và tốc độ giá phản ánh thông tin. Rủi ro lựa chọn mô hình là tổn thất phát sinh khi một dịch vụ đầu tư phải chọn trước một mô hình phân bổ trong nhiều mô hình cạnh tranh, đo bằng mức hối tiếc (regret), tức chênh lệch giữa kết quả của mô hình tốt nhất nhìn lại sau thực tế và kết quả của mô hình đã chọn. Chế độ căng thẳng là một trạng thái thống kê có biến động cao và lợi suất thị trường thấp mà mô hình chuyển chế độ ước lượng được; khủng hoảng là sự kiện lịch sử, chỉ dùng để đối chiếu.</w:t>
      </w:r>
    </w:p>
    <w:p w14:paraId="346EA82B" w14:textId="77777777" w:rsidR="005D3DB2" w:rsidRDefault="00000000">
      <w:pPr>
        <w:pStyle w:val="BodyText"/>
      </w:pPr>
      <w:r>
        <w:t xml:space="preserve">Việt Nam xây dựng một trung tâm tài chính quốc tế đặt tại Thành phố Hồ Chí Minh và Đà Nẵng [CẦN XÁC MINH văn bản chính thức]. Hà Nội vì vậy cần một mô hình riêng, dựa trên lợi thế sẵn có thay vì sao chép một trung tâm tài chính quốc tế đầy đủ. Hà Nội là nơi đặt trụ sở của các cơ quan quản lý và giám sát tài chính, của Sở Giao dịch Chứng khoán Việt Nam và Sở Giao dịch Chứng khoán Hà Nội (HNX), nơi vận hành thị trường trái phiếu chính phủ, thị trường chứng khoán phái sinh và thị trường UPCoM [CẦN XÁC MINH]. Yao (2012) cho thấy các trung tâm tài chính chuyên môn hóa theo mảng hoạt động: một số nơi mạnh về đăng ký quỹ, một số nơi mạnh về quản lý quỹ, và sức hấp dẫn của mỗi mảng phụ thuộc vào khung pháp lý, chất lượng các bên tham gia và hạ tầng. Câu hỏi đặt ra cho Hà Nội là chọn mảng chuyên môn nào và cần điều kiện gì.</w:t>
      </w:r>
    </w:p>
    <w:p w14:paraId="1436490C" w14:textId="77777777" w:rsidR="005D3DB2" w:rsidRDefault="00000000">
      <w:pPr>
        <w:pStyle w:val="BodyText"/>
      </w:pPr>
      <w:r>
        <w:t xml:space="preserve">Một trung tâm tài chính chỉ hấp dẫn khi thị trường của nó minh bạch và hiệu quả. Với thị trường chứng khoán, minh bạch thể hiện ở việc doanh nghiệp công bố thông tin đúng hạn và đầy đủ, còn hiệu quả thể hiện ở thanh khoản và tốc độ thông tin được phản ánh vào giá (Amihud, 2002). Khủng hoảng tài chính lặp lại qua nhiều thế kỷ (Reinhart và Rogoff, 2009; Laeven và Valencia, 2020), và thị trường chứng khoán Việt Nam đã trải qua nhiều cú sốc: khủng hoảng tài chính toàn cầu (Vo và Phan, 2017), đại dịch COVID-19 (Dao và cộng sự, 2021), biến cố thị trường trái phiếu doanh nghiệp quý 4/2022 (International Monetary Fund, 2023) và các đợt sụt giảm giá lan truyền giữa các ngành (Vu và cộng sự, 2024). Trong phạm vi tìm kiếm của thí sinh, chưa có bộ chỉ báo công khai nào theo dõi thanh khoản, hiệu quả và minh bạch của thị trường do HNX vận hành theo từng chế độ thị trường.</w:t>
      </w:r>
    </w:p>
    <w:p>
      <w:pPr>
        <w:pStyle w:val="BodyText"/>
      </w:pPr>
      <w:r>
        <w:t xml:space="preserve">Dịch vụ tài chính thế hệ mới trong lĩnh vực đầu tư gồm dịch vụ phân bổ danh mục tự động (robo-advisor), trong đó một thuật toán đề xuất danh mục theo hồ sơ rủi ro của nhà đầu tư. Dịch vụ này phải chọn mô hình phân bổ trong nhiều mô hình cạnh tranh, mà không mô hình nào thắng ổn định: DeMiguel và cộng sự (2009) so sánh 14 mô hình trên bảy bộ dữ liệu và không thấy mô hình nào vượt quy tắc chia đều vốn cho N tài sản (quy tắc 1/N) một cách nhất quán. Khi thứ hạng mô hình thay đổi theo chế độ thị trường, dịch vụ chọn mô hình theo quá khứ có thể gây tổn thất đúng lúc thị trường căng thẳng. Cục Dự trữ Liên bang Mỹ hướng dẫn quản lý rủi ro mô hình tương xứng với mức độ phức tạp của mô hình (Board of Governors of the Federal Reserve System, 2011; 2026), và Thông tư 83/2025/TT-NHNN thiết lập khuôn khổ quản lý rủi ro mô hình cho ngân hàng (Ngân hàng Nhà nước Việt Nam, 2025); thí sinh chưa thấy khuôn khổ tương tự cho dịch vụ đầu tư số ở Việt Nam.</w:t>
      </w:r>
    </w:p>
    <w:p w14:paraId="019D1985" w14:textId="77777777" w:rsidR="005D3DB2" w:rsidRDefault="00000000">
      <w:pPr>
        <w:pStyle w:val="BodyText"/>
      </w:pPr>
      <w:r>
        <w:t xml:space="preserve">Tài liệu hiện có để ngỏ ba vấn đề. Thứ nhất, nghiên cứu về trung tâm tài chính chủ yếu xét ngân hàng và thể chế, ít xét chất lượng thị trường chứng khoán và dịch vụ quản lý tài sản (Yao, 2012). Thứ hai, các công trình về thị trường Việt Nam đo bầy đàn hay biến động trên HOSE và VN-Index (Vo và Phan, 2017; Hoang và Luu, 2024) nhưng chưa theo dõi đồng thời thanh khoản, hiệu quả và minh bạch của thị trường do HNX vận hành theo chế độ thị trường. Thứ ba, các nghiên cứu so sánh danh mục xếp hạng mô hình theo bình quân toàn mẫu (DeMiguel và cộng sự, 2009; Garlappi và cộng sự, 2007) mà chưa đo tổn thất của việc chọn mô hình theo chế độ, vốn là rủi ro cốt lõi của dịch vụ phân bổ tự động. Các nhận định này giới hạn trong phạm vi tìm kiếm nêu ở cuối mục 4.2.</w:t>
      </w:r>
    </w:p>
    <w:p w14:paraId="02E8B3B9" w14:textId="77777777" w:rsidR="005D3DB2" w:rsidRDefault="00000000">
      <w:pPr>
        <w:pStyle w:val="BodyText"/>
      </w:pPr>
      <w:r>
        <w:rPr>
          <w:b/>
          <w:bCs/>
        </w:rPr>
        <w:t>Câu hỏi nghiên cứu.</w:t>
      </w:r>
      <w:r>
        <w:t xml:space="preserve"> Từ những vấn đề trên, </w:t>
      </w:r>
      <w:r>
        <w:t xml:space="preserve">đề tài đặt ra bốn câu hỏi, mỗi câu gắn với câu hỏi chính của bài toán số 19:</w:t>
      </w:r>
    </w:p>
    <w:p w14:paraId="344380B9" w14:textId="77777777" w:rsidR="005D3DB2" w:rsidRDefault="00000000">
      <w:pPr>
        <w:pStyle w:val="BodyText"/>
      </w:pPr>
      <w:r>
        <w:t xml:space="preserve">Câu hỏi 1: Hà Nội nên phát triển trung tâm tài chính theo mô hình chuyên mảng nào, dựa trên lợi thế thị trường và thể chế sẵn có? (câu hỏi số 1 của bài toán số 19)</w:t>
      </w:r>
    </w:p>
    <w:p w14:paraId="1CAE073F" w14:textId="77777777" w:rsidR="005D3DB2" w:rsidRDefault="00000000">
      <w:pPr>
        <w:pStyle w:val="BodyText"/>
      </w:pPr>
      <w:r>
        <w:t xml:space="preserve">Câu hỏi 2: Thị trường chứng khoán do HNX vận hành minh bạch và hiệu quả đến đâu, và thanh khoản, hiệu quả thông tin thay đổi thế nào giữa chế độ bình thường và chế độ căng thẳng? (câu hỏi số 3)</w:t>
      </w:r>
    </w:p>
    <w:p w14:paraId="5B58B265" w14:textId="77777777" w:rsidR="005D3DB2" w:rsidRDefault="00000000">
      <w:pPr>
        <w:pStyle w:val="BodyText"/>
      </w:pPr>
      <w:r>
        <w:t xml:space="preserve">Câu hỏi 3: Dịch vụ phân bổ danh mục tự động cho nhà đầu tư cá nhân nên chọn và giám sát mô hình phân bổ ra sao để hạn chế rủi ro lựa chọn mô hình ở chế độ căng thẳng sau chi phí giao dịch? (câu hỏi số 4 và số 2)</w:t>
      </w:r>
    </w:p>
    <w:p>
      <w:pPr>
        <w:pStyle w:val="BodyText"/>
      </w:pPr>
      <w:r>
        <w:t xml:space="preserve">Câu hỏi 4: Hà Nội cần chính sách, chuẩn công bố và hạ tầng dữ liệu nào để phát triển mảng thị trường và dịch vụ đầu tư được chọn? (tổng hợp bài toán số 19)</w:t>
      </w:r>
    </w:p>
    <w:p w14:paraId="74C0BF37" w14:textId="77777777" w:rsidR="005D3DB2" w:rsidRDefault="00000000">
      <w:pPr>
        <w:pStyle w:val="BodyText"/>
      </w:pPr>
      <w:r>
        <w:rPr>
          <w:b/>
          <w:bCs/>
        </w:rPr>
        <w:t>Mục tiêu nghiên cứu.</w:t>
      </w:r>
      <w:r>
        <w:t xml:space="preserve"> </w:t>
      </w:r>
      <w:r>
        <w:t xml:space="preserve">Mục tiêu tổng quát là đề xuất phương thức phát triển Hà Nội thành trung tâm tài chính và dịch vụ chất lượng cao dựa trên bằng chứng về chất lượng thị trường chứng khoán và dịch vụ đầu tư số. Đề tài có năm mục tiêu cụ thể: (i) xây dựng khung các yếu tố quyết định sức hấp dẫn và sức cạnh tranh của một trung tâm tài chính chuyên mảng và đánh giá vị trí của Hà Nội; (ii) xây dựng bộ chỉ báo thanh khoản, hiệu quả thông tin và minh bạch cho thị trường do HNX vận hành, tính theo chế độ thị trường; (iii) đo rủi ro lựa chọn mô hình của dịch vụ phân bổ danh mục tự động và đánh giá các cơ chế giảm rủi ro này; (iv) xây dựng nguyên mẫu mã nguồn mở của dịch vụ phân bổ tự động kèm chuẩn công bố mô hình; (v) đề xuất chính sách và hạ tầng dữ liệu cho Hà Nội.</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sức hấp dẫn và chuyên môn hóa.</w:t>
      </w:r>
      <w:r>
        <w:rPr/>
        <w:t xml:space="preserve"> Yao (2012) xác định các yếu tố quyết định sức hấp dẫn và sức cạnh tranh của trung tâm tài chính đối với ngành quỹ đầu tư, dùng mô hình lý thuyết, khảo sát 135 người làm nghề và kinh tế lượng cho trường hợp Luxembourg. Luận án này cho thấy khung pháp lý và thuế, thị trường lao động, hiệu quả của bộ máy hành chính, sự gần gũi và chất lượng của các bên tham gia, và hạ tầng là các yếu tố chính. Các trung tâm chuyên môn hóa theo mảng: Luxembourg, Ireland và Pháp mạnh về đăng ký quỹ, còn Đức, Pháp và Anh mạnh về quản lý quỹ. Yao (2012) cũng nhận xét phần lớn nghiên cứu về trung tâm tài chính tập trung vào ngân hàng. Các chỉ số trung tâm tài chính toàn cầu xếp hạng thành phố theo các nhóm yếu tố tương tự [CẦN BỔ SUNG TÀI LIỆU]. Với Hà Nội, khung này đặt ra câu hỏi về mảng chuyên môn phù hợp khi trung tâm tài chính quốc tế của Việt Nam đặt tại nơi khác.</w:t>
      </w:r>
    </w:p>
    <w:p>
      <w:pPr>
        <w:pStyle w:val="FirstParagraph"/>
      </w:pPr>
      <w:r>
        <w:rPr>
          <w:i/>
          <w:iCs/>
        </w:rPr>
        <w:t xml:space="preserve">(B) Thanh khoản, hiệu quả và minh bạch thị trường.</w:t>
      </w:r>
      <w:r>
        <w:rPr/>
        <w:t xml:space="preserve"> Amihud (2002) đề xuất độ phi thanh khoản, tỷ số giữa lợi suất tuyệt đối và giá trị giao dịch, và cho thấy phi thanh khoản gắn với lợi suất kỳ vọng. Bai và Perron (1998) cung cấp phương pháp phát hiện nhiều điểm gãy cấu trúc, dùng để xác định thời điểm thanh khoản thay đổi. Longin và Solnik (2001) cùng Forbes và Rigobon (2002) cho thấy tương quan giữa các thị trường tăng ở vùng đuôi và phụ thuộc vào biến động. Các thước đo hiệu quả thông tin như tỷ số phương sai, độ trễ phản ánh thông tin vào giá và chênh lệch mua–bán ước từ giá ngày đã có trong tài liệu [CẦN BỔ SUNG TÀI LIỆU]. Ở Việt Nam, Vo và Phan (2017) tìm thấy bầy đàn trên HOSE, rõ hơn khi thị trường giảm. Thí sinh chưa thấy công trình nào theo dõi đồng thời thanh khoản, hiệu quả và minh bạch của thị trường do HNX vận hành theo chế độ thị trường (trong phạm vi tìm kiếm nêu ở cuối mục). Các nhóm (1)–(6) dưới đây là nền tài liệu cho câu hỏi 3 về dịch vụ phân bổ danh mục tự động.</w:t>
      </w:r>
    </w:p>
    <w:p w14:paraId="13247091" w14:textId="77777777" w:rsidR="005D3DB2" w:rsidRDefault="00000000">
      <w:pPr>
        <w:pStyle w:val="FirstParagraph"/>
      </w:pPr>
      <w:r>
        <w:rPr>
          <w:i/>
          <w:iCs/>
        </w:rPr>
        <w:t>(1) Sai số ước lượng và tối ưu hóa danh mục.</w:t>
      </w:r>
      <w:r>
        <w:t xml:space="preserve"> </w:t>
      </w:r>
      <w:r>
        <w:t xml:space="preserve">Mọi mô hình phân bổ dựa trên tham số ước lượng đều mang sai số ở đầu vào.</w:t>
      </w:r>
      <w:r>
        <w:t xml:space="preserve"> </w:t>
      </w:r>
      <w:r>
        <w:t xml:space="preserve">Tối ưu hóa trung bình–phương sai dồn</w:t>
      </w:r>
      <w:r>
        <w:t xml:space="preserve"> trọng số vào những tài sản có sai số ước lượng lớn (Michaud, 1989), </w:t>
      </w:r>
      <w:r>
        <w:t xml:space="preserve">và thay tham số tổng thể bằng ước lượng mẫu</w:t>
      </w:r>
      <w:r>
        <w:t xml:space="preserve"> </w:t>
      </w:r>
      <w:r>
        <w:t xml:space="preserve">làm hiệu quả ngoài mẫu giảm</w:t>
      </w:r>
      <w:r>
        <w:t xml:space="preserve"> (Kan và Zhou, 2007). Tài liệu đề xuất ba hướng khắc phục. Ledoit và Wolf (2004) co rút ma trận hiệp phương sai về một ma trận mục tiêu có cấu trúc. Black và Litterman (1992) kết hợp lợi suất cân bằng của mô hình định giá tài sản vốn với quan điểm riêng của nhà đầu tư, và </w:t>
      </w:r>
      <w:r>
        <w:t xml:space="preserve">Bessler và cộng sự (2017) cho thấy cách tiếp cận này</w:t>
      </w:r>
      <w:r>
        <w:t xml:space="preserve"> vượt cả </w:t>
      </w:r>
      <w:r>
        <w:t xml:space="preserve">danh mục trung bình–phương sai lẫn</w:t>
      </w:r>
      <w:r>
        <w:t xml:space="preserve"> quy tắc 1/N về hiệu quả ngoài mẫu trên dữ liệu đa tài sản toàn cầu. Garlappi và cộng sự (2007) mô hình hóa </w:t>
      </w:r>
      <w:r>
        <w:t xml:space="preserve">nhà đầu tư ngại mơ hồ</w:t>
      </w:r>
      <w:r>
        <w:t xml:space="preserve"> với nhiều niềm tin tiên nghiệm và thu được danh mục ổn định hơn. Dù vậy, DeMiguel và cộng sự (2009) </w:t>
      </w:r>
      <w:r>
        <w:t xml:space="preserve">không tìm thấy hướng nào vượt 1/N</w:t>
      </w:r>
      <w:r>
        <w:t xml:space="preserve"> trên cả bảy bộ dữ liệu, và Pflug và cộng sự (2012) chứng minh quy tắc 1/N xấp xỉ tối ưu theo nghĩa vững chắc khi mức mơ hồ về mô hình đủ cao. Mỗi mô hình có điểm mạnh riêng, nhưng </w:t>
      </w:r>
      <w:r>
        <w:t xml:space="preserve">nhóm tài liệu này chưa so sánh tổn thất khi nhà đầu tư phải chọn trước một mô hình trong nhiều mô hình cạnh tranh.</w:t>
      </w:r>
    </w:p>
    <w:p w14:paraId="77FF2C03" w14:textId="77777777" w:rsidR="005D3DB2" w:rsidRDefault="00000000">
      <w:pPr>
        <w:pStyle w:val="BodyText"/>
      </w:pPr>
      <w:r>
        <w:rPr>
          <w:i/>
          <w:iCs/>
        </w:rPr>
        <w:t>(2) Rủi ro mô hình và bất định mô hình.</w:t>
      </w:r>
      <w:r>
        <w:t xml:space="preserve"> </w:t>
      </w:r>
      <w:r>
        <w:t xml:space="preserve">Các thước đo rủi ro mô hình chủ yếu gắn với dự báo rủi ro và định giá. Một số nghiên cứu danh mục đã đo tổn thất của một sai lầm cụ thể, như dùng tham số ước lượng thay cho tham số thật (Kan và Zhou, 2007) hoặc bỏ qua chuyển chế độ (Tu, 2010).</w:t>
      </w:r>
      <w:r>
        <w:t xml:space="preserve"> Derman (1996) bàn về rủi ro mô hình trong định giá phái sinh từ góc độ thực hành. Cont (2006) đo bất định mô hình bằng độ đo rủi ro nhất quán trên một tập mô hình định giá. Kerkhof và cộng sự (2010) tách rủi ro mô hình thành rủi ro ước lượng và rủi ro đặc tả sai, rồi đưa cả hai vào vốn dự phòng. Boucher và cộng sự (2014) đề xuất hiệu chỉnh độ đo rủi ro theo kết quả kiểm định ngược, còn Danielsson và cộng sự (2016) cho thấy rủi ro mô hình của các mô hình rủi ro thị trường và rủi ro hệ thống tăng theo mức bất định và </w:t>
      </w:r>
      <w:r>
        <w:t xml:space="preserve">nhỏ khi thị trường ít biến động</w:t>
      </w:r>
      <w:r>
        <w:t xml:space="preserve">. Lo và Mueller (2010) cảnh báo việc mô hình hóa tài chính theo chuẩn mực vật lý tạo ra cảm giác chính xác giả tạo, và phân loại các mức bất định. Ở cấp lý thuyết quyết định, Gilboa và Schmeidler (1989) xây dựng tiêu chí chọn phương án tốt nhất trong tình huống xấu nhất khi nhà đầu tư có nhiều niềm tin tiên nghiệm, và Hansen và Sargent (2008) phát triển lý thuyết kiểm soát vững chắc trước sai đặc tả. </w:t>
      </w:r>
      <w:r>
        <w:t xml:space="preserve">Avramov (2002) cùng Garlappi và cộng sự (2007) xử lý bất định mô hình trong phân bổ, lần lượt bằng kết hợp mô hình và tối ưu hóa vững chắc</w:t>
      </w:r>
      <w:r>
        <w:t xml:space="preserve">, còn đề tài đo tổn thất của việc chọn trước một mô hình. Trong phạm vi tìm kiếm mô tả ở cuối mục 4.2, thí sinh chưa tìm thấy nghiên cứu đo tổn thất khi nhà đầu tư phải </w:t>
      </w:r>
      <w:r>
        <w:t xml:space="preserve">chọn trước một mô hình trong một tập mô hình danh mục cạnh tranh và so sánh tổn thất này giữa các chế độ thị trường.</w:t>
      </w:r>
    </w:p>
    <w:p w14:paraId="134857EB" w14:textId="77777777" w:rsidR="005D3DB2" w:rsidRDefault="00000000">
      <w:pPr>
        <w:pStyle w:val="BodyText"/>
      </w:pPr>
      <w:r>
        <w:rPr>
          <w:i/>
          <w:iCs/>
        </w:rPr>
        <w:t>(3) Kết hợp mô hình, chọn mô hình và kiểm định.</w:t>
      </w:r>
      <w:r>
        <w:t xml:space="preserve"> Tài liệu đưa ra ba cách xử lý bất định mô hình. Cách thứ nhất là kết hợp mô hình. Hoeting và cộng sự (1999) trình bày phương pháp trung bình hóa mô hình Bayes; Avramov (2002) áp dụng phương pháp này vào dự báo lợi suất cổ phiếu và thu được hiệu quả ngoài mẫu </w:t>
      </w:r>
      <w:r>
        <w:t xml:space="preserve">tốt hơn cách chọn một mô hình theo tiêu chí</w:t>
      </w:r>
      <w:r>
        <w:t xml:space="preserve">. Timmermann (2006) tổng hợp bằng chứng rằng dự báo kết hợp thường tốt hơn dự báo riêng lẻ, và Rapach và cộng sự (2010) cho thấy kết hợp dự báo bù được phần chất lượng dự báo mất đi do mô hình bất ổn định. Tu và Zhou (2011) kết hợp quy tắc 1/N </w:t>
      </w:r>
      <w:r>
        <w:t xml:space="preserve">với quy tắc trung bình–phương sai và vượt</w:t>
      </w:r>
      <w:r>
        <w:t xml:space="preserve"> 1/N trong hầu hết kịch bản mô phỏng. Cách thứ hai là thu hẹp tập mô hình: tập tin cậy mô hình của Hansen và cộng sự (2011) </w:t>
      </w:r>
      <w:r>
        <w:t xml:space="preserve">giữ lại những mô hình mà dữ liệu chưa đủ bằng chứng để loại vì kém hơn, ở một mức tin cậy cho trước; vì vậy tập lớn khi dữ liệu ít thông tin và nhỏ khi dữ liệu nhiều thông tin.</w:t>
      </w:r>
      <w:r>
        <w:t xml:space="preserve"> Cách thứ ba là hiệu chỉnh thiên lệch chọn lọc: Bailey và López de Prado (2014) định lượng thiên lệch chọn lọc và hiện tượng quá khớp khi kiểm định ngược </w:t>
      </w:r>
      <w:r>
        <w:t xml:space="preserve">bằng tỷ số Sharpe giảm phát (deflated Sharpe ratio)</w:t>
      </w:r>
      <w:r>
        <w:t xml:space="preserve">, còn Ledoit và Wolf (2008) đề xuất khoảng tin cậy bootstrap chuỗi thời gian cho chênh lệch tỷ số Sharpe. Các công cụ này có sẵn, </w:t>
      </w:r>
      <w:r>
        <w:t xml:space="preserve">song thí sinh chưa thấy công trình nào (trong cùng phạm vi tìm kiếm) dùng</w:t>
      </w:r>
      <w:r>
        <w:t xml:space="preserve"> chúng để đo tổn thất của việc chọn mô hình theo từng chế độ thị trường.</w:t>
      </w:r>
    </w:p>
    <w:p w14:paraId="59618A57" w14:textId="77777777" w:rsidR="005D3DB2" w:rsidRDefault="00000000">
      <w:pPr>
        <w:pStyle w:val="BodyText"/>
      </w:pPr>
      <w:r>
        <w:rPr>
          <w:i/>
          <w:iCs/>
        </w:rPr>
        <w:t>(4) Chế độ thị trường và khủng hoảng.</w:t>
      </w:r>
      <w:r>
        <w:t xml:space="preserve"> Hamilton (1989) đề xuất mô hình chuyển chế độ Markov, trong đó thị trường ở một trong các trạng thái ẩn và chuyển giữa chúng theo xác suất; Ang và Timmermann (2012) tổng quan hướng nghiên cứu này. Ang và Bekaert (2002) thấy tương quan và biến động cùng tăng ở chế độ xấu và giải bài toán phân bổ tài sản có chuyển chế độ. Guidolin và Timmermann (2007) nhận diện bốn chế độ: sụp đổ, tăng trưởng chậm, tăng giá và phục hồi. Kritzman và cộng sự (2012) dự báo chế độ bằng mô hình Markov, và chiến lược động của họ vượt chiến lược tĩnh khi kiểm định ngược. Tu (2010) ước tính nhà đầu tư bỏ qua chuyển chế độ chịu tổn thất lợi suất tương đương chắc chắn thường trên 2% mỗi năm, có thể tới 10%. </w:t>
      </w:r>
      <w:r>
        <w:t xml:space="preserve">Bai và Perron (1998) phát triển phương pháp</w:t>
      </w:r>
      <w:r>
        <w:t xml:space="preserve"> kiểm định nhiều điểm gãy cấu trúc. Về khủng hoảng, Longin và Solnik (2001) bác bỏ phân phối chuẩn đa biến ở đuôi âm của lợi suất, còn Forbes và Rigobon (2002) chỉ ra hệ số tương quan phụ thuộc vào biến động và, sau hiệu chỉnh, gần như không còn dấu hiệu lây nhiễm trong ba cuộc khủng hoảng họ khảo sát. </w:t>
      </w:r>
      <w:r>
        <w:t xml:space="preserve">Hành vi thị trường thay đổi theo chế độ; </w:t>
      </w:r>
      <w:r>
        <w:t xml:space="preserve">thí sinh chưa thấy nghiên cứu nào (trong cùng phạm vi tìm kiếm) kiểm định</w:t>
      </w:r>
      <w:r>
        <w:t xml:space="preserve"> thứ hạng của các mô hình danh mục có thay đổi theo chế độ hay không.</w:t>
      </w:r>
    </w:p>
    <w:p w14:paraId="0E051FBF" w14:textId="77777777" w:rsidR="005D3DB2" w:rsidRDefault="00000000">
      <w:pPr>
        <w:pStyle w:val="BodyText"/>
      </w:pPr>
      <w:r>
        <w:rPr>
          <w:i/>
          <w:iCs/>
        </w:rPr>
        <w:t>(5) Tài chính hành vi và bầy đàn.</w:t>
      </w:r>
      <w:r>
        <w:t xml:space="preserve"> </w:t>
      </w:r>
      <w:r>
        <w:t xml:space="preserve">Kahneman và Tversky (1979) đề xuất lý thuyết triển vọng, và Barberis và Thaler (2003) tổng hợp hai nội dung chính của tài chính hành vi là giới hạn của kinh doanh chênh lệch giá và tâm lý nhà đầu tư. Nhóm tài liệu này là bối cảnh hành vi của kênh bầy đàn mà H4 thăm dò.</w:t>
      </w:r>
      <w:r>
        <w:t xml:space="preserve"> Bầy đàn, tức nhà đầu tư làm theo số đông thay vì dựa vào thông tin riêng, là một kênh hành vi có thể làm các mô hình cho kết quả khác nhau. </w:t>
      </w:r>
      <w:r>
        <w:t xml:space="preserve">Christie và Huang (1995) coi độ phân tán chéo của lợi suất thấp bất thường khi giá biến động mạnh là dấu hiệu bầy đàn, và không thấy</w:t>
      </w:r>
      <w:r>
        <w:t xml:space="preserve"> bầy đàn khi giá biến động mạnh trên dữ liệu Mỹ. Chang và cộng sự (2000) tìm thấy bầy đàn ở Hàn Quốc và Đài Loan nhưng không thấy ở Mỹ và Hồng Kông. Vì bằng chứng trái chiều giữa các thị trường, đề tài chỉ xét kênh này ở mức thăm dò.</w:t>
      </w:r>
    </w:p>
    <w:p w14:paraId="759FAAB1" w14:textId="77777777" w:rsidR="005D3DB2" w:rsidRDefault="00000000">
      <w:pPr>
        <w:pStyle w:val="BodyText"/>
      </w:pPr>
      <w:r>
        <w:rPr>
          <w:i/>
          <w:iCs/>
        </w:rPr>
        <w:t>(6) Nghiên cứu về Việt Nam.</w:t>
      </w:r>
      <w:r>
        <w:t xml:space="preserve"> </w:t>
      </w:r>
      <w:r>
        <w:t xml:space="preserve">Các công trình về Việt Nam đánh giá một mô hình hoặc so sánh các phương pháp theo bình quân toàn mẫu; thí sinh chưa tìm thấy công trình đo tổn thất của việc chọn mô hình theo chế độ thị trường.</w:t>
      </w:r>
      <w:r>
        <w:t xml:space="preserve"> Vo và Phan (2017) dùng 299 công ty niêm yết trên Sở Giao dịch Chứng khoán Thành phố Hồ Chí Minh (HOSE) giai đoạn 2005–2015 và tìm thấy bầy đàn, rõ hơn khi thị trường giảm. Ta và Vuong (2020) </w:t>
      </w:r>
      <w:r>
        <w:t xml:space="preserve">áp dụng mô hình Black–Litterman với quan điểm dự báo từ mô hình tự hồi quy tích hợp trung bình trượt (ARIMA).</w:t>
      </w:r>
      <w:r>
        <w:t xml:space="preserve"> Nguyen và cộng sự (2020) </w:t>
      </w:r>
      <w:r>
        <w:t xml:space="preserve">dùng ma trận hiệp phương sai co rút trên dữ liệu 468 tuần</w:t>
      </w:r>
      <w:r>
        <w:t xml:space="preserve"> giai đoạn 2011–2019 và thu được </w:t>
      </w:r>
      <w:r>
        <w:t xml:space="preserve">danh mục có lợi suất cao hơn</w:t>
      </w:r>
      <w:r>
        <w:t xml:space="preserve">, rủi ro thấp hơn các phương pháp truyền thống. Goutte và cộng sự (2025) so sánh năm phương pháp ra quyết định đa tiêu chí với bốn cách gán trọng số </w:t>
      </w:r>
      <w:r>
        <w:t xml:space="preserve">trên rổ chỉ số VN100 của HOSE giai đoạn</w:t>
      </w:r>
      <w:r>
        <w:t xml:space="preserve"> 01/2015–11/2023. Hoang và Luu (2024), trong một bản thảo công bố trực tuyến, phân tích VN-Index giai đoạn 2012–2023 và thấy mô hình một chế độ dự báo biến động tốt hơn ở kỳ hạn ngắn, còn mô hình chuyển chế độ tốt hơn ở kỳ hạn trung và dài. Bài báo của chính thí sinh (Nguyen và Nguyen, 2026a) </w:t>
      </w:r>
      <w:r>
        <w:t xml:space="preserve">áp dụng mô hình Black–Litterman với mô hình định giá</w:t>
      </w:r>
      <w:r>
        <w:t xml:space="preserve"> tài sản vốn có chuyển chế độ cho thị trường Việt Nam giai đoạn 2019–2025 và chỉ đánh giá một mô hình.</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 xml:space="preserve">Trung tâm tài chính (Yao, 2012)</w:t>
            </w:r>
          </w:p>
        </w:tc>
        <w:tc>
          <w:tcPr>
            <w:tcW w:w="0" w:type="auto"/>
          </w:tcPr>
          <w:p w14:paraId="5F910835" w14:textId="77777777" w:rsidR="005D3DB2" w:rsidRDefault="00000000">
            <w:pPr>
              <w:pStyle w:val="Compact"/>
            </w:pPr>
            <w:r>
              <w:t xml:space="preserve">Yếu tố quyết định sức hấp dẫn và sức cạnh tranh; chuyên môn hóa theo mảng; trường hợp Luxembourg</w:t>
            </w:r>
          </w:p>
        </w:tc>
        <w:tc>
          <w:tcPr>
            <w:tcW w:w="0" w:type="auto"/>
          </w:tcPr>
          <w:p w14:paraId="59F4C5C0" w14:textId="77777777" w:rsidR="005D3DB2" w:rsidRDefault="00000000">
            <w:pPr>
              <w:pStyle w:val="Compact"/>
            </w:pPr>
            <w:r>
              <w:t xml:space="preserve">K1. Chưa có khung chuyên môn hóa cho một thành phố không giữ trung tâm tài chính quốc tế chính thức như Hà Nội</w:t>
            </w:r>
          </w:p>
        </w:tc>
      </w:tr>
      <w:tr w:rsidR="005D3DB2" w14:paraId="163555CD" w14:textId="77777777">
        <w:trPr>
          <w:cantSplit/>
        </w:trPr>
        <w:tc>
          <w:tcPr>
            <w:tcW w:w="0" w:type="auto"/>
          </w:tcPr>
          <w:p w14:paraId="7892E17D" w14:textId="77777777" w:rsidR="005D3DB2" w:rsidRDefault="00000000">
            <w:pPr>
              <w:pStyle w:val="Compact"/>
            </w:pPr>
            <w:r>
              <w:t xml:space="preserve">Thị trường Việt Nam (Vo và Phan, 2017; Hoang và Luu, 2024)</w:t>
            </w:r>
          </w:p>
        </w:tc>
        <w:tc>
          <w:tcPr>
            <w:tcW w:w="0" w:type="auto"/>
          </w:tcPr>
          <w:p w14:paraId="35E17D8F" w14:textId="77777777" w:rsidR="005D3DB2" w:rsidRDefault="00000000">
            <w:pPr>
              <w:pStyle w:val="Compact"/>
            </w:pPr>
            <w:r>
              <w:t xml:space="preserve">Bầy đàn trên HOSE; chế độ biến động của VN-Index</w:t>
            </w:r>
          </w:p>
        </w:tc>
        <w:tc>
          <w:tcPr>
            <w:tcW w:w="0" w:type="auto"/>
          </w:tcPr>
          <w:p w14:paraId="269AA840" w14:textId="77777777" w:rsidR="005D3DB2" w:rsidRDefault="00000000">
            <w:pPr>
              <w:pStyle w:val="Compact"/>
            </w:pPr>
            <w:r>
              <w:t xml:space="preserve">K2. Chưa có bộ chỉ báo thanh khoản, hiệu quả và minh bạch theo chế độ cho thị trường do HNX vận hành</w:t>
            </w:r>
          </w:p>
        </w:tc>
      </w:tr>
      <w:tr w:rsidR="005D3DB2" w14:paraId="6A282CAD" w14:textId="77777777">
        <w:trPr>
          <w:cantSplit/>
        </w:trPr>
        <w:tc>
          <w:tcPr>
            <w:tcW w:w="0" w:type="auto"/>
          </w:tcPr>
          <w:p w14:paraId="172955F1" w14:textId="77777777" w:rsidR="005D3DB2" w:rsidRDefault="00000000">
            <w:pPr>
              <w:pStyle w:val="Compact"/>
            </w:pPr>
            <w:r>
              <w:t xml:space="preserve">Danh mục ở Việt Nam (Ta và Vuong, 2020; Nguyen và cộng sự, 2020; Goutte và cộng sự, 2025; Nguyen và Nguyen, 2026a)</w:t>
            </w:r>
          </w:p>
        </w:tc>
        <w:tc>
          <w:tcPr>
            <w:tcW w:w="0" w:type="auto"/>
          </w:tcPr>
          <w:p w14:paraId="27D2C86F" w14:textId="77777777" w:rsidR="005D3DB2" w:rsidRDefault="00000000">
            <w:pPr>
              <w:pStyle w:val="Compact"/>
            </w:pPr>
            <w:r>
              <w:t xml:space="preserve">Đánh giá một mô hình hoặc so sánh các phương pháp theo bình quân toàn mẫu</w:t>
            </w:r>
          </w:p>
        </w:tc>
        <w:tc>
          <w:tcPr>
            <w:tcW w:w="0" w:type="auto"/>
          </w:tcPr>
          <w:p w14:paraId="5C60018C" w14:textId="77777777" w:rsidR="005D3DB2" w:rsidRDefault="00000000">
            <w:pPr>
              <w:pStyle w:val="Compact"/>
            </w:pPr>
            <w:r>
              <w:t xml:space="preserve">K3. Chưa đo rủi ro lựa chọn mô hình theo chế độ cho dịch vụ phân bổ danh mục tự động</w:t>
            </w:r>
          </w:p>
        </w:tc>
      </w:tr>
      <w:tr w:rsidR="005D3DB2" w14:paraId="12EB891D" w14:textId="77777777">
        <w:trPr>
          <w:cantSplit/>
        </w:trPr>
        <w:tc>
          <w:tcPr>
            <w:tcW w:w="0" w:type="auto"/>
          </w:tcPr>
          <w:p w14:paraId="2246DA5E" w14:textId="77777777" w:rsidR="005D3DB2" w:rsidRDefault="00000000">
            <w:pPr>
              <w:pStyle w:val="Compact"/>
            </w:pPr>
            <w:r>
              <w:t xml:space="preserve">Rủi ro mô hình (Boucher và cộng sự, 2014; Danielsson và cộng sự, 2016)</w:t>
            </w:r>
          </w:p>
        </w:tc>
        <w:tc>
          <w:tcPr>
            <w:tcW w:w="0" w:type="auto"/>
          </w:tcPr>
          <w:p w14:paraId="133402BF" w14:textId="77777777" w:rsidR="005D3DB2" w:rsidRDefault="00000000">
            <w:pPr>
              <w:pStyle w:val="Compact"/>
            </w:pPr>
            <w:r>
              <w:t xml:space="preserve">Đo rủi ro mô hình của các mô hình dự báo rủi ro thị trường và rủi ro hệ thống</w:t>
            </w:r>
          </w:p>
        </w:tc>
        <w:tc>
          <w:tcPr>
            <w:tcW w:w="0" w:type="auto"/>
          </w:tcPr>
          <w:p w14:paraId="4D5A0E83" w14:textId="77777777" w:rsidR="005D3DB2" w:rsidRDefault="00000000">
            <w:pPr>
              <w:pStyle w:val="Compact"/>
            </w:pPr>
            <w:r>
              <w:t xml:space="preserve">K4. Chưa có chuẩn công bố mô hình cho dịch vụ đầu tư số ở Việt Nam</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w:t>
      </w:r>
      <w:r>
        <w:t xml:space="preserve">(A), (B) và (1)–(6)</w:t>
      </w:r>
      <w:r>
        <w:t xml:space="preserv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chất lượng thị trường và dịch vụ đầu tư, phần quyết định sức hấp dẫn của một trung tâm tài chính chuyên mảng, chưa được đo cho Hà Nội. 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sức hấp dẫn và sức cạnh tranh của trung tâm tài chính, trong đó các trung tâm chuyên môn hóa theo mảng hoạt động (Yao, 2012). Khối thứ hai là lý thuyết về thanh khoản và thông tin trên thị trường, trong đó phi thanh khoản và chất lượng công bố thông tin ảnh hưởng tới chi phí giao dịch và tốc độ giá phản ánh thông tin (Amihud, 2002). Khối thứ ba là lý thuyết danh mục có sai số ước lượng (Markowitz, 1952; Michaud, 1989; Kan và Zhou, 2007) và lý thuyết quyết định dưới bất định mô hình (Gilboa và Schmeidler, 1989; Hansen và Sargent, 2008), làm nền cho thước đo rủi ro lựa chọn mô hình của dịch vụ phân bổ tự động. Mô hình chuyển chế độ (Hamilton, 1989) nối ba khối: chất lượng thị trường và chất lượng quyết định danh mục được xét riêng ở chế độ bình thường và chế độ căng thẳng.</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cho câu hỏi 2 và câu hỏi 3; câu hỏi 1 và câu hỏi 4 dùng phân tích so sánh và tổng hợp, không kiểm định giả thuyết.</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 xml:space="preserve">, tỷ lệ 0–1)</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Dịch vụ phân bổ tự động</w:t>
                              </w:r>
                            </w:p>
                            <w:p w14:paraId="49860FDE" w14:textId="77777777" w:rsidR="005D3DB2" w:rsidRDefault="00000000">
                              <w:pPr>
                                <w:jc w:val="center"/>
                              </w:pPr>
                              <w:r>
                                <w:rPr>
                                  <w:color w:val="000000"/>
                                  <w:sz w:val="22"/>
                                  <w:szCs w:val="22"/>
                                </w:rPr>
                                <w:t xml:space="preserve">Mức hối tiếc R</w:t>
                              </w:r>
                              <w:r>
                                <w:rPr>
                                  <w:color w:val="000000"/>
                                  <w:sz w:val="22"/>
                                  <w:szCs w:val="22"/>
                                  <w:vertAlign w:val="subscript"/>
                                </w:rPr>
                                <w:t xml:space="preserve">t</w:t>
                              </w:r>
                              <w:r>
                                <w:rPr>
                                  <w:color w:val="000000"/>
                                  <w:sz w:val="22"/>
                                  <w:szCs w:val="22"/>
                                </w:rPr>
                                <w:t xml:space="preserve"> (H</w:t>
                              </w:r>
                              <w:r>
                                <w:rPr>
                                  <w:color w:val="000000"/>
                                  <w:sz w:val="22"/>
                                  <w:szCs w:val="22"/>
                                  <w:vertAlign w:val="subscript"/>
                                </w:rPr>
                                <w:t xml:space="preserve">1</w:t>
                              </w:r>
                              <w:r>
                                <w:rPr>
                                  <w:color w:val="000000"/>
                                  <w:sz w:val="22"/>
                                  <w:szCs w:val="22"/>
                                </w:rPr>
                                <w:t xml:space="preserve">)</w:t>
                              </w:r>
                            </w:p>
                            <w:p w14:paraId="371B959C" w14:textId="77777777" w:rsidR="005D3DB2" w:rsidRDefault="00000000">
                              <w:pPr>
                                <w:jc w:val="center"/>
                              </w:pPr>
                              <w:r>
                                <w:rPr>
                                  <w:color w:val="000000"/>
                                  <w:sz w:val="22"/>
                                  <w:szCs w:val="22"/>
                                </w:rPr>
                                <w:t xml:space="preserve">Hồ sơ rủi ro nhà đầu tư</w:t>
                              </w:r>
                            </w:p>
                            <w:p w14:paraId="384752F8" w14:textId="77777777" w:rsidR="005D3DB2" w:rsidRDefault="00000000">
                              <w:pPr>
                                <w:jc w:val="center"/>
                              </w:pPr>
                              <w:r>
                                <w:rPr>
                                  <w:color w:val="000000"/>
                                  <w:sz w:val="22"/>
                                  <w:szCs w:val="22"/>
                                </w:rPr>
                                <w:t xml:space="preserve">Bảy động cơ phân bổ</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Mô hình cho Hà Nội</w:t>
                              </w:r>
                            </w:p>
                            <w:p w14:paraId="480DA60B" w14:textId="77777777" w:rsidR="005D3DB2" w:rsidRDefault="00000000">
                              <w:pPr>
                                <w:jc w:val="center"/>
                              </w:pPr>
                              <w:r>
                                <w:rPr>
                                  <w:color w:val="000000"/>
                                  <w:sz w:val="22"/>
                                  <w:szCs w:val="22"/>
                                </w:rPr>
                                <w:t xml:space="preserve">Trung tâm chuyên mảng</w:t>
                              </w:r>
                            </w:p>
                            <w:p w14:paraId="4EA7D195" w14:textId="77777777" w:rsidR="005D3DB2" w:rsidRDefault="00000000">
                              <w:pPr>
                                <w:jc w:val="center"/>
                              </w:pPr>
                              <w:r>
                                <w:rPr>
                                  <w:color w:val="000000"/>
                                  <w:sz w:val="22"/>
                                  <w:szCs w:val="22"/>
                                </w:rPr>
                                <w:t xml:space="preserve">Chuẩn công bố mô hình</w:t>
                              </w:r>
                            </w:p>
                            <w:p w14:paraId="172015F3" w14:textId="77777777" w:rsidR="005D3DB2" w:rsidRDefault="00000000">
                              <w:pPr>
                                <w:jc w:val="center"/>
                              </w:pPr>
                              <w:r>
                                <w:rPr>
                                  <w:color w:val="000000"/>
                                  <w:sz w:val="22"/>
                                  <w:szCs w:val="22"/>
                                </w:rPr>
                                <w:t xml:space="preserve">Hạ tầng dữ liệu (câu hỏi 1, 4)</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Chất lượng thị trường HNX</w:t>
                              </w:r>
                            </w:p>
                            <w:p w14:paraId="5C4E84DB" w14:textId="77777777" w:rsidR="005D3DB2" w:rsidRDefault="00000000">
                              <w:pPr>
                                <w:jc w:val="center"/>
                              </w:pPr>
                              <w:r>
                                <w:rPr>
                                  <w:color w:val="000000"/>
                                  <w:sz w:val="22"/>
                                  <w:szCs w:val="22"/>
                                </w:rPr>
                                <w:t xml:space="preserve">Thanh khoản (H</w:t>
                              </w:r>
                              <w:r>
                                <w:rPr>
                                  <w:color w:val="000000"/>
                                  <w:sz w:val="22"/>
                                  <w:szCs w:val="22"/>
                                  <w:vertAlign w:val="subscript"/>
                                </w:rPr>
                                <w:t xml:space="preserve">2</w:t>
                              </w:r>
                              <w:r>
                                <w:rPr>
                                  <w:color w:val="000000"/>
                                  <w:sz w:val="22"/>
                                  <w:szCs w:val="22"/>
                                </w:rPr>
                                <w:t xml:space="preserve">)</w:t>
                              </w:r>
                            </w:p>
                            <w:p w14:paraId="4B4BBD72" w14:textId="77777777" w:rsidR="005D3DB2" w:rsidRDefault="00000000">
                              <w:pPr>
                                <w:jc w:val="center"/>
                              </w:pPr>
                              <w:r>
                                <w:rPr>
                                  <w:color w:val="000000"/>
                                  <w:sz w:val="22"/>
                                  <w:szCs w:val="22"/>
                                </w:rPr>
                                <w:t xml:space="preserve">Hiệu quả thông tin (H</w:t>
                              </w:r>
                              <w:r>
                                <w:rPr>
                                  <w:color w:val="000000"/>
                                  <w:sz w:val="22"/>
                                  <w:szCs w:val="22"/>
                                  <w:vertAlign w:val="subscript"/>
                                </w:rPr>
                                <w:t xml:space="preserve">2</w:t>
                              </w:r>
                              <w:r>
                                <w:rPr>
                                  <w:color w:val="000000"/>
                                  <w:sz w:val="22"/>
                                  <w:szCs w:val="22"/>
                                </w:rPr>
                                <w:t xml:space="preserve">)</w:t>
                              </w:r>
                            </w:p>
                            <w:p w14:paraId="33AF89DE" w14:textId="77777777" w:rsidR="005D3DB2" w:rsidRDefault="00000000">
                              <w:pPr>
                                <w:jc w:val="center"/>
                              </w:pPr>
                              <w:r>
                                <w:rPr>
                                  <w:color w:val="000000"/>
                                  <w:sz w:val="22"/>
                                  <w:szCs w:val="22"/>
                                </w:rPr>
                                <w:t xml:space="preserve">Minh bạch công bố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 xml:space="preserve">Quy tắc chuyển chế độ</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r>
                                <w:rPr>
                                  <w:b/>
                                  <w:bCs/>
                                  <w:sz w:val="22"/>
                                  <w:szCs w:val="22"/>
                                </w:rPr>
                                <w:t>H</w:t>
                              </w:r>
                              <w:r>
                                <w:rPr>
                                  <w:b/>
                                  <w:bCs/>
                                  <w:sz w:val="22"/>
                                  <w:szCs w:val="22"/>
                                  <w:vertAlign w:val="subscript"/>
                                </w:rPr>
                                <w:t>1</w:t>
                              </w: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r>
                                <w:rPr>
                                  <w:b/>
                                  <w:bCs/>
                                  <w:sz w:val="22"/>
                                  <w:szCs w:val="22"/>
                                </w:rPr>
                                <w:t>H</w:t>
                              </w:r>
                              <w:r>
                                <w:rPr>
                                  <w:b/>
                                  <w:bCs/>
                                  <w:sz w:val="22"/>
                                  <w:szCs w:val="22"/>
                                  <w:vertAlign w:val="subscript"/>
                                </w:rPr>
                                <w:t>3</w:t>
                              </w: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 xml:space="preserve">, tỷ lệ 0–1)</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Dịch vụ phân bổ tự động</w:t>
                        </w:r>
                      </w:p>
                      <w:p w14:paraId="49860FDE" w14:textId="77777777" w:rsidR="005D3DB2" w:rsidRDefault="00000000">
                        <w:pPr>
                          <w:jc w:val="center"/>
                        </w:pPr>
                        <w:r>
                          <w:rPr>
                            <w:color w:val="000000"/>
                            <w:sz w:val="22"/>
                            <w:szCs w:val="22"/>
                          </w:rPr>
                          <w:t xml:space="preserve">Mức hối tiếc R</w:t>
                        </w:r>
                        <w:r>
                          <w:rPr>
                            <w:color w:val="000000"/>
                            <w:sz w:val="22"/>
                            <w:szCs w:val="22"/>
                            <w:vertAlign w:val="subscript"/>
                          </w:rPr>
                          <w:t xml:space="preserve">t</w:t>
                        </w:r>
                        <w:r>
                          <w:rPr>
                            <w:color w:val="000000"/>
                            <w:sz w:val="22"/>
                            <w:szCs w:val="22"/>
                          </w:rPr>
                          <w:t xml:space="preserve"> (H</w:t>
                        </w:r>
                        <w:r>
                          <w:rPr>
                            <w:color w:val="000000"/>
                            <w:sz w:val="22"/>
                            <w:szCs w:val="22"/>
                            <w:vertAlign w:val="subscript"/>
                          </w:rPr>
                          <w:t xml:space="preserve">1</w:t>
                        </w:r>
                        <w:r>
                          <w:rPr>
                            <w:color w:val="000000"/>
                            <w:sz w:val="22"/>
                            <w:szCs w:val="22"/>
                          </w:rPr>
                          <w:t xml:space="preserve">)</w:t>
                        </w:r>
                      </w:p>
                      <w:p w14:paraId="371B959C" w14:textId="77777777" w:rsidR="005D3DB2" w:rsidRDefault="00000000">
                        <w:pPr>
                          <w:jc w:val="center"/>
                        </w:pPr>
                        <w:r>
                          <w:rPr>
                            <w:color w:val="000000"/>
                            <w:sz w:val="22"/>
                            <w:szCs w:val="22"/>
                          </w:rPr>
                          <w:t xml:space="preserve">Hồ sơ rủi ro nhà đầu tư</w:t>
                        </w:r>
                      </w:p>
                      <w:p w14:paraId="384752F8" w14:textId="77777777" w:rsidR="005D3DB2" w:rsidRDefault="00000000">
                        <w:pPr>
                          <w:jc w:val="center"/>
                        </w:pPr>
                        <w:r>
                          <w:rPr>
                            <w:color w:val="000000"/>
                            <w:sz w:val="22"/>
                            <w:szCs w:val="22"/>
                          </w:rPr>
                          <w:t xml:space="preserve">Bảy động cơ phân bổ</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Mô hình cho Hà Nội</w:t>
                        </w:r>
                      </w:p>
                      <w:p w14:paraId="480DA60B" w14:textId="77777777" w:rsidR="005D3DB2" w:rsidRDefault="00000000">
                        <w:pPr>
                          <w:jc w:val="center"/>
                        </w:pPr>
                        <w:r>
                          <w:rPr>
                            <w:color w:val="000000"/>
                            <w:sz w:val="22"/>
                            <w:szCs w:val="22"/>
                          </w:rPr>
                          <w:t xml:space="preserve">Trung tâm chuyên mảng</w:t>
                        </w:r>
                      </w:p>
                      <w:p w14:paraId="4EA7D195" w14:textId="77777777" w:rsidR="005D3DB2" w:rsidRDefault="00000000">
                        <w:pPr>
                          <w:jc w:val="center"/>
                        </w:pPr>
                        <w:r>
                          <w:rPr>
                            <w:color w:val="000000"/>
                            <w:sz w:val="22"/>
                            <w:szCs w:val="22"/>
                          </w:rPr>
                          <w:t xml:space="preserve">Chuẩn công bố mô hình</w:t>
                        </w:r>
                      </w:p>
                      <w:p w14:paraId="172015F3" w14:textId="77777777" w:rsidR="005D3DB2" w:rsidRDefault="00000000">
                        <w:pPr>
                          <w:jc w:val="center"/>
                        </w:pPr>
                        <w:r>
                          <w:rPr>
                            <w:color w:val="000000"/>
                            <w:sz w:val="22"/>
                            <w:szCs w:val="22"/>
                          </w:rPr>
                          <w:t xml:space="preserve">Hạ tầng dữ liệu (câu hỏi 1, 4)</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Chất lượng thị trường HNX</w:t>
                        </w:r>
                      </w:p>
                      <w:p w14:paraId="5C4E84DB" w14:textId="77777777" w:rsidR="005D3DB2" w:rsidRDefault="00000000">
                        <w:pPr>
                          <w:jc w:val="center"/>
                        </w:pPr>
                        <w:r>
                          <w:rPr>
                            <w:color w:val="000000"/>
                            <w:sz w:val="22"/>
                            <w:szCs w:val="22"/>
                          </w:rPr>
                          <w:t xml:space="preserve">Thanh khoản (H</w:t>
                        </w:r>
                        <w:r>
                          <w:rPr>
                            <w:color w:val="000000"/>
                            <w:sz w:val="22"/>
                            <w:szCs w:val="22"/>
                            <w:vertAlign w:val="subscript"/>
                          </w:rPr>
                          <w:t xml:space="preserve">2</w:t>
                        </w:r>
                        <w:r>
                          <w:rPr>
                            <w:color w:val="000000"/>
                            <w:sz w:val="22"/>
                            <w:szCs w:val="22"/>
                          </w:rPr>
                          <w:t xml:space="preserve">)</w:t>
                        </w:r>
                      </w:p>
                      <w:p w14:paraId="4B4BBD72" w14:textId="77777777" w:rsidR="005D3DB2" w:rsidRDefault="00000000">
                        <w:pPr>
                          <w:jc w:val="center"/>
                        </w:pPr>
                        <w:r>
                          <w:rPr>
                            <w:color w:val="000000"/>
                            <w:sz w:val="22"/>
                            <w:szCs w:val="22"/>
                          </w:rPr>
                          <w:t xml:space="preserve">Hiệu quả thông tin (H</w:t>
                        </w:r>
                        <w:r>
                          <w:rPr>
                            <w:color w:val="000000"/>
                            <w:sz w:val="22"/>
                            <w:szCs w:val="22"/>
                            <w:vertAlign w:val="subscript"/>
                          </w:rPr>
                          <w:t xml:space="preserve">2</w:t>
                        </w:r>
                        <w:r>
                          <w:rPr>
                            <w:color w:val="000000"/>
                            <w:sz w:val="22"/>
                            <w:szCs w:val="22"/>
                          </w:rPr>
                          <w:t xml:space="preserve">)</w:t>
                        </w:r>
                      </w:p>
                      <w:p w14:paraId="33AF89DE" w14:textId="77777777" w:rsidR="005D3DB2" w:rsidRDefault="00000000">
                        <w:pPr>
                          <w:jc w:val="center"/>
                        </w:pPr>
                        <w:r>
                          <w:rPr>
                            <w:color w:val="000000"/>
                            <w:sz w:val="22"/>
                            <w:szCs w:val="22"/>
                          </w:rPr>
                          <w:t xml:space="preserve">Minh bạch công bố (H</w:t>
                        </w:r>
                        <w:r>
                          <w:rPr>
                            <w:color w:val="000000"/>
                            <w:sz w:val="22"/>
                            <w:szCs w:val="22"/>
                            <w:vertAlign w:val="subscript"/>
                          </w:rPr>
                          <w:t xml:space="preserve">4</w:t>
                        </w:r>
                        <w:r>
                          <w:rPr>
                            <w:color w:val="000000"/>
                            <w:sz w:val="22"/>
                            <w:szCs w:val="22"/>
                          </w:rPr>
                          <w:t xml:space="preserve">)</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 xml:space="preserve">Quy tắc chuyển chế độ</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r>
                          <w:rPr>
                            <w:b/>
                            <w:bCs/>
                            <w:sz w:val="22"/>
                            <w:szCs w:val="22"/>
                          </w:rPr>
                          <w:t>H</w:t>
                        </w:r>
                        <w:r>
                          <w:rPr>
                            <w:b/>
                            <w:bCs/>
                            <w:sz w:val="22"/>
                            <w:szCs w:val="22"/>
                            <w:vertAlign w:val="subscript"/>
                          </w:rPr>
                          <w:t>1</w:t>
                        </w: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r>
                          <w:rPr>
                            <w:b/>
                            <w:bCs/>
                            <w:sz w:val="22"/>
                            <w:szCs w:val="22"/>
                          </w:rPr>
                          <w:t>H</w:t>
                        </w:r>
                        <w:r>
                          <w:rPr>
                            <w:b/>
                            <w:bCs/>
                            <w:sz w:val="22"/>
                            <w:szCs w:val="22"/>
                            <w:vertAlign w:val="subscript"/>
                          </w:rPr>
                          <w:t>3</w:t>
                        </w:r>
                      </w:p>
                    </w:txbxContent>
                  </v:textbox>
                </v:rect>
                <w10:anchorlock/>
              </v:group>
            </w:pict>
          </mc:Fallback>
        </mc:AlternateContent>
      </w:r>
    </w:p>
    <w:p w14:paraId="55D04186" w14:textId="77777777" w:rsidR="005D3DB2" w:rsidRDefault="00000000">
      <w:pPr>
        <w:pStyle w:val="FigureCaption"/>
      </w:pPr>
      <w:r>
        <w:t xml:space="preserve">Hình 1. Khung phân tích chất lượng thị trường, dịch vụ đầu tư số và mô hình trung tâm tài chính cho Hà Nội</w:t>
      </w:r>
    </w:p>
    <w:p w14:paraId="316E836D" w14:textId="77777777" w:rsidR="005D3DB2" w:rsidRDefault="00000000">
      <w:pPr>
        <w:pStyle w:val="SourceNote"/>
      </w:pPr>
      <w:r>
        <w:t xml:space="preserve">Nguồn: Thí sinh đề xuất. Ghi chú: H</w:t>
      </w:r>
      <w:r>
        <w:rPr>
          <w:vertAlign w:val="subscript"/>
        </w:rPr>
        <w:t xml:space="preserve">1</w:t>
      </w:r>
      <w:r>
        <w:t xml:space="preserve"> và H</w:t>
      </w:r>
      <w:r>
        <w:rPr>
          <w:vertAlign w:val="subscript"/>
        </w:rPr>
        <w:t xml:space="preserve">3</w:t>
      </w:r>
      <w:r>
        <w:t xml:space="preserve"> xét dịch vụ phân bổ tự động theo chế độ; H</w:t>
      </w:r>
      <w:r>
        <w:rPr>
          <w:vertAlign w:val="subscript"/>
        </w:rPr>
        <w:t xml:space="preserve">2</w:t>
      </w:r>
      <w:r>
        <w:t xml:space="preserve"> và H</w:t>
      </w:r>
      <w:r>
        <w:rPr>
          <w:vertAlign w:val="subscript"/>
        </w:rPr>
        <w:t xml:space="preserve">4</w:t>
      </w:r>
      <w:r>
        <w:t xml:space="preserve"> xét chất lượng thị trường do HNX vận hành; khối bên phải là đầu ra cho câu hỏi 1 và câu hỏi 4. Các mũi tên sẽ được vẽ lại bằng SmartArt ở bản sau.</w:t>
      </w:r>
    </w:p>
    <w:p w14:paraId="77B4CCF4" w14:textId="77777777" w:rsidR="005D3DB2" w:rsidRDefault="00000000">
      <w:pPr>
        <w:pStyle w:val="BodyText"/>
      </w:pPr>
      <w:r>
        <w:t xml:space="preserve">Theo Hình 1, chế độ thị trường là biến điều kiện chung. H</w:t>
      </w:r>
      <w:r>
        <w:rPr>
          <w:vertAlign w:val="subscript"/>
        </w:rPr>
        <w:t xml:space="preserve">2</w:t>
      </w:r>
      <w:r>
        <w:t xml:space="preserve"> và H</w:t>
      </w:r>
      <w:r>
        <w:rPr>
          <w:vertAlign w:val="subscript"/>
        </w:rPr>
        <w:t xml:space="preserve">4</w:t>
      </w:r>
      <w:r>
        <w:t xml:space="preserve"> xét chất lượng thị trường do HNX vận hành: thanh khoản và hiệu quả thông tin thay đổi thế nào giữa hai chế độ, và mức minh bạch công bố có liên hệ thế nào với chúng. H</w:t>
      </w:r>
      <w:r>
        <w:rPr>
          <w:vertAlign w:val="subscript"/>
        </w:rPr>
        <w:t xml:space="preserve">1</w:t>
      </w:r>
      <w:r>
        <w:t xml:space="preserve"> và H</w:t>
      </w:r>
      <w:r>
        <w:rPr>
          <w:vertAlign w:val="subscript"/>
        </w:rPr>
        <w:t xml:space="preserve">3</w:t>
      </w:r>
      <w:r>
        <w:t xml:space="preserve"> xét dịch vụ phân bổ danh mục tự động: rủi ro lựa chọn mô hình giữa hai chế độ và các cơ chế giảm rủi ro này. Kết quả của hai nhánh là đầu vào cho đề xuất mô hình trung tâm chuyên mảng, chuẩn công bố và hạ tầng dữ liệu ở câu hỏi 1 và câu hỏi 4.</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H</w:t>
            </w:r>
            <w:r>
              <w:rPr>
                <w:vertAlign w:val="subscript"/>
              </w:rPr>
              <w:t>1</w:t>
            </w:r>
            <w:r>
              <w:t xml:space="preserve">: </w:t>
            </w:r>
            <w:r>
              <w:t xml:space="preserve">Rủi ro lựa chọn mô hình của dịch vụ phân bổ tự động ở chế độ căng thẳng cao hơn ở chế độ bình thường (câu hỏi 3)</w:t>
            </w:r>
          </w:p>
        </w:tc>
        <w:tc>
          <w:tcPr>
            <w:tcW w:w="0" w:type="auto"/>
          </w:tcPr>
          <w:p w14:paraId="56712C73" w14:textId="77777777" w:rsidR="005D3DB2" w:rsidRDefault="00000000">
            <w:pPr>
              <w:pStyle w:val="Compact"/>
            </w:pPr>
            <w:r>
              <w:t xml:space="preserve">Kết quả chính: mức hối tiếc (chênh lệch lợi suất tương đương chắc chắn giữa mô hình tốt nhất sau thực tế và mô hình chọn trước). </w:t>
            </w:r>
            <w:r>
              <w:t xml:space="preserve">Kết quả phụ (chỉ báo bất định mô hình): độ phân tán mô hình</w:t>
            </w:r>
            <w:r>
              <w:t xml:space="preserve">, kích thước tập tin cậy mô hình</w:t>
            </w:r>
          </w:p>
        </w:tc>
        <w:tc>
          <w:tcPr>
            <w:tcW w:w="0" w:type="auto"/>
          </w:tcPr>
          <w:p w14:paraId="4EC31B5B" w14:textId="77777777" w:rsidR="005D3DB2" w:rsidRDefault="00000000">
            <w:pPr>
              <w:pStyle w:val="Compact"/>
            </w:pPr>
            <w:r>
              <w:t>Danielsson và cộng sự (2016); Hansen và cộng sự (2011)</w:t>
            </w:r>
          </w:p>
        </w:tc>
      </w:tr>
      <w:tr w:rsidR="005D3DB2" w14:paraId="6435461D" w14:textId="77777777">
        <w:trPr>
          <w:cantSplit/>
        </w:trPr>
        <w:tc>
          <w:tcPr>
            <w:tcW w:w="0" w:type="auto"/>
          </w:tcPr>
          <w:p w14:paraId="6BA2CDB6" w14:textId="77777777" w:rsidR="005D3DB2" w:rsidRDefault="00000000">
            <w:pPr>
              <w:pStyle w:val="Compact"/>
            </w:pPr>
            <w:r>
              <w:t xml:space="preserve">H</w:t>
            </w:r>
            <w:r>
              <w:rPr>
                <w:vertAlign w:val="subscript"/>
              </w:rPr>
              <w:t xml:space="preserve">2</w:t>
            </w:r>
            <w:r>
              <w:t xml:space="preserve">: Ở chế độ căng thẳng, thanh khoản và hiệu quả thông tin của cổ phiếu do HNX vận hành suy giảm, và mức suy giảm lớn hơn so với cổ phiếu HOSE (câu hỏi 2)</w:t>
            </w:r>
          </w:p>
        </w:tc>
        <w:tc>
          <w:tcPr>
            <w:tcW w:w="0" w:type="auto"/>
          </w:tcPr>
          <w:p w14:paraId="5FBABE0B" w14:textId="77777777" w:rsidR="005D3DB2" w:rsidRDefault="00000000">
            <w:pPr>
              <w:pStyle w:val="Compact"/>
            </w:pPr>
            <w:r>
              <w:t xml:space="preserve">Độ phi thanh khoản Amihud; tỷ lệ ngày lợi suất bằng 0; chênh lệch mua–bán ước lượng; tỷ số phương sai; độ trễ phản ánh thông tin</w:t>
            </w:r>
          </w:p>
        </w:tc>
        <w:tc>
          <w:tcPr>
            <w:tcW w:w="0" w:type="auto"/>
          </w:tcPr>
          <w:p w14:paraId="1A19A0A9" w14:textId="77777777" w:rsidR="005D3DB2" w:rsidRDefault="00000000">
            <w:pPr>
              <w:pStyle w:val="Compact"/>
            </w:pPr>
            <w:r>
              <w:t xml:space="preserve">Amihud (2002); Bai và Perron (1998); Hamilton (1989)</w:t>
            </w:r>
          </w:p>
        </w:tc>
      </w:tr>
      <w:tr w:rsidR="005D3DB2" w14:paraId="51BB94A0" w14:textId="77777777">
        <w:trPr>
          <w:cantSplit/>
        </w:trPr>
        <w:tc>
          <w:tcPr>
            <w:tcW w:w="0" w:type="auto"/>
          </w:tcPr>
          <w:p w14:paraId="6ACFB4C1" w14:textId="77777777" w:rsidR="005D3DB2" w:rsidRDefault="00000000">
            <w:pPr>
              <w:pStyle w:val="Compact"/>
            </w:pPr>
            <w:r>
              <w:t>H</w:t>
            </w:r>
            <w:r>
              <w:rPr>
                <w:vertAlign w:val="subscript"/>
              </w:rPr>
              <w:t>3</w:t>
            </w:r>
            <w:r>
              <w:t xml:space="preserve">: Ở chế độ căng thẳng, sau chi phí giao dịch, </w:t>
            </w:r>
            <w:r>
              <w:t xml:space="preserve">các cơ chế giảm thiểu (kết hợp mô hình, danh mục vững chắc, quy tắc chuyển chế độ) cho lợi suất tương đương chắc chắn cao hơn, mức hối tiếc thấp hơn và độ sụt giảm tối đa không cao hơn </w:t>
            </w:r>
            <w:r>
              <w:t xml:space="preserve">so với chọn một mô hình, với từng hồ sơ rủi ro của nhà đầu tư (câu hỏi 3)</w:t>
            </w:r>
          </w:p>
        </w:tc>
        <w:tc>
          <w:tcPr>
            <w:tcW w:w="0" w:type="auto"/>
          </w:tcPr>
          <w:p w14:paraId="3D56315F" w14:textId="77777777" w:rsidR="005D3DB2" w:rsidRDefault="00000000">
            <w:pPr>
              <w:pStyle w:val="Compact"/>
            </w:pPr>
            <w:r>
              <w:t>Lợi suất tương đương chắc chắn; mức hối tiếc; độ sụt giảm tối đa; giá trị thiệt hại kỳ vọng mức 95%; vòng quay</w:t>
            </w:r>
          </w:p>
        </w:tc>
        <w:tc>
          <w:tcPr>
            <w:tcW w:w="0" w:type="auto"/>
          </w:tcPr>
          <w:p w14:paraId="2EB0DA83" w14:textId="77777777" w:rsidR="005D3DB2" w:rsidRDefault="00000000">
            <w:pPr>
              <w:pStyle w:val="Compact"/>
            </w:pPr>
            <w:r>
              <w:t>Hoeting và cộng sự (1999); Garlappi và cộng sự (2007); Rapach và cộng sự (2010)</w:t>
            </w:r>
          </w:p>
        </w:tc>
      </w:tr>
      <w:tr w:rsidR="005D3DB2" w14:paraId="001DB05F" w14:textId="77777777">
        <w:trPr>
          <w:cantSplit/>
        </w:trPr>
        <w:tc>
          <w:tcPr>
            <w:tcW w:w="0" w:type="auto"/>
          </w:tcPr>
          <w:p w14:paraId="2441B171" w14:textId="77777777" w:rsidR="005D3DB2" w:rsidRDefault="00000000">
            <w:pPr>
              <w:pStyle w:val="Compact"/>
            </w:pPr>
            <w:r>
              <w:t xml:space="preserve">H</w:t>
            </w:r>
            <w:r>
              <w:rPr>
                <w:vertAlign w:val="subscript"/>
              </w:rPr>
              <w:t xml:space="preserve">4</w:t>
            </w:r>
            <w:r>
              <w:t xml:space="preserve">: Cổ phiếu có mức minh bạch công bố cao hơn có thanh khoản và hiệu quả thông tin cao hơn, và suy giảm ít hơn ở chế độ căng thẳng (câu hỏi 2)</w:t>
            </w:r>
          </w:p>
        </w:tc>
        <w:tc>
          <w:tcPr>
            <w:tcW w:w="0" w:type="auto"/>
          </w:tcPr>
          <w:p w14:paraId="0741046F" w14:textId="77777777" w:rsidR="005D3DB2" w:rsidRDefault="00000000">
            <w:pPr>
              <w:pStyle w:val="Compact"/>
            </w:pPr>
            <w:r>
              <w:t xml:space="preserve">Chỉ số minh bạch: số ngày trễ hạn công bố báo cáo tài chính, vi phạm công bố thông tin bị xử phạt, ý kiến kiểm toán ngoại trừ</w:t>
            </w:r>
          </w:p>
        </w:tc>
        <w:tc>
          <w:tcPr>
            <w:tcW w:w="0" w:type="auto"/>
          </w:tcPr>
          <w:p w14:paraId="6453DBA2" w14:textId="77777777" w:rsidR="005D3DB2" w:rsidRDefault="00000000">
            <w:pPr>
              <w:pStyle w:val="Compact"/>
            </w:pPr>
            <w:r>
              <w:t xml:space="preserve">Amihud (2002); Yao (2012); [CẦN BỔ SUNG TÀI LIỆU về công bố thông tin]</w:t>
            </w:r>
          </w:p>
        </w:tc>
      </w:tr>
    </w:tbl>
    <w:p w14:paraId="0E03C9D0" w14:textId="77777777" w:rsidR="005D3DB2" w:rsidRDefault="00000000">
      <w:pPr>
        <w:pStyle w:val="SourceNote"/>
      </w:pPr>
      <w:r>
        <w:t xml:space="preserve">Nguồn: Thí sinh đề xuất. Ghi chú: biến chế độ là tỷ lệ số ngày trong cửa sổ có xác suất lọc của chế độ căng thẳng vượt ngưỡng đăng ký trước (mục 4.3.7).</w:t>
      </w:r>
    </w:p>
    <w:p w14:paraId="4261E4DD" w14:textId="77777777" w:rsidR="005D3DB2" w:rsidRDefault="00000000">
      <w:pPr>
        <w:pStyle w:val="BodyText"/>
      </w:pPr>
      <w:r>
        <w:t xml:space="preserve">Giả thuyết H</w:t>
      </w:r>
      <w:r>
        <w:rPr>
          <w:vertAlign w:val="subscript"/>
        </w:rPr>
        <w:t xml:space="preserve">2</w:t>
      </w:r>
      <w:r>
        <w:t xml:space="preserve"> và H</w:t>
      </w:r>
      <w:r>
        <w:rPr>
          <w:vertAlign w:val="subscript"/>
        </w:rPr>
        <w:t xml:space="preserve">4</w:t>
      </w:r>
      <w:r>
        <w:t xml:space="preserve"> trả lời câu hỏi 2; H</w:t>
      </w:r>
      <w:r>
        <w:rPr>
          <w:vertAlign w:val="subscript"/>
        </w:rPr>
        <w:t xml:space="preserve">1</w:t>
      </w:r>
      <w:r>
        <w:t xml:space="preserve"> và H</w:t>
      </w:r>
      <w:r>
        <w:rPr>
          <w:vertAlign w:val="subscript"/>
        </w:rPr>
        <w:t xml:space="preserve">3</w:t>
      </w:r>
      <w:r>
        <w:t xml:space="preserve"> trả lời câu hỏi 3. Mỗi giả thuyết đi kèm một khả năng đối lập mà đề tài kiểm định cùng lúc. Với H</w:t>
      </w:r>
      <w:r>
        <w:rPr>
          <w:vertAlign w:val="subscript"/>
        </w:rPr>
        <w:t xml:space="preserve">1</w:t>
      </w:r>
      <w:r>
        <w:t xml:space="preserve">, rủi ro lựa chọn mô hình có thể không đổi theo chế độ, hoặc quy tắc 1/N có thể thắng ổn định (DeMiguel và cộng sự, 2009; Pflug và cộng sự, 2012). Với H</w:t>
      </w:r>
      <w:r>
        <w:rPr>
          <w:vertAlign w:val="subscript"/>
        </w:rPr>
        <w:t xml:space="preserve">2</w:t>
      </w:r>
      <w:r>
        <w:t xml:space="preserve">, thanh khoản của hai sàn có thể cùng giảm như nhau, nên chênh lệch giữa hai sàn không đổi. Với H</w:t>
      </w:r>
      <w:r>
        <w:rPr>
          <w:vertAlign w:val="subscript"/>
        </w:rPr>
        <w:t xml:space="preserve">3</w:t>
      </w:r>
      <w:r>
        <w:t xml:space="preserve">, kết hợp mô hình có thể không vượt việc chọn một mô hình sau chi phí giao dịch và sau hiệu chỉnh thiên lệch chọn lọc (Bailey và López de Prado, 2014). Với H</w:t>
      </w:r>
      <w:r>
        <w:rPr>
          <w:vertAlign w:val="subscript"/>
        </w:rPr>
        <w:t xml:space="preserve">4</w:t>
      </w:r>
      <w:r>
        <w:t xml:space="preserve">, liên hệ giữa minh bạch và thanh khoản có thể chỉ phản ánh quy mô doanh nghiệp, nên đề tài kiểm soát quy mô và ngành.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chủ yếu dùng phương pháp định lượng trên dữ liệu công khai và dữ liệu thương mại; câu hỏi 1 và câu hỏi 4 dùng thêm phân tích văn bản chính sách và so sánh trường hợp. Dữ liệu thị trường gồm giá mở cửa, cao nhất, thấp nhất và đóng cửa điều chỉnh theo ngày, khối lượng và giá trị giao dịch của cổ phiếu niêm yết trên HNX, UPCoM và HOSE, kể cả những mã đã hủy niêm yết; các chỉ số VN-Index và HNX-Index; và lợi suất trái phiếu chính phủ kỳ hạn một năm làm lãi suất phi rủi ro. Dữ liệu minh bạch gồm thời điểm công bố báo cáo tài chính trên cổng công bố thông tin, các quyết định xử phạt vi phạm công bố thông tin của Ủy ban Chứng khoán Nhà nước và ý kiến kiểm toán trong báo cáo tài chính [CẦN XÁC MINH nguồn và điều khoản sử dụng]. Nguồn dữ liệu là HNX, HOSE và một nhà cung cấp dữ liệu thương mại. Với dịch vụ phân bổ tự động, tại mỗi ngày tái cân bằng, rổ cổ phiếu gồm 30 mã có giá trị giao dịch bình quân 3 tháng lớn nhất trên HOSE và HNX, xác định chỉ bằng dữ liệu có tại ngày đó để tránh thiên lệch sống sót và thiên lệch nhìn trước. Hồ sơ rủi ro nhà đầu tư lấy từ các bảng hỏi đánh giá rủi ro công khai của công ty chứng khoán; đề tài không khảo sát người thật. Dữ liệu không chứa thông tin cá nhân.</w:t>
      </w:r>
    </w:p>
    <w:p w14:paraId="46027A87" w14:textId="77777777" w:rsidR="005D3DB2" w:rsidRDefault="00000000">
      <w:pPr>
        <w:pStyle w:val="BodyText"/>
      </w:pPr>
      <w:r>
        <w:t xml:space="preserve">Giai đoạn mẫu dự kiến từ 2007 đến 2026, tùy dữ liệu sẵn có, </w:t>
      </w:r>
      <w:r>
        <w:t xml:space="preserve">bao gồm khủng hoảng</w:t>
      </w:r>
      <w:r>
        <w:t xml:space="preserve"> tài chính toàn cầu, đại dịch COVID-19 năm 2020 và </w:t>
      </w:r>
      <w:r>
        <w:t xml:space="preserve">biến cố thị trường trái phiếu doanh nghiệp từ quý 4/2022</w:t>
      </w:r>
      <w:r>
        <w:t xml:space="preserve">. Đề tài ước lượng chế độ trên dữ liệu ngày, ma trận hiệp phương sai trên dữ liệu tuần, và tái cân bằng danh mục hằng tháng. Kiểm tra độ bền dùng dữ liệu tháng, tái cân bằng hằng quý, và bổ sung chỉ số giá tiêu dùng, tỷ giá đô la Mỹ so với đồng Việt Nam và lãi suất điều hành </w:t>
      </w:r>
      <w:r>
        <w:t xml:space="preserve">làm biến kiểm soát. </w:t>
      </w:r>
      <w:r>
        <w:t xml:space="preserve">Phân tích thị trường ở câu hỏi 2 dùng toàn bộ cổ phiếu HNX và UPCoM đủ điều kiện giao dịch, so sánh với HOSE; tệp đăng ký trước ghi chỉ số dùng để xác định chế độ cho từng sàn.</w:t>
      </w:r>
    </w:p>
    <w:p w14:paraId="68236F46" w14:textId="77777777" w:rsidR="005D3DB2" w:rsidRDefault="00000000">
      <w:pPr>
        <w:pStyle w:val="Heading3"/>
      </w:pPr>
      <w:bookmarkStart w:id="17" w:name="_Toc242353134"/>
      <w:bookmarkStart w:id="18" w:name="xác-định-chế-độ-thị-trường"/>
      <w:bookmarkEnd w:id="16"/>
      <w:r>
        <w:t>4.3.4. Xác định chế độ thị trường</w:t>
      </w:r>
      <w:bookmarkEnd w:id="17"/>
    </w:p>
    <w:p w14:paraId="3270AF4A" w14:textId="77777777" w:rsidR="005D3DB2" w:rsidRDefault="00000000">
      <w:pPr>
        <w:pStyle w:val="FirstParagraph"/>
      </w:pPr>
      <w:r>
        <w:t xml:space="preserve">Đề tài ước lượng mô hình chuyển chế độ Markov (Hamilton, 1989) </w:t>
      </w:r>
      <w:r>
        <w:t xml:space="preserve">cho lợi suất VN-Index và HNX-Index theo cửa sổ mở rộng</w:t>
      </w:r>
      <w:r>
        <w:t xml:space="preserve">. Tại mỗi ngày tái cân bằng, đề tài ước lượng lại tham số chỉ bằng dữ liệu đến ngày đó và từ đó tính xác suất lọc tại ngày </w:t>
      </w:r>
      <w:r>
        <w:rPr>
          <w:i/>
          <w:iCs/>
        </w:rPr>
        <w:t>t</w:t>
      </w:r>
      <w:r>
        <w:t xml:space="preserve">, tức xác suất thị trường đang ở chế độ căng thẳng; </w:t>
      </w:r>
      <w:r>
        <w:t xml:space="preserve">cách làm này loại thiên lệch nhìn trước trong ước lượng tham số chế độ.</w:t>
      </w:r>
      <w:r>
        <w:t xml:space="preserve"> Số chế độ (hai hoặc ba) do tiêu chí thông tin quyết định trên giai đoạn ước lượng ban đầu và cố định khi đăng ký trước. Chế độ căng thẳng là chế độ có phương sai điều kiện cao nhất và lợi suất kỳ vọng thấp hơn chế độ bình thường. Kiểm định điểm gãy của Bai và Perron (1998) trên toàn mẫu chỉ dùng để mô tả và đối chiếu với các cú sốc lịch sử, không dùng làm biến chế độ trong kiểm định giả thuyết. Kiểm tra độ bền dùng các định nghĩa chế độ thay thế theo ngưỡng sụt giảm và theo biến động thực hiện.</w:t>
      </w:r>
    </w:p>
    <w:p>
      <w:pPr>
        <w:pStyle w:val="FirstParagraph"/>
      </w:pPr>
      <w:r>
        <w:t xml:space="preserve">Chỉ báo chất lượng thị trường (câu hỏi 2). Với mỗi cổ phiếu và mỗi tháng, đề tài tính ba nhóm chỉ báo. Nhóm thanh khoản gồm độ phi thanh khoản Amihud (Amihud, 2002), vòng quay, tỷ lệ ngày có lợi suất bằng 0 và chênh lệch mua–bán ước lượng từ giá cao nhất và thấp nhất trong ngày [CẦN BỔ SUNG TÀI LIỆU]. Nhóm hiệu quả thông tin gồm tỷ số phương sai, tự tương quan lợi suất và độ trễ phản ánh thông tin vào giá [CẦN BỔ SUNG TÀI LIỆU]. Nhóm minh bạch gồm số ngày trễ hạn công bố báo cáo tài chính, việc bị xử phạt vì vi phạm công bố thông tin và ý kiến kiểm toán ngoại trừ. Đề tài kiểm định H</w:t>
      </w:r>
      <w:r>
        <w:rPr>
          <w:vertAlign w:val="subscript"/>
        </w:rPr>
        <w:t xml:space="preserve">2</w:t>
      </w:r>
      <w:r>
        <w:t xml:space="preserve"> bằng hồi quy dữ liệu bảng của chỉ báo thanh khoản và hiệu quả theo biến chế độ, biến sàn (HNX hoặc HOSE) và tương tác của hai biến, có kiểm soát quy mô và ngành, với sai số chuẩn cụm theo cổ phiếu và theo thời gian. H</w:t>
      </w:r>
      <w:r>
        <w:rPr>
          <w:vertAlign w:val="subscript"/>
        </w:rPr>
        <w:t xml:space="preserve">2</w:t>
      </w:r>
      <w:r>
        <w:t xml:space="preserve"> được ủng hộ khi hệ số tương tác giữa chế độ căng thẳng và sàn HNX cho thấy mức suy giảm lớn hơn, với khoảng tin cậy loại trừ 0. Đề tài kiểm định H</w:t>
      </w:r>
      <w:r>
        <w:rPr>
          <w:vertAlign w:val="subscript"/>
        </w:rPr>
        <w:t xml:space="preserve">4</w:t>
      </w:r>
      <w:r>
        <w:t xml:space="preserve"> bằng cùng phương trình, thay biến sàn bằng chỉ số minh bạch. Điểm gãy cấu trúc của thanh khoản được xác định bằng phương pháp của Bai và Perron (1998) để đối chiếu với các chế độ.</w:t>
      </w:r>
    </w:p>
    <w:p w14:paraId="28018213" w14:textId="77777777" w:rsidR="005D3DB2" w:rsidRDefault="00000000">
      <w:pPr>
        <w:pStyle w:val="Heading3"/>
      </w:pPr>
      <w:r>
        <w:t xml:space="preserve">4.3.5. Động cơ phân bổ của dịch vụ đầu tư số và đăng ký trước</w:t>
      </w:r>
    </w:p>
    <w:p w14:paraId="5CE7E4B9" w14:textId="77777777" w:rsidR="005D3DB2" w:rsidRDefault="00000000">
      <w:pPr>
        <w:pStyle w:val="FirstParagraph"/>
      </w:pPr>
      <w:r>
        <w:t xml:space="preserve">Dịch vụ phân bổ tự động trong đề tài chọn giữa bảy mô hình phân bổ, gọi là bảy động cơ ứng viên (Bảng 3).</w:t>
      </w:r>
      <w:r>
        <w:t xml:space="preserve"> </w:t>
      </w:r>
      <w:r>
        <w:t xml:space="preserve">Tập này đại diện cho sáu hướng tiếp cận được trích ở mục 4.2: quy tắc đơn giản, co rút hiệp phương sai, tối ưu hóa cổ điển, mô hình Black–Litterman, danh mục vững chắc và quy tắc chuyển chế độ; đây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Tập mô hình danh mục cạnh tranh</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w:t>
            </w:r>
            <w:r>
              <w:t xml:space="preserve">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w:t>
            </w:r>
            <w:r>
              <w:t xml:space="preserve">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w:t>
            </w:r>
            <w:r>
              <w:t xml:space="preserve">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Giảm tỷ trọng rủi ro theo xác suất chế độ căng thẳng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ước lượng trên cửa sổ 104 tuần và tái cân bằng hằng tháng; kết quả được báo cáo cả khi có và khi không có M5.</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giai đoạn 2019–2025, </w:t>
      </w:r>
      <w:r>
        <w:t xml:space="preserve">gồm hai giai đoạn có biến cố thị trường lớn, trong bài báo</w:t>
      </w:r>
      <w:r>
        <w:t xml:space="preserve"> Nguyen và Nguyen (2026a), </w:t>
      </w:r>
      <w:r>
        <w:t xml:space="preserve">nên thí sinh không thể khẳng định mình chưa từng thấy kết quả</w:t>
      </w:r>
      <w:r>
        <w:t xml:space="preserve"> ở chế độ căng thẳng. Để kiểm soát rủi ro này, thí sinh đăng ký trước kế hoạch phân tích </w:t>
      </w:r>
      <w:r>
        <w:t xml:space="preserve">trên </w:t>
      </w:r>
      <w:r>
        <w:t xml:space="preserve">nền tảng OSF Registries của Open Science Framework</w:t>
      </w:r>
      <w:r>
        <w:t xml:space="preserve"> vào quý 4 năm thứ nhất, </w:t>
      </w:r>
      <w:r>
        <w:t xml:space="preserve">ở dạng khóa có dấu thời gian</w:t>
      </w:r>
      <w:r>
        <w:t xml:space="preserve">, </w:t>
      </w:r>
      <w:r>
        <w:t xml:space="preserve">và khai rõ những kết quả đã xem. Bước ước lượng thử ở năm thứ nhất chỉ dùng để kiểm tra dữ liệu, thời gian tính và khả năng hội tụ; bước này không tính lợi suất tương đương chắc chắn, mức hối tiếc hay thứ hạng mô hình theo chế độ, và mọi đầu ra đã xem được liệt kê trong tệp đăng ký.</w:t>
      </w:r>
      <w:r>
        <w:t xml:space="preserve"> </w:t>
      </w:r>
      <w:r>
        <w:t xml:space="preserve">Tệp đăng ký cố định các nội dung sau: độ dài các cửa sổ; định nghĩa cửa sổ căng thẳng; giá trị cơ sở của chi phí giao dịch; độ dài khối và số lần tái lấy mẫu bootstrap;</w:t>
      </w:r>
      <w:r>
        <w:t xml:space="preserve"> siêu tham số của bảy mô hình; số chế độ và ngưỡng xác suất lọc; mức ý nghĩa; nhóm kết quả chính; quy tắc hiệu chỉnh so sánh bội; quy tắc gọi một kết quả là chưa đủ cơ sở kết luận.</w:t>
      </w:r>
      <w:r>
        <w:t xml:space="preserve"> </w:t>
      </w:r>
      <w:r>
        <w:t xml:space="preserve">Tệp đăng ký cũng ghi đặc tả của các hồi quy cho H</w:t>
      </w:r>
      <w:r>
        <w:rPr>
          <w:vertAlign w:val="subscript"/>
        </w:rPr>
        <w:t xml:space="preserve">2</w:t>
      </w:r>
      <w:r>
        <w:t xml:space="preserve"> và H</w:t>
      </w:r>
      <w:r>
        <w:rPr>
          <w:vertAlign w:val="subscript"/>
        </w:rPr>
        <w:t xml:space="preserve">4</w:t>
      </w:r>
      <w:r>
        <w:t xml:space="preserve"> và định nghĩa chỉ số minh bạch. Dữ liệu phát sinh sau ngày đăng ký được báo cáo riêng như phần cập nhật sau đăng ký, và thí sinh ghi mọi thay đổi sau đó là lệch khỏi kế hoạch.</w:t>
      </w:r>
    </w:p>
    <w:p w14:paraId="574C7F46" w14:textId="77777777" w:rsidR="005D3DB2" w:rsidRDefault="00000000">
      <w:pPr>
        <w:pStyle w:val="Heading3"/>
      </w:pPr>
      <w:bookmarkStart w:id="22" w:name="_Toc242353136"/>
      <w:bookmarkStart w:id="23" w:name="thước-đo-rủi-ro-lựa-chọn-mô-hình"/>
      <w:bookmarkEnd w:id="20"/>
      <w:r>
        <w:t>4.3.6. Thước đo rủi ro lựa chọn mô hình</w:t>
      </w:r>
      <w:bookmarkEnd w:id="22"/>
    </w:p>
    <w:p w14:paraId="2CBB84AF" w14:textId="77777777" w:rsidR="005D3DB2" w:rsidRDefault="00000000">
      <w:pPr>
        <w:pStyle w:val="FirstParagraph"/>
      </w:pPr>
      <w:r>
        <w:t xml:space="preserve">Đề tài đo hiệu quả ngoài mẫu của mỗi mô hình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w:t>
      </w:r>
      <w:r>
        <w:t xml:space="preserve">(thường xảy ra ở chế độ căng thẳng)</w:t>
      </w:r>
      <w:r>
        <w:t xml:space="preserve"> </w:t>
      </w:r>
      <w:r>
        <w:t xml:space="preserve">danh mục biến động mạnh hơn lại</w:t>
      </w:r>
      <w:r>
        <w:t xml:space="preserve"> có tỷ số Sharpe ít âm hơn. Đề tài chỉ báo cáo tỷ số Sharpe như thước đo phụ, ở các cửa sổ có lợi suất vượt trội trung bình dương.</w:t>
      </w:r>
    </w:p>
    <w:p w14:paraId="30DE08C3" w14:textId="77777777" w:rsidR="005D3DB2" w:rsidRDefault="00000000">
      <w:pPr>
        <w:pStyle w:val="BodyText"/>
      </w:pPr>
      <w:r>
        <w:t xml:space="preserve">Gọi </w:t>
      </w:r>
      <w:r>
        <w:rPr>
          <w:i/>
          <w:iCs/>
        </w:rPr>
        <w:t>M</w:t>
      </w:r>
      <w:r>
        <w:t xml:space="preserve"> là tập bảy mô hình ở Bảng 3, với |</w:t>
      </w:r>
      <w:r>
        <w:rPr>
          <w:i/>
          <w:iCs/>
        </w:rPr>
        <w:t>M</w:t>
      </w:r>
      <w:r>
        <w:t xml:space="preserve">| = 7. Trên cửa sổ đánh giá kết thúc tại thời điểm </w:t>
      </w:r>
      <w:r>
        <w:rPr>
          <w:i/>
          <w:iCs/>
        </w:rPr>
        <w:t>t</w:t>
      </w:r>
      <w:r>
        <w:t xml:space="preserve">, gọi </w:t>
      </w:r>
      <m:oMath>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oMath>
      <w:r>
        <w:t xml:space="preserve"> và </w:t>
      </w:r>
      <m:oMath>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là trung bình và phương sai lợi suất danh mục sau chi phí của mô hình </w:t>
      </w:r>
      <w:r>
        <w:rPr>
          <w:i/>
          <w:iCs/>
        </w:rPr>
        <w:t>m</w:t>
      </w:r>
      <w:r>
        <w:t xml:space="preserve">, và </w:t>
      </w:r>
      <m:oMath>
        <m:r>
          <w:rPr>
            <w:rFonts w:ascii="Cambria Math" w:hAnsi="Cambria Math"/>
          </w:rPr>
          <m:t>ρ</m:t>
        </m:r>
      </m:oMath>
      <w:r>
        <w:t xml:space="preserve"> là hệ số ngại rủi ro ấn định trước (giá trị cơ sở bằng 5, kiểm tra độ nhạy ở 3 và 10). Lợi suất tương đương chắc chắn của mô hình </w:t>
      </w:r>
      <w:r>
        <w:rPr>
          <w:i/>
          <w:iCs/>
        </w:rPr>
        <w:t>m</w:t>
      </w:r>
      <w:r>
        <w:t xml:space="preserve"> là:</w:t>
      </w:r>
    </w:p>
    <w:p w14:paraId="5102FCDA" w14:textId="77777777" w:rsidR="005D3DB2" w:rsidRDefault="00000000">
      <w:pPr>
        <w:pStyle w:val="Equation"/>
      </w:pPr>
      <w:r>
        <w:tab/>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w:t>
        <w:tab/>
        <w:t>(1)</w:t>
      </w:r>
    </w:p>
    <w:p w14:paraId="7AAB1321" w14:textId="77777777" w:rsidR="005D3DB2" w:rsidRDefault="00000000">
      <w:pPr>
        <w:pStyle w:val="BodyText"/>
      </w:pPr>
      <w:r>
        <w:t xml:space="preserve">Trung bình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các mô hình và độ phân tán mô hình, tức độ lệch chuẩn mẫu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w:t>
      </w:r>
      <w:r>
        <w:rPr>
          <w:i/>
          <w:iCs/>
        </w:rPr>
        <w:t>m</w:t>
      </w:r>
      <w:r>
        <w:t>, lần lượt là:</w:t>
      </w:r>
    </w:p>
    <w:p w14:paraId="1009D453" w14:textId="77777777" w:rsidR="005D3DB2" w:rsidRDefault="00000000">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e>
        </m:nary>
      </m:oMath>
      <w:r>
        <w:t xml:space="preserve"> </w:t>
        <w:tab/>
        <w:t>(2)</w:t>
      </w:r>
    </w:p>
    <w:p w14:paraId="642326E0" w14:textId="77777777" w:rsidR="005D3DB2" w:rsidRDefault="00000000">
      <w:pPr>
        <w:pStyle w:val="Equation"/>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e>
                    </m:d>
                  </m:e>
                  <m:sup>
                    <m:r>
                      <w:rPr>
                        <w:rFonts w:ascii="Cambria Math" w:hAnsi="Cambria Math"/>
                      </w:rPr>
                      <m:t>2</m:t>
                    </m:r>
                  </m:sup>
                </m:sSup>
              </m:e>
            </m:nary>
          </m:e>
        </m:rad>
      </m:oMath>
      <w:r>
        <w:t xml:space="preserve"> </w:t>
        <w:tab/>
        <w:t>(3)</w:t>
      </w:r>
    </w:p>
    <w:p w14:paraId="33975E74" w14:textId="77777777" w:rsidR="005D3DB2" w:rsidRDefault="00000000">
      <w:pPr>
        <w:pStyle w:val="BodyText"/>
      </w:pPr>
      <w:r>
        <w:t xml:space="preserve">Tại đầu mỗi cửa sổ đánh giá, nhà đầu tư chọn trước mô hình </w:t>
      </w:r>
      <w:r>
        <w:rPr>
          <w:i/>
          <w:iCs/>
        </w:rPr>
        <w:t>c</w:t>
      </w:r>
      <w:r>
        <w:t xml:space="preserve"> có lợi suất tương đương chắc chắn ngoài mẫu cao nhất trong 36 tháng liền trước; </w:t>
      </w:r>
      <w:r>
        <w:t xml:space="preserve">mô hình chọn trước được tái cân bằng hằng tháng</w:t>
      </w:r>
      <w:r>
        <w:t xml:space="preserve"> trong suốt cửa sổ. Gọi </w:t>
      </w:r>
      <m:oMath>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là lợi suất tương đương chắc chắn của mô hình chọn trước và </w:t>
      </w:r>
      <m:oMath>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oMath>
      <w:r>
        <w:t xml:space="preserve"> là giá trị cao nhất trong </w:t>
      </w:r>
      <w:r>
        <w:rPr>
          <w:i/>
          <w:iCs/>
        </w:rPr>
        <w:t>M</w:t>
      </w:r>
      <w:r>
        <w:t xml:space="preserve"> nhìn lại sau thực tế. Mức hối tiếc là:</w:t>
      </w:r>
    </w:p>
    <w:p w14:paraId="510F6460" w14:textId="77777777" w:rsidR="005D3DB2" w:rsidRDefault="00000000">
      <w:pPr>
        <w:pStyle w:val="Equation"/>
      </w:pPr>
      <w:r>
        <w:tab/>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w:t>
        <w:tab/>
        <w:t>(4)</w:t>
      </w:r>
    </w:p>
    <w:p w14:paraId="568AA7B7" w14:textId="77777777" w:rsidR="005D3DB2" w:rsidRDefault="00000000">
      <w:pPr>
        <w:pStyle w:val="BodyText"/>
      </w:pPr>
      <w:r>
        <w:t xml:space="preserve">Vì mô hình chọn trước thuộc </w:t>
      </w:r>
      <w:r>
        <w:rPr>
          <w:i/>
          <w:iCs/>
        </w:rPr>
        <w:t>M</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không âm. Kỳ vọng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vẫn dương khi các mô hình ngang chất lượng, vì giá trị lớn nhất của các đại lượng có nhiễu tăng theo phương sai của nhiễu. </w:t>
      </w:r>
      <w:r>
        <w:t xml:space="preserve">Để giảm tác động cơ học này</w:t>
      </w:r>
      <w:r>
        <w:t xml:space="preserve">, phân tích chính chia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cho sai số chuẩn bootstrap của chênh lệch lợi suất tương đương chắc chắn </w:t>
      </w:r>
      <w:r>
        <w:t xml:space="preserve">giữa các mô hình trong cùng cửa sổ. Mức hối tiếc được định nghĩa tương đối với tập M và quy tắc chọn theo 36 tháng trước; kết luận về rủi ro lựa chọn mô hình chỉ có hiệu lực trong phạm vi tập và quy tắc này.</w:t>
      </w:r>
      <w:r>
        <w:t xml:space="preserve"> </w:t>
      </w:r>
      <w:r>
        <w:t xml:space="preserve">Đại lượng thứ ba, dùng như chỉ báo bất định mô hình, là kích thước tập tin cậy mô hình</w:t>
      </w:r>
      <w:r>
        <w:t xml:space="preserve"> (Hansen và cộng sự, 2011) ở mức ý nghĩa 10% ấn định trước. Tập tin cậy lớn hơn ở chế độ căng thẳng có thể chỉ phản ánh dữ liệu kém thông tin hơn, nên đề tài </w:t>
      </w:r>
      <w:r>
        <w:t xml:space="preserve">báo cáo kích thước tập như một chỉ báo mô tả</w:t>
      </w:r>
      <w:r>
        <w:t xml:space="preserve">, kèm số quan sát và công suất kiểm định.</w:t>
      </w:r>
    </w:p>
    <w:p w14:paraId="20510674" w14:textId="77777777" w:rsidR="005D3DB2" w:rsidRDefault="00000000">
      <w:pPr>
        <w:pStyle w:val="BodyText"/>
      </w:pPr>
      <w:r>
        <w:t xml:space="preserve">Đề tài ước lượng mỗi mô hình trên cửa sổ 104 tuần và đánh giá trên cửa sổ 6 tháng không chồng lấn (Hình 2); cửa sổ trượt hằng tháng chỉ dùng cho phân tích phụ. Vì cần 104 tuần để ước lượng và 36 tháng kết quả ngoài mẫu để chọn mô hình, </w:t>
      </w:r>
      <w:r>
        <w:t xml:space="preserve">mức hối tiếc chỉ tính được từ khoảng năm thứ sáu của mẫu.</w:t>
      </w:r>
      <w:r>
        <w:t xml:space="preserve"> Với mẫu 2007–2026, đề tài dự kiến có </w:t>
      </w:r>
      <w:r>
        <w:t xml:space="preserve">khoảng 28 cửa sổ đánh giá không chồng lấn</w:t>
      </w:r>
      <w:r>
        <w:t xml:space="preserve">, và khủng hoảng tài chính toàn cầu chủ yếu phục vụ ước lượng chế độ. Trước khi ước lượng các mô hình danh mục, </w:t>
      </w:r>
      <w:r>
        <w:t xml:space="preserve">đề tài báo cáo số giai đoạn căng thẳng rơi vào phần mẫu tính được mức hối tiếc; ước tính này chỉ dùng chuỗi VN-Index nên không làm lộ kết quả danh mục. Với khoảng 28 cửa sổ, số cửa sổ căng thẳng có thể dưới ngưỡng 10 nêu ở mục 4.3.10, nên khả năng kết quả H</w:t>
      </w:r>
      <w:r>
        <w:rPr>
          <w:vertAlign w:val="subscript"/>
        </w:rPr>
        <w:t xml:space="preserve">1</w:t>
      </w:r>
      <w:r>
        <w:t xml:space="preserve"> được ghi là chưa đủ cơ sở kết luận là cao. Vì vậy, trước khi đăng ký, thí sinh ước tính số cửa sổ căng thẳng, mô phỏng công suất kiểm định và ghi phương án xử lý vào tệp đăng ký.</w:t>
      </w:r>
      <w:r>
        <w:t xml:space="preserve"> Các độ dài cửa sổ là giá trị dự kiến, và </w:t>
      </w:r>
      <w:r>
        <w:t xml:space="preserve">thí sinh nêu căn cứ cho các giá trị này trong tệp đăng ký, dựa trên tài liệu và trên bước ước lượng thử chỉ dùng để kiểm tra dữ liệu (mục 4.3.5).</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ngoài mẫu cao nhất trong 36 tháng liền trước; mức hối tiếc R</w:t>
                              </w:r>
                              <w:r>
                                <w:rPr>
                                  <w:sz w:val="19"/>
                                  <w:szCs w:val="19"/>
                                  <w:vertAlign w:val="subscript"/>
                                </w:rPr>
                                <w:t>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ngoài mẫu cao nhất trong 36 tháng liền trước; mức hối tiếc R</w:t>
                        </w:r>
                        <w:r>
                          <w:rPr>
                            <w:sz w:val="19"/>
                            <w:szCs w:val="19"/>
                            <w:vertAlign w:val="subscript"/>
                          </w:rPr>
                          <w:t>t</w:t>
                        </w:r>
                        <w:r>
                          <w:rPr>
                            <w:sz w:val="19"/>
                            <w:szCs w:val="19"/>
                          </w:rPr>
                          <w:t xml:space="preserve"> tính trên cửa sổ đó</w:t>
                        </w: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Cửa sổ ước lượng, cửa sổ đánh giá và thời điểm chọn mô hình</w:t>
      </w:r>
      <w:bookmarkEnd w:id="24"/>
    </w:p>
    <w:p w14:paraId="14F05B63" w14:textId="77777777" w:rsidR="005D3DB2" w:rsidRDefault="00000000">
      <w:pPr>
        <w:pStyle w:val="SourceNote"/>
      </w:pPr>
      <w:r>
        <w:t>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14:paraId="51E54989" w14:textId="77777777" w:rsidR="005D3DB2" w:rsidRDefault="00000000">
      <w:pPr>
        <w:pStyle w:val="FirstParagraph"/>
      </w:pPr>
      <w:r>
        <w:t xml:space="preserve">Đề tài so sánh lợi suất tương đương chắc chắn và tỷ số Sharpe giữa các mô hình bằng khoảng tin cậy bootstrap chuỗi thời gian, lấy mẫu lặp theo khối liên tiếp (Ledoit và Wolf, 2008), và dùng bootstrap khối dừng (Politis và Romano, 1994) cho các hệ số hồi quy. Đề tài hiệu chỉnh thiên lệch chọn lọc </w:t>
      </w:r>
      <w:r>
        <w:t xml:space="preserve">bằng tỷ số Sharpe giảm phát (Bailey</w:t>
      </w:r>
      <w:r>
        <w:t xml:space="preserve"> và López de Prado, 2014). </w:t>
      </w:r>
      <w:r>
        <w:t xml:space="preserve">Để kiểm định H</w:t>
      </w:r>
      <w:r>
        <w:rPr>
          <w:vertAlign w:val="subscript"/>
        </w:rPr>
        <w:t xml:space="preserve">1</w:t>
      </w:r>
      <w:r>
        <w:t xml:space="preserve">, đề tài hồi quy mức hối tiếc và độ phân tán mô hình theo biến chế độ và các biến kiểm soát</w:t>
      </w:r>
      <w:r>
        <w:t xml:space="preserve">, với sai số chuẩn bền vững trước phương sai thay đổi và tự tương quan. Với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hoặc </w:t>
      </w:r>
      <m:oMath>
        <m:sSub>
          <m:sSubPr>
            <m:ctrlPr>
              <w:rPr>
                <w:rFonts w:ascii="Cambria Math" w:hAnsi="Cambria Math"/>
              </w:rPr>
            </m:ctrlPr>
          </m:sSubPr>
          <m:e>
            <m:r>
              <w:rPr>
                <w:rFonts w:ascii="Cambria Math" w:hAnsi="Cambria Math"/>
              </w:rPr>
              <m:t>R</m:t>
            </m:r>
          </m:e>
          <m:sub>
            <m:r>
              <w:rPr>
                <w:rFonts w:ascii="Cambria Math" w:hAnsi="Cambria Math"/>
              </w:rPr>
              <m:t>t</m:t>
            </m:r>
          </m:sub>
        </m:sSub>
      </m:oMath>
      <w:r>
        <w:t>, phương trình ước lượng là:</w:t>
      </w:r>
    </w:p>
    <w:p w14:paraId="6442E4CF" w14:textId="77777777" w:rsidR="005D3DB2" w:rsidRDefault="00000000">
      <w:pPr>
        <w:pStyle w:val="Equation"/>
      </w:pPr>
      <w: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w:t>
        <w:tab/>
        <w:t>(5)</w:t>
      </w:r>
    </w:p>
    <w:p w14:paraId="7550C372" w14:textId="77777777" w:rsidR="005D3DB2" w:rsidRDefault="00000000">
      <w:pPr>
        <w:pStyle w:val="BodyText"/>
      </w:pPr>
      <w:r>
        <w:t xml:space="preserve">Trong phương trình (5), </w:t>
      </w:r>
      <m:oMath>
        <m:r>
          <w:rPr>
            <w:rFonts w:ascii="Cambria Math" w:hAnsi="Cambria Math"/>
          </w:rPr>
          <m:t>α</m:t>
        </m:r>
      </m:oMath>
      <w:r>
        <w:t xml:space="preserve"> là hệ số chặn;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là tỷ lệ số ngày trong cửa sổ có xác suất lọc của chế độ căng thẳng vượt ngưỡng đăng ký trước; </w:t>
      </w:r>
      <m:oMath>
        <m:r>
          <w:rPr>
            <w:rFonts w:ascii="Cambria Math" w:hAnsi="Cambria Math"/>
          </w:rPr>
          <m:t>β</m:t>
        </m:r>
      </m:oMath>
      <w:r>
        <w:t xml:space="preserve"> đo chênh lệch của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t xml:space="preserve">giữa một cửa sổ có tỷ lệ ngày căng thẳng bằng 1 và một cửa sổ có tỷ lệ này bằng 0, </w:t>
      </w:r>
      <w:r>
        <w:t xml:space="preserve">khi các biến kiểm soát giữ cố định</w:t>
      </w:r>
      <w:r>
        <w:t xml:space="preserve">;</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t xml:space="preserve">là vectơ biến kiểm soát</w:t>
      </w:r>
      <w:r>
        <w:t xml:space="preserve"> với vectơ hệ số</w:t>
      </w:r>
      <w:r>
        <w:t xml:space="preserve">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là sai số. </w:t>
      </w:r>
      <w:r>
        <w:t xml:space="preserve">Các biến kiểm soát gồm</w:t>
      </w:r>
      <w:r>
        <w:t xml:space="preserve"> độ phi thanh khoản Amihud (Amihud, 2002), tương quan đuôi và tương quan hiệu chỉnh theo biến động (Longin và Solnik, 2001; Forbes và Rigobon, 2002), và độ phân tán chéo của lợi suất (Christie và Huang, 1995; Chang và cộng sự, 2000). Biến động thực hiện luôn có mặt trong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với vai trò biến kiểm soát.</w:t>
      </w:r>
    </w:p>
    <w:p w14:paraId="3666DBFC" w14:textId="77777777" w:rsidR="005D3DB2" w:rsidRDefault="00000000">
      <w:pPr>
        <w:pStyle w:val="BodyText"/>
      </w:pPr>
      <w:r>
        <w:t xml:space="preserve">Kiểm định H</w:t>
      </w:r>
      <w:r>
        <w:rPr>
          <w:vertAlign w:val="subscript"/>
        </w:rPr>
        <w:t xml:space="preserve">1</w:t>
      </w:r>
      <w:r>
        <w:t xml:space="preserve"> dùng β</w:t>
      </w:r>
      <w:r>
        <w:rPr>
          <w:vertAlign w:val="subscript"/>
        </w:rPr>
        <w:t xml:space="preserve">0</w:t>
      </w:r>
      <w:r>
        <w:t xml:space="preserve">, hệ số chế độ của phương trình (5) khi chưa đưa X</w:t>
      </w:r>
      <w:r>
        <w:rPr>
          <w:vertAlign w:val="subscript"/>
        </w:rPr>
        <w:t xml:space="preserve">t</w:t>
      </w:r>
      <w:r>
        <w:t xml:space="preserve"> vào, vì chế độ căng thẳng được định nghĩa một phần bằng biến động cao; </w:t>
      </w:r>
      <w:r>
        <w:t xml:space="preserve">hệ số khi có X</w:t>
      </w:r>
      <w:r>
        <w:rPr>
          <w:vertAlign w:val="subscript"/>
        </w:rPr>
        <w:t xml:space="preserve">t</w:t>
      </w:r>
      <w:r>
        <w:t xml:space="preserve"> chỉ dùng cho kiểm tra độ bền.</w:t>
      </w:r>
      <w:r>
        <w:t xml:space="preserve"> Để đối chiếu với mức kỳ vọng khi các mô hình ngang chất lượng,</w:t>
      </w:r>
      <w:r>
        <w:t xml:space="preserve"> đề tài hiệu chuẩn</w:t>
      </w:r>
      <w:r>
        <w:t xml:space="preserve"> </w:t>
      </w:r>
      <m:oMath>
        <m:r>
          <w:rPr>
            <w:rFonts w:ascii="Cambria Math" w:hAnsi="Cambria Math"/>
          </w:rPr>
          <m:t>β</m:t>
        </m:r>
      </m:oMath>
      <w:r>
        <w:t xml:space="preserve"> </w:t>
      </w:r>
      <w:r>
        <w:t xml:space="preserve">bằng một phân phối dưới giả thuyết không (null distribution) gồm</w:t>
      </w:r>
      <w:r>
        <w:t xml:space="preserve"> 1.000 lần tái lấy mẫu bootstrap khối chuỗi lợi suất của bảy mô hình. Trước khi tái lấy mẫu, đề tài loại chênh lệch trung bình giữa các mô hình trong từng chế độ nhưng giữ nguyên tương quan chéo và biến động. Đề tài coi H</w:t>
      </w:r>
      <w:r>
        <w:rPr>
          <w:vertAlign w:val="subscript"/>
        </w:rPr>
        <w:t>1</w:t>
      </w:r>
      <w:r>
        <w:t xml:space="preserve"> được ủng hộ khi thỏa đồng thời ba điều kiện: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t xml:space="preserve">dương và có giá trị p tính theo phân phối dưới giả thuyết không nhỏ hơn ngưỡng Holm tương ứng</w:t>
      </w:r>
      <w:r>
        <w:t xml:space="preserve">; khoảng tin cậy bootstrap khối của </w:t>
      </w:r>
      <m:oMath>
        <m:r>
          <w:rPr>
            <w:rFonts w:ascii="Cambria Math" w:hAnsi="Cambria Math"/>
          </w:rPr>
          <m:t>β</m:t>
        </m:r>
      </m:oMath>
      <w:r>
        <w:t xml:space="preserve"> loại trừ 0; và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cùng dấu. Đề tài lặp lại kiểm định trên tập chỉ gồm các mô hình tĩnh M</w:t>
      </w:r>
      <w:r>
        <w:rPr>
          <w:vertAlign w:val="subscript"/>
        </w:rPr>
        <w:t>1</w:t>
      </w:r>
      <w:r>
        <w:t>, M</w:t>
      </w:r>
      <w:r>
        <w:rPr>
          <w:vertAlign w:val="subscript"/>
        </w:rPr>
        <w:t>2</w:t>
      </w:r>
      <w:r>
        <w:t>, M</w:t>
      </w:r>
      <w:r>
        <w:rPr>
          <w:vertAlign w:val="subscript"/>
        </w:rPr>
        <w:t>3</w:t>
      </w:r>
      <w:r>
        <w:t>, M</w:t>
      </w:r>
      <w:r>
        <w:rPr>
          <w:vertAlign w:val="subscript"/>
        </w:rPr>
        <w:t>4</w:t>
      </w:r>
      <w:r>
        <w:t xml:space="preserve"> và M</w:t>
      </w:r>
      <w:r>
        <w:rPr>
          <w:vertAlign w:val="subscript"/>
        </w:rPr>
        <w:t>6</w:t>
      </w:r>
      <w:r>
        <w:t>, để loại tác động của M</w:t>
      </w:r>
      <w:r>
        <w:rPr>
          <w:vertAlign w:val="subscript"/>
        </w:rPr>
        <w:t>5</w:t>
      </w:r>
      <w:r>
        <w:t xml:space="preserve"> và M</w:t>
      </w:r>
      <w:r>
        <w:rPr>
          <w:vertAlign w:val="subscript"/>
        </w:rPr>
        <w:t>7</w:t>
      </w:r>
      <w:r>
        <w:t xml:space="preserve"> vốn chỉ đổi hành vi khi xác suất căng thẳng tăng.</w:t>
      </w:r>
    </w:p>
    <w:p w14:paraId="231217DC" w14:textId="77777777" w:rsidR="005D3DB2" w:rsidRDefault="00000000">
      <w:pPr>
        <w:pStyle w:val="BodyText"/>
      </w:pPr>
      <w:r>
        <w:t xml:space="preserve">Phần chênh lệch giữa hai chế độ gắn với các biến kênh được ước lượng bằng hiệu</w:t>
      </w:r>
      <w:r>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trong đó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là hệ số </w:t>
      </w:r>
      <m:oMath>
        <m:r>
          <w:rPr>
            <w:rFonts w:ascii="Cambria Math" w:hAnsi="Cambria Math"/>
          </w:rPr>
          <m:t>β</m:t>
        </m:r>
      </m:oMath>
      <w:r>
        <w:t xml:space="preserve"> của phương trình (5) khi không có và khi có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t xml:space="preserve">kèm khoảng tin cậy bootstrap khối. Hiệu này là phép phân rã thống kê; nó không đo phần tác động của chế độ truyền qua các kênh. Vì</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phụ thuộc biến động và lợi suất, còn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gồm những biến cùng phụ thuộc biến động, đề tài báo cáo hệ số phóng đại phương sai với ngưỡng 5 ấn định trước. Khi hệ số này vượt ngưỡng, đề tài báo cáo hai phương trình tách riêng và không diễn giải riêng từng hệ số. </w:t>
      </w:r>
      <w:r>
        <w:t xml:space="preserve">Phép phân rã này là phân tích phụ, mô tả mức hệ số chế độ thay đổi khi đưa các biến thị trường vào. Đề tài gọi các kết quả này là liên hệ có điều kiện, không gọi là quan hệ nhân quả.</w:t>
      </w:r>
    </w:p>
    <w:p w14:paraId="082A0713" w14:textId="77777777" w:rsidR="005D3DB2" w:rsidRDefault="00000000">
      <w:pPr>
        <w:pStyle w:val="Heading3"/>
      </w:pPr>
      <w:bookmarkStart w:id="27" w:name="_Toc242353138"/>
      <w:bookmarkStart w:id="28" w:name="cơ-chế-giảm-thiểu"/>
      <w:bookmarkEnd w:id="26"/>
      <w:r>
        <w:t>4.3.8. Cơ chế giảm thiểu</w:t>
      </w:r>
      <w:bookmarkEnd w:id="27"/>
    </w:p>
    <w:p w14:paraId="4F5E2790" w14:textId="77777777" w:rsidR="005D3DB2" w:rsidRDefault="00000000">
      <w:pPr>
        <w:pStyle w:val="FirstParagraph"/>
      </w:pPr>
      <w:r>
        <w:t xml:space="preserve">Đề tài đánh giá ba cơ chế. </w:t>
      </w:r>
      <w:r>
        <w:t xml:space="preserve">Cơ chế (i) là kết hợp mô hình theo trọng số Bayes</w:t>
      </w:r>
      <w:r>
        <w:t xml:space="preserve"> </w:t>
      </w:r>
      <w:r>
        <w:t xml:space="preserve">(Hoeting và cộng sự, 1999; Avramov, 2002); kết hợp đều các mô hình nằm trong tập tin cậy là biến thể kiểm tra độ bền,</w:t>
      </w:r>
      <w:r>
        <w:t xml:space="preserve"> với đối chứng là kết hợp quy tắc 1/N </w:t>
      </w:r>
      <w:r>
        <w:t xml:space="preserve">với quy tắc trung bình–phương sai (Tu</w:t>
      </w:r>
      <w:r>
        <w:t xml:space="preserve"> và Zhou, 2011). </w:t>
      </w:r>
      <w:r>
        <w:t xml:space="preserve">Cơ chế (ii) là danh mục vững chắc (trùng M</w:t>
      </w:r>
      <w:r>
        <w:rPr>
          <w:vertAlign w:val="subscript"/>
        </w:rPr>
        <w:t xml:space="preserve">6</w:t>
      </w:r>
      <w:r>
        <w:t xml:space="preserve">),</w:t>
      </w:r>
      <w:r>
        <w:t xml:space="preserve"> tối ưu hóa cho tình huống xấu nhất trong nhiều niềm tin tiên nghiệm (Garlappi và cộng sự, 2007). </w:t>
      </w:r>
      <w:r>
        <w:t xml:space="preserve">Cơ chế (iii) là quy tắc chuyển chế độ theo Kritzman và cộng sự (2012) (trùng M</w:t>
      </w:r>
      <w:r>
        <w:rPr>
          <w:vertAlign w:val="subscript"/>
        </w:rPr>
        <w:t xml:space="preserve">7</w:t>
      </w:r>
      <w:r>
        <w:t xml:space="preserve">),</w:t>
      </w:r>
      <w:r>
        <w:t xml:space="preserve"> với đối chứng là giá trị của chuyển chế độ trong quyết định danh mục theo Tu (2010). Khi kiểm định H</w:t>
      </w:r>
      <w:r>
        <w:rPr>
          <w:vertAlign w:val="subscript"/>
        </w:rPr>
        <w:t>3</w:t>
      </w:r>
      <w:r>
        <w:t xml:space="preserve">, đề tài loại cơ chế (ii) và (iii) khỏi </w:t>
      </w:r>
      <w:r>
        <w:rPr>
          <w:i/>
          <w:iCs/>
        </w:rPr>
        <w:t>M</w:t>
      </w:r>
      <w:r>
        <w:t xml:space="preserve">, </w:t>
      </w:r>
      <w:r>
        <w:t xml:space="preserve">nên mức hối tiếc của các cơ chế, kể cả cơ chế (i), có thể âm.</w:t>
      </w:r>
    </w:p>
    <w:p w14:paraId="6A2099F9" w14:textId="77777777" w:rsidR="005D3DB2" w:rsidRDefault="00000000">
      <w:pPr>
        <w:pStyle w:val="BodyText"/>
      </w:pPr>
      <w:r>
        <w:t>Tiêu chí đánh giá gồm lợi suất tương đương chắc chắn, mức hối tiếc, độ sụt giảm tối đa (mức giảm lớn nhất từ đỉnh), giá trị thiệt hại kỳ vọng mức 95% (tổn thất trung bình trong 5% số ngày xấu nhất), vòng quay (tỷ lệ danh mục được mua bán lại) và hiệu quả sau chi phí giao dịch. Đề tài tham số hóa chi phí giao dịch và kiểm tra độ nhạy theo tham số này. H</w:t>
      </w:r>
      <w:r>
        <w:rPr>
          <w:vertAlign w:val="subscript"/>
        </w:rPr>
        <w:t>3</w:t>
      </w:r>
      <w:r>
        <w:t xml:space="preserve"> được ủng hộ khi, ở chế độ căng thẳng, cơ chế giảm thiểu cho lợi suất tương đương chắc chắn sau chi phí cao hơn, mức hối tiếc thấp hơn và độ sụt giảm tối đa không cao hơn </w:t>
      </w:r>
      <w:r>
        <w:t xml:space="preserve">so với chọn một mô hình, với khoảng tin cậy bootstrap khối loại trừ 0. Đề tài đánh giá H</w:t>
      </w:r>
      <w:r>
        <w:rPr>
          <w:vertAlign w:val="subscript"/>
        </w:rPr>
        <w:t xml:space="preserve">3</w:t>
      </w:r>
      <w:r>
        <w:t xml:space="preserve"> riêng cho ba hồ sơ rủi ro (thận trọng, cân bằng, tăng trưởng), mỗi hồ sơ ứng với một hệ số ngại rủi ro và một giới hạn tỷ trọng cổ phiếu rút từ các bảng hỏi đánh giá rủi ro công khai.</w:t>
      </w:r>
    </w:p>
    <w:p>
      <w:pPr>
        <w:pStyle w:val="BodyText"/>
      </w:pPr>
      <w:r>
        <w:t xml:space="preserve">Nguyên mẫu dịch vụ phân bổ tự động. Từ kết quả H</w:t>
      </w:r>
      <w:r>
        <w:rPr>
          <w:vertAlign w:val="subscript"/>
        </w:rPr>
        <w:t xml:space="preserve">1</w:t>
      </w:r>
      <w:r>
        <w:t xml:space="preserve"> và H</w:t>
      </w:r>
      <w:r>
        <w:rPr>
          <w:vertAlign w:val="subscript"/>
        </w:rPr>
        <w:t xml:space="preserve">3</w:t>
      </w:r>
      <w:r>
        <w:t xml:space="preserve">, đề tài xây dựng một nguyên mẫu mã nguồn mở gồm bốn mô-đun: (i) xếp hồ sơ rủi ro của nhà đầu tư theo bảng hỏi; (ii) chọn hoặc kết hợp động cơ phân bổ theo xác suất chế độ thị trường; (iii) giám sát định kỳ mức hối tiếc, độ phân tán và tập tin cậy mô hình; (iv) sinh báo cáo công bố cho nhà đầu tư, gồm tập mô hình, quy tắc chọn, giới hạn và mức hối tiếc theo kỳ. Nguyên mẫu chạy trên dữ liệu lịch sử với nhà đầu tư mô phỏng; đề tài không vận hành dịch vụ thương mại và không có khách hàng thật.</w:t>
      </w:r>
    </w:p>
    <w:p>
      <w:pPr>
        <w:pStyle w:val="BodyText"/>
      </w:pPr>
      <w:r>
        <w:t xml:space="preserve">Phương pháp cho câu hỏi 1 và câu hỏi 4. Đề tài xây dựng khung các yếu tố quyết định sức hấp dẫn và sức cạnh tranh của trung tâm tài chính chuyên mảng từ Yao (2012) và các chỉ số trung tâm tài chính quốc tế [CẦN BỔ SUNG TÀI LIỆU], rồi so sánh Hà Nội với Thành phố Hồ Chí Minh và hai đến ba trung tâm trong khu vực bằng dữ liệu công khai và văn bản chính sách. Bằng chứng từ câu hỏi 2 và câu hỏi 3 được đưa vào khung này để đánh giá mảng thị trường và dịch vụ đầu tư của Hà Nội. Đầu ra là đề xuất mô hình trung tâm chuyên mảng, chuẩn công bố mô hình cho dịch vụ đầu tư số và yêu cầu về hạ tầng dữ liệu. Nếu được các tổ chức đồng ý, thí sinh lấy ý kiến chuyên gia không chính thức về các đề xuất này; bước này không phải khảo sát và không dùng để kiểm định giả thuyết [CẦN XÁC NHẬN với người hướng dẫn].</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và xử lý dữ liệu thị trường và dữ liệu công bố; xác định chế độ thị trường; đo chất lượng thị trường và kiểm định H</w:t>
      </w:r>
      <w:r>
        <w:rPr>
          <w:vertAlign w:val="subscript"/>
        </w:rPr>
        <w:t xml:space="preserve">2</w:t>
      </w:r>
      <w:r>
        <w:t xml:space="preserve">, H</w:t>
      </w:r>
      <w:r>
        <w:rPr>
          <w:vertAlign w:val="subscript"/>
        </w:rPr>
        <w:t xml:space="preserve">4</w:t>
      </w:r>
      <w:r>
        <w:t xml:space="preserve">; ước lượng bảy động cơ phân bổ, kiểm định H</w:t>
      </w:r>
      <w:r>
        <w:rPr>
          <w:vertAlign w:val="subscript"/>
        </w:rPr>
        <w:t xml:space="preserve">1</w:t>
      </w:r>
      <w:r>
        <w:t xml:space="preserve">, H</w:t>
      </w:r>
      <w:r>
        <w:rPr>
          <w:vertAlign w:val="subscript"/>
        </w:rPr>
        <w:t xml:space="preserve">3</w:t>
      </w:r>
      <w:r>
        <w:t xml:space="preserve"> và xây dựng nguyên mẫu; tổng hợp đề xuất mô hình trung tâm chuyên mảng cho Hà Nội. Thí sinh đăng ký trước kế hoạch phân tích trước khi ước lượng chính thức ở bước 3 và bước 4.</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Mẫu có ít giai đoạn căng thẳng tách biệt, nên các kiểm định có công suất thấp. Kèm mỗi hệ số, đề tài báo cáo số cửa sổ đánh giá không chồng lấn, số cửa sổ căng thẳng và số giai đoạn căng thẳng tách biệt. Đề tài gọi một cửa sổ là cửa sổ căng thẳng khi biến chế độ S</w:t>
      </w:r>
      <w:r>
        <w:rPr>
          <w:vertAlign w:val="subscript"/>
        </w:rPr>
        <w:t xml:space="preserve">t</w:t>
      </w:r>
      <w:r>
        <w:t xml:space="preserve"> của cửa sổ đó từ 0,5 trở lên; ngưỡng này được ghi vào tệp đăng ký. Khi số cửa sổ căng thẳng dưới 10,</w:t>
      </w:r>
      <w:r>
        <w:t xml:space="preserve"> </w:t>
      </w:r>
      <w:r>
        <w:t xml:space="preserve">đề tài gọi kết quả là chưa đủ cơ sở kết luận, không gọi</w:t>
      </w:r>
      <w:r>
        <w:t xml:space="preserve"> là ủng hộ hay bác bỏ, và đề tài báo cáo kích thước hiệu ứng cùng khoảng tin cậy theo từng giai đoạn. </w:t>
      </w:r>
      <w:r>
        <w:t xml:space="preserve">Đề tài hiệu chỉnh so sánh bội theo Holm (1979) </w:t>
      </w:r>
      <w:r>
        <w:t xml:space="preserve">ở mức 10% cho bốn giả thuyết H</w:t>
      </w:r>
      <w:r>
        <w:rPr>
          <w:vertAlign w:val="subscript"/>
        </w:rPr>
        <w:t xml:space="preserve">1</w:t>
      </w:r>
      <w:r>
        <w:t xml:space="preserve">–H</w:t>
      </w:r>
      <w:r>
        <w:rPr>
          <w:vertAlign w:val="subscript"/>
        </w:rPr>
        <w:t xml:space="preserve">4</w:t>
      </w:r>
      <w:r>
        <w:t xml:space="preserve">.</w:t>
      </w:r>
      <w:r>
        <w:t xml:space="preserve"> </w:t>
      </w:r>
      <w:r>
        <w:t xml:space="preserve">Bản thân việc nhận diện chế độ đã là</w:t>
      </w:r>
      <w:r>
        <w:t xml:space="preserve"> một dạng rủi ro mô hình, nên các định nghĩa chế độ thay thế nằm trong kiểm tra độ bền. Khả năng thực thi danh mục trên HOSE phụ thuộc thanh khoản, nên đề tài dùng rổ cổ phiếu thanh khoản cao và kiểm tra độ nhạy theo chi phí. </w:t>
      </w:r>
      <w:r>
        <w:t xml:space="preserve">Nếu dữ liệu không ủng hộ giả thuyết, đề tài vẫn trả lời được câu hỏi nghiên cứu bằng kích thước hiệu ứng và khoảng tin cậy. Khi đó kết quả hoặc cho thấy chênh lệch giữa hai chế độ nhỏ trong phạm vi khoảng tin cậy, hoặc được ghi là chưa đủ cơ sở kết luận theo quy tắc đã đăng ký. </w:t>
      </w:r>
      <w:r>
        <w:t xml:space="preserve">Đề tài không diễn giải việc thiếu bằng chứng ủng hộ H</w:t>
      </w:r>
      <w:r>
        <w:rPr>
          <w:vertAlign w:val="subscript"/>
        </w:rPr>
        <w:t xml:space="preserve">1</w:t>
      </w:r>
      <w:r>
        <w:t xml:space="preserve"> là bằng chứng rằng rủi ro lựa chọn mô hình không đổi theo chế độ.</w:t>
      </w:r>
    </w:p>
    <w:p w14:paraId="37F1B519" w14:textId="77777777" w:rsidR="005D3DB2" w:rsidRDefault="00000000">
      <w:pPr>
        <w:pStyle w:val="BodyText"/>
      </w:pPr>
      <w:r>
        <w:t xml:space="preserve">Về khả năng thực hiện, thí sinh xác nhận nguồn và độ dài dữ liệu trong quý 1 năm thứ nhất, và thu hẹp rổ cổ phiếu hoặc giai đoạn mẫu nếu dữ liệu không đủ. </w:t>
      </w:r>
      <w:r>
        <w:t xml:space="preserve">Sáu mô hình ở Bảng 3 ước lượng được bằng phần mềm thống kê thông dụng; M5 cần phương pháp Bayes xấp xỉ (xem dưới).</w:t>
      </w:r>
      <w:r>
        <w:t xml:space="preserve"> Thí sinh đã dùng mô hình định giá tài sản vốn có chuyển chế độ và phương pháp tính toán Bayes xấp xỉ kết hợp Monte Carlo chuỗi Markov trong Nguyen và Nguyen (2026a), và </w:t>
      </w:r>
      <w:r>
        <w:t xml:space="preserve">dùng phương pháp Bai–Perron trong một bản thảo đã gửi tạp chí</w:t>
      </w:r>
      <w:r>
        <w:t xml:space="preserve">. Kết quả ước lượng thử ở quý 2 năm thứ nhất sẽ quyết định giữ phương pháp Bayes xấp xỉ hay thay bằng một phương pháp ước lượng nhanh hơn cho M</w:t>
      </w:r>
      <w:r>
        <w:rPr>
          <w:vertAlign w:val="subscript"/>
        </w:rPr>
        <w:t>5</w:t>
      </w:r>
      <w:r>
        <w:t xml:space="preserve">. </w:t>
      </w:r>
      <w:r>
        <w:t xml:space="preserve">Về minh bạch, thí sinh công khai mã nguồn và tệp đăng ký trước trên một kho lưu trữ mở, chậm nhất khi nộp luận án, và mô tả đầy đủ cách xử lý dữ liệu trong luận án. </w:t>
      </w:r>
      <w:r>
        <w:t xml:space="preserve">Phần mã của dịch vụ phân bổ tự động và của bộ chỉ báo chất lượng thị trường được đóng gói thành nguyên mẫu ở mục tiêu (iv) và bộ chỉ báo ở mục tiêu (ii), có tài liệu hướng dẫn.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chất lượng thị trường chứng khoán và dịch vụ đầu tư số với vai trò mảng chuyên môn của Hà Nội trong phát triển trung tâm tài chính và dịch vụ chất lượng cao, cụ thể là thanh khoản, hiệu quả thông tin, minh bạch công bố và rủi ro lựa chọn mô hình của dịch vụ phân bổ danh mục tự động.</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Hà Nội là đối tượng của câu hỏi 1 và câu hỏi 4; thị trường do HNX vận hành (cổ phiếu niêm yết và UPCoM) là đối tượng chính của câu hỏi 2, so sánh với HOSE; dịch vụ phân bổ tự động dùng cổ phiếu trên cả HOSE và HNX.</w:t>
      </w:r>
    </w:p>
    <w:p w14:paraId="4992E0B9" w14:textId="77777777" w:rsidR="005D3DB2" w:rsidRDefault="00000000">
      <w:pPr>
        <w:pStyle w:val="BodyText"/>
      </w:pPr>
      <w:r>
        <w:t xml:space="preserve">+ Phạm vi thời gian: dữ liệu từ 2007 đến 2026, tùy dữ liệu sẵn có; </w:t>
      </w:r>
      <w:r>
        <w:t xml:space="preserve">dữ liệu phát sinh sau ngày đăng ký trước được báo cáo riêng như phần cập nhật sau đăng ký.</w:t>
      </w:r>
    </w:p>
    <w:p w14:paraId="22C3E4D0" w14:textId="77777777" w:rsidR="005D3DB2" w:rsidRDefault="00000000">
      <w:pPr>
        <w:pStyle w:val="BodyText"/>
      </w:pPr>
      <w:r>
        <w:t xml:space="preserve">+ Phạm vi nội dung: danh mục chỉ mua (không bán khống) là cấu hình cơ sở của dịch vụ phân bổ tự động. Phân tích định lượng không xét thị trường trái phiếu và phái sinh; hai thị trường này chỉ được nêu như lợi thế thể chế của Hà Nội ở câu hỏi 1. Đề tài không vận hành dịch vụ thương mại, không khảo sát nhà đầu tư và không quan sát hành vi chọn mô hình của từng tổ chức. Đề tài giao thoa với khoa học quản lý ở phần thiết kế dịch vụ và chính sách, và với tài chính hành vi ở phần hồ sơ rủi ro nhà đầu tư.</w:t>
      </w:r>
    </w:p>
    <w:p w14:paraId="502DBD9A" w14:textId="77777777" w:rsidR="005D3DB2" w:rsidRDefault="00000000">
      <w:pPr>
        <w:pStyle w:val="BodyText"/>
      </w:pPr>
      <w:r>
        <w:t xml:space="preserve">+ Giới hạn khác: kết luận về chất lượng thị trường chỉ áp dụng cho cổ phiếu trên HNX, UPCoM và HOSE trong giai đoạn mẫu; kết luận về dịch vụ phân bổ tự động chỉ áp dụng cho danh mục chỉ mua, tập bảy mô hình và quy tắc chọn đã đăng ký trước; đề xuất mô hình trung tâm chuyên mảng là đề xuất có căn cứ, không phải đánh giá chính sách đã thực hiện.</w:t>
      </w:r>
    </w:p>
    <w:p w14:paraId="05CFA613" w14:textId="77777777" w:rsidR="005D3DB2" w:rsidRDefault="00000000">
      <w:pPr>
        <w:pStyle w:val="BodyText"/>
      </w:pPr>
      <w:r>
        <w:rPr>
          <w:b/>
          <w:bCs/>
        </w:rPr>
        <w:t>Đóng góp dự kiến.</w:t>
      </w:r>
      <w:r>
        <w:t xml:space="preserve"> </w:t>
      </w:r>
      <w:r>
        <w:t xml:space="preserve">Đề tài khác các công trình gần nhất ở ba điểm. So với Yao (2012), đề tài áp dụng khung sức hấp dẫn của trung tâm tài chính cho một thành phố không giữ trung tâm tài chính quốc tế chính thức, và lấy chất lượng thị trường chứng khoán cùng dịch vụ đầu tư số làm mảng chuyên môn. So với các công trình về thị trường Việt Nam (Vo và Phan, 2017; Hoang và Luu, 2024), đề tài xây dựng bộ chỉ báo thanh khoản, hiệu quả và minh bạch theo chế độ cho thị trường do HNX vận hành. So với các công trình danh mục (Ta và Vuong, 2020; Goutte và cộng sự, 2025; Nguyen và Nguyen, 2026a), đề tài đo rủi ro lựa chọn mô hình theo chế độ cho dịch vụ phân bổ tự động và đặt mô hình M</w:t>
      </w:r>
      <w:r>
        <w:rPr>
          <w:vertAlign w:val="subscript"/>
        </w:rPr>
        <w:t xml:space="preserve">5</w:t>
      </w:r>
      <w:r>
        <w:t xml:space="preserve"> của thí sinh cạnh sáu mô hình khác; luận án chỉ dùng kết quả của bài trước làm đối chứng.</w:t>
      </w:r>
    </w:p>
    <w:p w14:paraId="0A22D450" w14:textId="77777777" w:rsidR="005D3DB2" w:rsidRDefault="00000000">
      <w:pPr>
        <w:pStyle w:val="BodyText"/>
      </w:pPr>
      <w:r>
        <w:t xml:space="preserve">Về sản phẩm, đề tài dự kiến bốn kết quả ứng với các sản phẩm mà bài toán số 19 nêu. Thứ nhất là đề xuất mô hình trung tâm chuyên mảng cho Hà Nội, ứng với sản phẩm “Trung tâm tài chính quốc tế tại Hà Nội” ở mức đề xuất có căn cứ. Thứ hai là bộ chỉ báo chất lượng thị trường mã nguồn mở, cập nhật được, ứng với sản phẩm “Hệ thống dữ liệu tài chính đô thị”. Thứ ba là nguyên mẫu dịch vụ phân bổ danh mục tự động, ứng với các sản phẩm “Nền tảng tài chính số” và “Các dịch vụ tài chính thế hệ mới”. Thứ tư là chuẩn công bố mô hình cho dịch vụ đầu tư số, phục vụ minh bạch thị trường. Các kết quả thực nghiệm phụ thuộc vào việc dữ liệu ủng hộ giả thuyết; bộ chỉ báo, nguyên mẫu và tệp đăng ký trước có được bất kể kết quả kiểm định.</w:t>
      </w:r>
    </w:p>
    <w:p>
      <w:pPr>
        <w:pStyle w:val="BodyText"/>
      </w:pPr>
      <w:r>
        <w:t xml:space="preserve">Đề tài không xây dựng một nền tảng thương mại và không giải quyết trọn bài toán số 19; câu hỏi về công nghệ hiện đại hóa hệ thống tài chính đô thị chỉ được xét qua dịch vụ đầu tư số. Người dùng dự kiến của kết quả gồm Ủy ban nhân dân thành phố Hà Nội, Ủy ban Chứng khoán Nhà nước, HNX, các công ty chứng khoán và công ty quản lý quỹ có trụ sở tại Hà Nội [CẦN XÁC MINH]. Dữ liệu gốc lấy từ nhà cung cấp thương mại có thể không được chia sẻ, tùy điều khoản giấy phép; phần công khai gồm mã nguồn, chỉ báo đã tính và tệp đăng ký trước.</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Ngoài phần mở đầu,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 xml:space="preserve">1.1 Bối cảnh: Hà Nội và bài toán số 19; 1.1.1 Trung tâm tài chính quốc tế của Việt Nam và vị trí của Hà Nội; 1.1.2 Thị trường chứng khoán và dịch vụ đầu tư số;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Tổng quan tài liệu và khung khái niệm</w:t>
            </w:r>
          </w:p>
        </w:tc>
        <w:tc>
          <w:tcPr>
            <w:tcW w:w="0" w:type="auto"/>
          </w:tcPr>
          <w:p w14:paraId="37CE85C4" w14:textId="77777777" w:rsidR="005D3DB2" w:rsidRDefault="00000000">
            <w:pPr>
              <w:pStyle w:val="Compact"/>
            </w:pPr>
            <w:r>
              <w:t xml:space="preserve">2.1 Trung tâm tài chính, sức hấp dẫn và chuyên môn hóa; 2.2 Thanh khoản, hiệu quả và minh bạch thị trường; 2.3 Sai số ước lượng, rủi ro mô hình và chọn mô hình danh mục; 2.4 Dịch vụ phân bổ danh mục tự động; 2.5 Chế độ thị trường và khủng hoảng; 2.6 Nghiên cứu về Việt Nam; 2.7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Dữ liệu, chế độ thị trường và phương pháp</w:t>
            </w:r>
          </w:p>
        </w:tc>
        <w:tc>
          <w:tcPr>
            <w:tcW w:w="0" w:type="auto"/>
          </w:tcPr>
          <w:p w14:paraId="19E22CB6" w14:textId="77777777" w:rsidR="005D3DB2" w:rsidRDefault="00000000">
            <w:pPr>
              <w:pStyle w:val="Compact"/>
            </w:pPr>
            <w:r>
              <w:t xml:space="preserve">3.1 Dữ liệu thị trường và dữ liệu công bố; 3.1.1 Cổ phiếu HNX, UPCoM, HOSE và thiên lệch sống sót; 3.1.2 Chỉ số minh bạch; 3.2 Xác định chế độ thị trường; 3.3 Chỉ báo chất lượng thị trường; 3.4 Động cơ phân bổ và thước đo rủi ro lựa chọn mô hình; 3.5 Khung đánh giá trung tâm chuyên mảng;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 xml:space="preserve">Chất lượng thị trường do HNX vận hành theo chế độ thị trường</w:t>
            </w:r>
          </w:p>
        </w:tc>
        <w:tc>
          <w:tcPr>
            <w:tcW w:w="0" w:type="auto"/>
          </w:tcPr>
          <w:p w14:paraId="72AFDCB1" w14:textId="77777777" w:rsidR="005D3DB2" w:rsidRDefault="00000000">
            <w:pPr>
              <w:pStyle w:val="Compact"/>
            </w:pPr>
            <w:r>
              <w:t xml:space="preserve">4.1 Thanh khoản và hiệu quả thông tin của HNX, UPCoM và HOSE; 4.2 Kiểm định H</w:t>
            </w:r>
            <w:r>
              <w:rPr>
                <w:vertAlign w:val="subscript"/>
              </w:rPr>
              <w:t xml:space="preserve">2</w:t>
            </w:r>
            <w:r>
              <w:t xml:space="preserve">; 4.3 Minh bạch công bố và kiểm định H</w:t>
            </w:r>
            <w:r>
              <w:rPr>
                <w:vertAlign w:val="subscript"/>
              </w:rPr>
              <w:t xml:space="preserve">4</w:t>
            </w:r>
            <w:r>
              <w:t xml:space="preserve">; 4.4 Điểm gãy cấu trúc của thanh khoản; 4.5 Bộ chỉ báo chất lượng thị trường; 4.6 Thảo luận</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 xml:space="preserve">Rủi ro lựa chọn mô hình và nguyên mẫu dịch vụ phân bổ tự động</w:t>
            </w:r>
          </w:p>
        </w:tc>
        <w:tc>
          <w:tcPr>
            <w:tcW w:w="0" w:type="auto"/>
          </w:tcPr>
          <w:p w14:paraId="36EC9E9F" w14:textId="77777777" w:rsidR="005D3DB2" w:rsidRDefault="00000000">
            <w:pPr>
              <w:pStyle w:val="Compact"/>
            </w:pPr>
            <w:r>
              <w:t xml:space="preserve">5.1 Hiệu quả ngoài mẫu của bảy động cơ; 5.2 Mức hối tiếc theo chế độ và kiểm định H</w:t>
            </w:r>
            <w:r>
              <w:rPr>
                <w:vertAlign w:val="subscript"/>
              </w:rPr>
              <w:t xml:space="preserve">1</w:t>
            </w:r>
            <w:r>
              <w:t xml:space="preserve">; 5.3 Cơ chế giảm thiểu theo hồ sơ rủi ro và kiểm định H</w:t>
            </w:r>
            <w:r>
              <w:rPr>
                <w:vertAlign w:val="subscript"/>
              </w:rPr>
              <w:t xml:space="preserve">3</w:t>
            </w:r>
            <w:r>
              <w:t xml:space="preserve">; 5.4 Nguyên mẫu mã nguồn mở; 5.5 Chuẩn công bố mô hình; 5.6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 xml:space="preserve">Mô hình trung tâm chuyên mảng và chính sách cho Hà Nội</w:t>
            </w:r>
          </w:p>
        </w:tc>
        <w:tc>
          <w:tcPr>
            <w:tcW w:w="0" w:type="auto"/>
          </w:tcPr>
          <w:p w14:paraId="6DAFE3CC" w14:textId="77777777" w:rsidR="005D3DB2" w:rsidRDefault="00000000">
            <w:pPr>
              <w:pStyle w:val="Compact"/>
            </w:pPr>
            <w:r>
              <w:t xml:space="preserve">6.1 Khung yếu tố sức hấp dẫn và sức cạnh tranh; 6.2 So sánh Hà Nội với Thành phố Hồ Chí Minh và các trung tâm khu vực; 6.3 Mảng chuyên môn đề xuất cho Hà Nội; 6.4 Chuẩn công bố và hạ tầng dữ liệu; 6.5 Đề xuất chính sách</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bốn câu hỏi nghiên cứu; hạn chế (số giai đoạn căng thẳng, dữ liệu thương mại, nguyên mẫu chưa có người dùng thật);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w:t>
      </w:r>
      <w:r>
        <w:t xml:space="preserve">và giao thoa với quản lý ở phần thiết kế dịch vụ và chính sách cho Hà Nội</w:t>
      </w:r>
      <w:r>
        <w:t xml:space="preserve">.</w:t>
      </w:r>
      <w:r>
        <w:t xml:space="preserve"> Lý do thứ hai là ngôn ngữ đào tạo: </w:t>
      </w:r>
      <w:r>
        <w:t xml:space="preserve">chương trình giảng dạy bằng tiếng Anh hoặc tiếng Việt; </w:t>
      </w:r>
      <w:r>
        <w:t xml:space="preserve">học bằng tiếng Anh thuận lợi</w:t>
      </w:r>
      <w:r>
        <w:t xml:space="preserve">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w:t>
      </w:r>
      <w:r>
        <w:t xml:space="preserve">nhà nghiên cứu về rủi ro mô hình; và công ty quản lý quỹ, các tổ chức đầu tư cổ phiếu khác và cơ quan giám sát thị trường chứng khoán. </w:t>
      </w:r>
      <w:r>
        <w:t xml:space="preserve">Những công ty quản lý quỹ dùng mô hình định lượng có thể cần một thủ tục giám sát mô hình có căn cứ thực nghiệm. Thí sinh cũng mong kết quả của luận án là một đóng góp nhỏ, có kiểm chứng, cho câu hỏi số 3 của bài toán số 19 mà Thành phố Hà Nội đặt ra (mục 4.1).</w:t>
      </w:r>
      <w:r>
        <w:t xml:space="preserve"> Thí sinh mong muốn công bố kết quả của luận án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trung tâm tài chính, sức hấp dẫn và chuyên môn hóa, kèm khung đánh giá cho Hà Nội; (ii) thanh khoản, hiệu quả và minh bạch của thị trường do HNX vận hành theo chế độ thị trường; (iii) rủi ro lựa chọn mô hình trong dịch vụ phân bổ danh mục tự động. Mỗi chuyên đề đứng độc lập được và đồng thời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chất lượng thị trường do HNX vận hành theo chế độ (H</w:t>
      </w:r>
      <w:r>
        <w:rPr>
          <w:vertAlign w:val="subscript"/>
        </w:rPr>
        <w:t xml:space="preserve">2</w:t>
      </w:r>
      <w:r>
        <w:t xml:space="preserve">, H</w:t>
      </w:r>
      <w:r>
        <w:rPr>
          <w:vertAlign w:val="subscript"/>
        </w:rPr>
        <w:t xml:space="preserve">4</w:t>
      </w:r>
      <w:r>
        <w:t xml:space="preserve">); bài báo 2 trình bày rủi ro lựa chọn mô hình và nguyên mẫu dịch vụ phân bổ tự động (H</w:t>
      </w:r>
      <w:r>
        <w:rPr>
          <w:vertAlign w:val="subscript"/>
        </w:rPr>
        <w:t xml:space="preserve">1</w:t>
      </w:r>
      <w:r>
        <w:t xml:space="preserve">, H</w:t>
      </w:r>
      <w:r>
        <w:rPr>
          <w:vertAlign w:val="subscript"/>
        </w:rPr>
        <w:t xml:space="preserve">3</w:t>
      </w:r>
      <w:r>
        <w:t xml:space="preserve">); bài báo 3 trình bày mô hình trung tâm chuyên mảng cho Hà Nội. Cả ba bài phục vụ bài toán số 19.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Quý 1: xác nhận nguồn, độ dài và giấy phép dữ liệu HNX, UPCoM, HOSE và dữ liệu công bố; thu thập văn bản chính sách về trung tâm tài chính. Quý 1–2: học bổ sung 9 tín chỉ và các học phần theo chương trình; xây dựng khung yếu tố cho câu hỏi 1. Quý 2: ước lượng thử để kiểm tra dữ liệu, thời gian tính và khả năng hội tụ, không tính kết quả theo chế độ; mô phỏng công suất kiểm định. Quý 3: làm sạch dữ liệu, tính chỉ số minh bạch. Quý 4: đăng ký trước kế hoạch phân tích</w:t>
            </w:r>
          </w:p>
        </w:tc>
        <w:tc>
          <w:tcPr>
            <w:tcW w:w="0" w:type="auto"/>
          </w:tcPr>
          <w:p w14:paraId="49F49FA0" w14:textId="77777777" w:rsidR="005D3DB2" w:rsidRDefault="00000000">
            <w:pPr>
              <w:pStyle w:val="Compact"/>
            </w:pPr>
            <w:r>
              <w:t xml:space="preserve">Tổng quan nghiên cứu; khung đánh giá trung tâm chuyên mảng; kế hoạch phân tích đăng ký trước; chuyên đề 1</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 xml:space="preserve">Quý 1–2: xác định chế độ thị trường; tính bộ chỉ báo chất lượng thị trường. Quý 3–4: kiểm định H</w:t>
            </w:r>
            <w:r>
              <w:rPr>
                <w:vertAlign w:val="subscript"/>
              </w:rPr>
              <w:t xml:space="preserve">2</w:t>
            </w:r>
            <w:r>
              <w:t xml:space="preserve"> và H</w:t>
            </w:r>
            <w:r>
              <w:rPr>
                <w:vertAlign w:val="subscript"/>
              </w:rPr>
              <w:t xml:space="preserve">4</w:t>
            </w:r>
            <w:r>
              <w:t xml:space="preserve">, viết bài báo 1</w:t>
            </w:r>
          </w:p>
        </w:tc>
        <w:tc>
          <w:tcPr>
            <w:tcW w:w="0" w:type="auto"/>
          </w:tcPr>
          <w:p w14:paraId="43770066" w14:textId="77777777" w:rsidR="005D3DB2" w:rsidRDefault="00000000">
            <w:pPr>
              <w:pStyle w:val="Compact"/>
            </w:pPr>
            <w:r>
              <w:t xml:space="preserve">Bài báo 1; bộ chỉ báo bản đầu; báo cáo hội thảo; chuyên đề 2</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 xml:space="preserve">Quý 1–2: ước lượng bảy động cơ, kiểm định H</w:t>
            </w:r>
            <w:r>
              <w:rPr>
                <w:vertAlign w:val="subscript"/>
              </w:rPr>
              <w:t xml:space="preserve">1</w:t>
            </w:r>
            <w:r>
              <w:t xml:space="preserve"> và H</w:t>
            </w:r>
            <w:r>
              <w:rPr>
                <w:vertAlign w:val="subscript"/>
              </w:rPr>
              <w:t xml:space="preserve">3</w:t>
            </w:r>
            <w:r>
              <w:t xml:space="preserve"> theo hồ sơ rủi ro. Quý 3–4: xây dựng nguyên mẫu và chuẩn công bố, viết bài báo 2</w:t>
            </w:r>
          </w:p>
        </w:tc>
        <w:tc>
          <w:tcPr>
            <w:tcW w:w="0" w:type="auto"/>
          </w:tcPr>
          <w:p w14:paraId="5D8B9BC0" w14:textId="77777777" w:rsidR="005D3DB2" w:rsidRDefault="00000000">
            <w:pPr>
              <w:pStyle w:val="Compact"/>
            </w:pPr>
            <w:r>
              <w:t xml:space="preserve">Bài báo 2; nguyên mẫu bản đầu; chuyên đề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so sánh Hà Nội với các trung tâm, đề xuất mô hình trung tâm chuyên mảng và chính sách, viết bài báo 3; hoàn thiện nguyên mẫu và bộ chỉ báo mã nguồn mở. Quý 3–4: hoàn thiện luận án, chỉnh sửa theo góp ý và bảo vệ</w:t>
            </w:r>
          </w:p>
        </w:tc>
        <w:tc>
          <w:tcPr>
            <w:tcW w:w="0" w:type="auto"/>
          </w:tcPr>
          <w:p w14:paraId="4CC80AB9" w14:textId="77777777" w:rsidR="005D3DB2" w:rsidRDefault="00000000">
            <w:pPr>
              <w:pStyle w:val="Compact"/>
            </w:pPr>
            <w:r>
              <w:t xml:space="preserve">Bài báo 3; luận án; nguyên mẫu và bộ chỉ báo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hai phương án dự phòng (xem mục 4.3.10).</w:t>
      </w:r>
      <w:r>
        <w:t xml:space="preserve"> Nếu dữ liệu không đủ, thí sinh thu hẹp rổ cổ phiếu hoặc giai đoạn mẫu ngay trong quý 1 năm thứ nhất, </w:t>
      </w:r>
      <w:r>
        <w:t xml:space="preserve">trước khi nộp tệp đăng ký trước</w:t>
      </w:r>
      <w:r>
        <w:t xml:space="preserve">. Nếu mẫu có quá ít giai đoạn căng thẳng, thí sinh </w:t>
      </w:r>
      <w:r>
        <w:t xml:space="preserve">áp dụng quy tắc đã đăng ký trước để gọi kết quả là chưa đủ cơ sở kết luận</w:t>
      </w:r>
      <w:r>
        <w:t xml:space="preserve"> và báo cáo kích thước hiệu ứng theo từng giai đoạn.</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và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và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Có (kênh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Có (kênh tương quan)</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Không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w:t>
      </w:r>
      <w:r>
        <w:t xml:space="preserve"> Bài báo Nguyen và Nguyen (2026a) cho thí sinh kinh nghiệm với </w:t>
      </w:r>
      <w:r>
        <w:t xml:space="preserve">mô hình Black–Litterman, mô hình định giá</w:t>
      </w:r>
      <w:r>
        <w:t xml:space="preserve"> tài sản vốn có chuyển chế độ và phương pháp tính toán Bayes xấp xỉ; đây là nền của mô hình M</w:t>
      </w:r>
      <w:r>
        <w:rPr>
          <w:vertAlign w:val="subscript"/>
        </w:rPr>
        <w:t>5</w:t>
      </w:r>
      <w:r>
        <w:t xml:space="preserve">. Bản thảo về điểm gãy cấu trúc của thanh khoản (bản thảo số 5 ở Bảng 7) cho thí sinh kinh nghiệm với độ phi thanh khoản Amihud và </w:t>
      </w:r>
      <w:r>
        <w:t xml:space="preserve">phương pháp Bai–Perron, hai công cụ</w:t>
      </w:r>
      <w:r>
        <w:t xml:space="preserve"> của kênh thanh khoản và bước đối chiếu chế độ. Bản thảo về tương quan của các chỉ số lồng nhau (bản thảo số 6) chuẩn bị cho kênh tương quan. Bản thảo về </w:t>
      </w:r>
      <w:r>
        <w:t xml:space="preserve">mô hình Black–Litterman nghịch đảo</w:t>
      </w:r>
      <w:r>
        <w:t xml:space="preserve"> kết hợp học máy phân cụm (bản thảo số 1) giúp thí sinh làm quen với việc so sánh nhiều mô hình danh mục trên cùng dữ liệu. Luận án chuyển trọng tâm từ đánh giá một mô hình sang câu hỏi chọn giữa nhiều mô hình, và các công việc trên cung cấp phần lớn công cụ cho bước chuyển này.</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Sau khi tốt nghiệp, thí sinh dự kiến làm nghiên cứu và giảng dạy tài chính định lượng tại trường đại học hoặc viện nghiên cứu, hoặc làm việc ở bộ phận quản trị rủi ro và quản lý mô hình của tổ chức tài chính. Ở cả hai hướng, thí sinh có thể thử nghiệm thủ tục giám sát mô hình mà luận án đề xuất với người dùng thực tế, một bước luận án chưa làm.</w:t>
      </w:r>
    </w:p>
    <w:p w14:paraId="03A74E3B" w14:textId="77777777" w:rsidR="005D3DB2" w:rsidRDefault="00000000">
      <w:pPr>
        <w:pStyle w:val="BodyText"/>
      </w:pPr>
      <w:r>
        <w:t xml:space="preserve">Về nghiên cứu, thí sinh dự kiến mở rộng đề tài theo ba hướng: mở rộng bộ chỉ báo chất lượng thị trường sang thị trường trái phiếu chính phủ và phái sinh do HNX vận hành; kiểm nghiệm nguyên mẫu dịch vụ phân bổ tự động cùng các công ty chứng khoán và công ty quản lý quỹ tại Hà Nội; và so sánh mô hình trung tâm chuyên mảng của Hà Nội với các thành phố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chế độ biến động của thị trường, rủi ro mô hình và quyết định danh mục ở một thị trường mới nổi.</w:t>
      </w:r>
    </w:p>
    <w:p w14:paraId="26F0D74C" w14:textId="29A52359" w:rsidR="00F612F2" w:rsidRPr="00F612F2" w:rsidRDefault="00F612F2" w:rsidP="00194512">
      <w:pPr>
        <w:pStyle w:val="FirstParagraph"/>
      </w:pPr>
      <w:r>
        <w:t>Người hướng dẫn thứ hai (dự kiến): PGS.TS. Hà Hồng Hạnh, Trường Đại học Kinh tế Quốc dân. Người hướng dẫn hỗ trợ phần thủ tục giám sát mô hình và hàm ý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14:paraId="34B06227" w14:textId="77777777" w:rsidR="005D3DB2" w:rsidRDefault="00000000">
      <w:pPr>
        <w:pStyle w:val="Reference"/>
      </w:pPr>
      <w:r>
        <w:t xml:space="preserve">Ngân hàng Nhà nước Việt Nam (2025), </w:t>
      </w:r>
      <w:r>
        <w:rPr>
          <w:i/>
          <w:iCs/>
        </w:rPr>
        <w:t>Thông tư số 83/2025/TT-NHNN ngày 31/12/2025 quy định về hệ thống kiểm soát nội bộ của ngân hàng thương mại, chi nhánh ngân hàng nước ngoài (thay thế Thông tư số 13/2018/TT-NHNN)</w:t>
      </w:r>
      <w:r>
        <w:t>, Hà Nội.</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pPr>
        <w:pStyle w:val="Reference"/>
      </w:pPr>
      <w:r>
        <w:t xml:space="preserve">Ủy ban nhân dân thành phố Hà Nội (2026), </w:t>
      </w:r>
      <w:r>
        <w:rPr>
          <w:i/>
          <w:iCs/>
        </w:rPr>
        <w:t xml:space="preserve">Quyết định số 1193/QĐ-UBND ngày 18/03/2026 công bố Danh mục các bài toán lớn của thành phố Hà Nội giai đoạn 2026–2030 (đợt 1)</w:t>
      </w:r>
      <w:r>
        <w:t xml:space="preserve">, Hà Nội [CẦN ĐỐI CHIẾU bản chính thức].</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14:paraId="2AA6B21D" w14:textId="77777777" w:rsidR="005D3DB2" w:rsidRDefault="00000000">
      <w:pPr>
        <w:pStyle w:val="Reference"/>
      </w:pPr>
      <w:r>
        <w:t xml:space="preserve">Ang, A., Bekaert, G. (2002), “International asset allocation with regime shifts”, </w:t>
      </w:r>
      <w:r>
        <w:rPr>
          <w:i/>
          <w:iCs/>
        </w:rPr>
        <w:t>Review of Financial Studies</w:t>
      </w:r>
      <w:r>
        <w:t>, 15(4), pp. 1137–1187.</w:t>
      </w:r>
    </w:p>
    <w:p w14:paraId="580BBD21" w14:textId="77777777" w:rsidR="005D3DB2" w:rsidRDefault="00000000">
      <w:pPr>
        <w:pStyle w:val="Reference"/>
      </w:pPr>
      <w:r>
        <w:t xml:space="preserve">Ang, A., Timmermann, A. (2012), “Regime changes and financial markets”, </w:t>
      </w:r>
      <w:r>
        <w:rPr>
          <w:i/>
          <w:iCs/>
        </w:rPr>
        <w:t>Annual Review of Financial Economics</w:t>
      </w:r>
      <w:r>
        <w:t>, 4, pp. 313–337.</w:t>
      </w:r>
    </w:p>
    <w:p w14:paraId="5563767A" w14:textId="77777777" w:rsidR="005D3DB2" w:rsidRDefault="00000000">
      <w:pPr>
        <w:pStyle w:val="Reference"/>
      </w:pPr>
      <w:r>
        <w:t xml:space="preserve">Avramov, D. (2002), “Stock return predictability and model uncertainty”, </w:t>
      </w:r>
      <w:r>
        <w:rPr>
          <w:i/>
          <w:iCs/>
        </w:rPr>
        <w:t>Journal of Financial Economics</w:t>
      </w:r>
      <w:r>
        <w:t>, 64(3), pp. 423–458.</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14:paraId="1664E4ED" w14:textId="77777777" w:rsidR="005D3DB2" w:rsidRDefault="00000000">
      <w:pPr>
        <w:pStyle w:val="Reference"/>
      </w:pPr>
      <w:r>
        <w:t xml:space="preserve">Bailey, D. H., López de Prado, M. (2014), “The deflated Sharpe ratio: Correcting for selection bias, backtest overfitting and non-normality”, </w:t>
      </w:r>
      <w:r>
        <w:rPr>
          <w:i/>
          <w:iCs/>
        </w:rPr>
        <w:t>Journal of Portfolio Management</w:t>
      </w:r>
      <w:r>
        <w:t>, 40(5), pp. 94–107.</w:t>
      </w:r>
    </w:p>
    <w:p w14:paraId="37AF0834" w14:textId="77777777" w:rsidR="005D3DB2" w:rsidRDefault="00000000">
      <w:pPr>
        <w:pStyle w:val="Reference"/>
      </w:pPr>
      <w:r>
        <w:t xml:space="preserve">Barberis, N., Thaler, R. (2003), “A survey of behavioral finance”, </w:t>
      </w:r>
      <w:r>
        <w:rPr>
          <w:i/>
          <w:iCs/>
        </w:rPr>
        <w:t>Handbook of the Economics of Finance</w:t>
      </w:r>
      <w:r>
        <w:t>, Vol. 1B, Elsevier, Amsterdam, pp. 1053–1128.</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14:paraId="0762345A" w14:textId="77777777" w:rsidR="005D3DB2" w:rsidRDefault="00000000">
      <w:pPr>
        <w:pStyle w:val="Reference"/>
      </w:pPr>
      <w:r>
        <w:t xml:space="preserve">Board of Governors of the Federal Reserve System (2011), </w:t>
      </w:r>
      <w:r>
        <w:rPr>
          <w:i/>
          <w:iCs/>
        </w:rPr>
        <w:t>SR 11-7: Supervisory Guidance on Model Risk Management</w:t>
      </w:r>
      <w:r>
        <w:t>, Washington, DC, 4 April 2011, https://www.federalreserve.gov/boarddocs/srletters/2011/sr1107.htm (truy cập 30/09/2026).</w:t>
      </w:r>
    </w:p>
    <w:p w14:paraId="5D7F0B1A" w14:textId="77777777" w:rsidR="005D3DB2" w:rsidRDefault="00000000">
      <w:pPr>
        <w:pStyle w:val="Reference"/>
      </w:pPr>
      <w:r>
        <w:t xml:space="preserve">Board of Governors of the Federal Reserve System (2026), </w:t>
      </w:r>
      <w:r>
        <w:rPr>
          <w:i/>
          <w:iCs/>
        </w:rPr>
        <w:t>SR 26-2: Revised Guidance on Model Risk Management</w:t>
      </w:r>
      <w:r>
        <w:t>, Washington, DC, 17 April 2026, https://www.federalreserve.gov/supervisionreg/srletters/SR2602.htm (truy cập 30/09/2026).</w:t>
      </w:r>
    </w:p>
    <w:p w14:paraId="6DD9DD4D" w14:textId="77777777" w:rsidR="005D3DB2" w:rsidRDefault="00000000">
      <w:pPr>
        <w:pStyle w:val="Reference"/>
      </w:pPr>
      <w:r>
        <w:t xml:space="preserve">Boucher, C. M., Danielsson, J., Kouontchou, P. S., Maillet, B. B. (2014), “Risk models-at-risk”, </w:t>
      </w:r>
      <w:r>
        <w:rPr>
          <w:i/>
          <w:iCs/>
        </w:rPr>
        <w:t>Journal of Banking &amp; Finance</w:t>
      </w:r>
      <w:r>
        <w:t>, 44, pp. 72–92.</w:t>
      </w:r>
    </w:p>
    <w:p w14:paraId="5A0BD2A6" w14:textId="77777777" w:rsidR="005D3DB2" w:rsidRDefault="00000000">
      <w:pPr>
        <w:pStyle w:val="Reference"/>
      </w:pPr>
      <w:r>
        <w:t xml:space="preserve">Chang, E. C., Cheng, J. W., Khorana, A. (2000), “An examination of herd behavior in equity markets: An international perspective”, </w:t>
      </w:r>
      <w:r>
        <w:rPr>
          <w:i/>
          <w:iCs/>
        </w:rPr>
        <w:t>Journal of Banking &amp; Finance</w:t>
      </w:r>
      <w:r>
        <w:t>, 24(10), pp. 1651–1679.</w:t>
      </w:r>
    </w:p>
    <w:p w14:paraId="129D17EE" w14:textId="77777777" w:rsidR="005D3DB2" w:rsidRDefault="00000000">
      <w:pPr>
        <w:pStyle w:val="Reference"/>
      </w:pPr>
      <w:r>
        <w:t xml:space="preserve">Christie, W. G., Huang, R. D. (1995), “Following the pied piper: Do individual returns herd around the market?”, </w:t>
      </w:r>
      <w:r>
        <w:rPr>
          <w:i/>
          <w:iCs/>
        </w:rPr>
        <w:t>Financial Analysts Journal</w:t>
      </w:r>
      <w:r>
        <w:t>, 51(4), pp. 31–37.</w:t>
      </w:r>
    </w:p>
    <w:p w14:paraId="2FABAEF9" w14:textId="77777777" w:rsidR="005D3DB2" w:rsidRDefault="00000000">
      <w:pPr>
        <w:pStyle w:val="Reference"/>
      </w:pPr>
      <w:r>
        <w:t xml:space="preserve">Cont, R. (2006), “Model uncertainty and its impact on the pricing of derivative instruments”, </w:t>
      </w:r>
      <w:r>
        <w:rPr>
          <w:i/>
          <w:iCs/>
        </w:rPr>
        <w:t>Mathematical Finance</w:t>
      </w:r>
      <w:r>
        <w:t>, 16(3), pp. 519–547.</w:t>
      </w:r>
    </w:p>
    <w:p w14:paraId="6864520F" w14:textId="77777777" w:rsidR="005D3DB2" w:rsidRDefault="00000000">
      <w:pPr>
        <w:pStyle w:val="Reference"/>
      </w:pPr>
      <w:r>
        <w:t xml:space="preserve">Danielsson, J., James, K. R., Valenzuela, M., Zer, I. (2016), “Model risk of risk models”, </w:t>
      </w:r>
      <w:r>
        <w:rPr>
          <w:i/>
          <w:iCs/>
        </w:rPr>
        <w:t>Journal of Financial Stability</w:t>
      </w:r>
      <w:r>
        <w:t>, 23, pp. 79–91.</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14:paraId="475EF6A2" w14:textId="77777777" w:rsidR="005D3DB2" w:rsidRDefault="00000000">
      <w:pPr>
        <w:pStyle w:val="Reference"/>
      </w:pPr>
      <w:r>
        <w:t xml:space="preserve">Derman, E. (1996), “Model risk”, </w:t>
      </w:r>
      <w:r>
        <w:rPr>
          <w:i/>
          <w:iCs/>
        </w:rPr>
        <w:t>Quantitative Strategies Research Notes</w:t>
      </w:r>
      <w:r>
        <w:t>, Goldman Sachs, New York, April.</w:t>
      </w:r>
    </w:p>
    <w:p w14:paraId="21288882" w14:textId="77777777" w:rsidR="005D3DB2" w:rsidRDefault="00000000">
      <w:pPr>
        <w:pStyle w:val="Reference"/>
      </w:pPr>
      <w:r>
        <w:t xml:space="preserve">Forbes, K. J., Rigobon, R. (2002), “No contagion, only interdependence: Measuring stock market comovements”, </w:t>
      </w:r>
      <w:r>
        <w:rPr>
          <w:i/>
          <w:iCs/>
        </w:rPr>
        <w:t>Journal of Finance</w:t>
      </w:r>
      <w:r>
        <w:t>, 57(5), pp. 2223–2261.</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14:paraId="2D3FE286" w14:textId="77777777" w:rsidR="005D3DB2" w:rsidRDefault="00000000">
      <w:pPr>
        <w:pStyle w:val="Reference"/>
      </w:pPr>
      <w:r>
        <w:t xml:space="preserve">Gilboa, I., Schmeidler, D. (1989), “Maxmin expected utility with non-unique prior”, </w:t>
      </w:r>
      <w:r>
        <w:rPr>
          <w:i/>
          <w:iCs/>
        </w:rPr>
        <w:t>Journal of Mathematical Economics</w:t>
      </w:r>
      <w:r>
        <w:t>, 18(2), pp. 141–153.</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14:paraId="284B298B" w14:textId="77777777" w:rsidR="005D3DB2" w:rsidRDefault="00000000">
      <w:pPr>
        <w:pStyle w:val="Reference"/>
      </w:pPr>
      <w:r>
        <w:t xml:space="preserve">Guidolin, M., Timmermann, A. (2007), “Asset allocation under multivariate regime switching”, </w:t>
      </w:r>
      <w:r>
        <w:rPr>
          <w:i/>
          <w:iCs/>
        </w:rPr>
        <w:t>Journal of Economic Dynamics and Control</w:t>
      </w:r>
      <w:r>
        <w:t>, 31(11), pp. 3503–3544.</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14:paraId="294A8BC4" w14:textId="77777777" w:rsidR="005D3DB2" w:rsidRDefault="00000000">
      <w:pPr>
        <w:pStyle w:val="Reference"/>
      </w:pPr>
      <w:r>
        <w:t xml:space="preserve">Hansen, L. P., Sargent, T. J. (2008), </w:t>
      </w:r>
      <w:r>
        <w:rPr>
          <w:i/>
          <w:iCs/>
        </w:rPr>
        <w:t>Robustness</w:t>
      </w:r>
      <w:r>
        <w:t>, Princeton University Press, Princeton.</w:t>
      </w:r>
    </w:p>
    <w:p w14:paraId="2BE0ADDA" w14:textId="77777777" w:rsidR="005D3DB2" w:rsidRDefault="00000000">
      <w:pPr>
        <w:pStyle w:val="Reference"/>
      </w:pPr>
      <w:r>
        <w:t xml:space="preserve">Hansen, P. R., Lunde, A., Nason, J. M. (2011), “The model confidence set”, </w:t>
      </w:r>
      <w:r>
        <w:rPr>
          <w:i/>
          <w:iCs/>
        </w:rPr>
        <w:t>Econometrica</w:t>
      </w:r>
      <w:r>
        <w:t>, 79(2), pp. 453–497.</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22F1EB62" w14:textId="77777777" w:rsidR="005D3DB2" w:rsidRDefault="00000000">
      <w:pPr>
        <w:pStyle w:val="Reference"/>
      </w:pPr>
      <w:r>
        <w:t xml:space="preserve">Hoeting, J. A., Madigan, D., Raftery, A. E., Volinsky, C. T. (1999), “Bayesian model averaging: A tutorial”, </w:t>
      </w:r>
      <w:r>
        <w:rPr>
          <w:i/>
          <w:iCs/>
        </w:rPr>
        <w:t>Statistical Science</w:t>
      </w:r>
      <w:r>
        <w:t>, 14(4), pp. 382–417.</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6FB4DFE9" w14:textId="77777777" w:rsidR="005D3DB2" w:rsidRDefault="00000000">
      <w:pPr>
        <w:pStyle w:val="Reference"/>
      </w:pPr>
      <w:r>
        <w:t xml:space="preserve">Kahneman, D., Tversky, A. (1979), “Prospect theory: An analysis of decision under risk”, </w:t>
      </w:r>
      <w:r>
        <w:rPr>
          <w:i/>
          <w:iCs/>
        </w:rPr>
        <w:t>Econometrica</w:t>
      </w:r>
      <w:r>
        <w:t>, 47(2), pp. 263–291.</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14:paraId="3456CDD8" w14:textId="77777777" w:rsidR="005D3DB2" w:rsidRDefault="00000000">
      <w:pPr>
        <w:pStyle w:val="Reference"/>
      </w:pPr>
      <w:r>
        <w:t xml:space="preserve">Kerkhof, J., Melenberg, B., Schumacher, J. M. (2010), “Model risk and capital reserves”, </w:t>
      </w:r>
      <w:r>
        <w:rPr>
          <w:i/>
          <w:iCs/>
        </w:rPr>
        <w:t>Journal of Banking &amp; Finance</w:t>
      </w:r>
      <w:r>
        <w:t>, 34(1), pp. 267–279.</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14:paraId="4D598348" w14:textId="77777777" w:rsidR="005D3DB2" w:rsidRDefault="00000000">
      <w:pPr>
        <w:pStyle w:val="Reference"/>
      </w:pPr>
      <w:r>
        <w:t xml:space="preserve">Laeven, L., Valencia, F. (2020), “Systemic banking crises database II”, </w:t>
      </w:r>
      <w:r>
        <w:rPr>
          <w:i/>
          <w:iCs/>
        </w:rPr>
        <w:t>IMF Economic Review</w:t>
      </w:r>
      <w:r>
        <w:t>, 68(2), pp. 307–361.</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14:paraId="74DBFD69" w14:textId="77777777" w:rsidR="005D3DB2" w:rsidRDefault="00000000">
      <w:pPr>
        <w:pStyle w:val="Reference"/>
      </w:pPr>
      <w:r>
        <w:t xml:space="preserve">Lo, A. W., Mueller, M. T. (2010), “Warning: Physics envy may be hazardous to your wealth!”, </w:t>
      </w:r>
      <w:r>
        <w:rPr>
          <w:i/>
          <w:iCs/>
        </w:rPr>
        <w:t>Journal of Investment Management</w:t>
      </w:r>
      <w:r>
        <w:t>, 8(2).</w:t>
      </w:r>
    </w:p>
    <w:p w14:paraId="3695A0A1" w14:textId="77777777" w:rsidR="005D3DB2" w:rsidRDefault="00000000">
      <w:pPr>
        <w:pStyle w:val="Reference"/>
      </w:pPr>
      <w:r>
        <w:t xml:space="preserve">Longin, F., Solnik, B. (2001), “Extreme correlation of international equity markets”, </w:t>
      </w:r>
      <w:r>
        <w:rPr>
          <w:i/>
          <w:iCs/>
        </w:rPr>
        <w:t>Journal of Finance</w:t>
      </w:r>
      <w:r>
        <w:t>, 56(2), pp. 649–676.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14:paraId="76E4867E" w14:textId="77777777" w:rsidR="005D3DB2" w:rsidRDefault="00000000">
      <w:pPr>
        <w:pStyle w:val="Reference"/>
      </w:pPr>
      <w:r>
        <w:t xml:space="preserve">Rapach, D. E., Strauss, J. K., Zhou, G. (2010), “Out-of-sample equity premium prediction: Combination forecasts and links to the real economy”, </w:t>
      </w:r>
      <w:r>
        <w:rPr>
          <w:i/>
          <w:iCs/>
        </w:rPr>
        <w:t>Review of Financial Studies</w:t>
      </w:r>
      <w:r>
        <w:t>, 23(2), pp. 821–862.</w:t>
      </w:r>
    </w:p>
    <w:p w14:paraId="380895E5" w14:textId="77777777" w:rsidR="005D3DB2" w:rsidRDefault="00000000">
      <w:pPr>
        <w:pStyle w:val="Reference"/>
      </w:pPr>
      <w:r>
        <w:t xml:space="preserve">Reinhart, C. M., Rogoff, K. S. (2009), </w:t>
      </w:r>
      <w:r>
        <w:rPr>
          <w:i/>
          <w:iCs/>
        </w:rPr>
        <w:t>This Time Is Different: Eight Centuries of Financial Folly</w:t>
      </w:r>
      <w:r>
        <w:t>, Princeton University Press, Princeton.</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14:paraId="7C19D786" w14:textId="77777777" w:rsidR="005D3DB2" w:rsidRDefault="00000000">
      <w:pPr>
        <w:pStyle w:val="Reference"/>
      </w:pPr>
      <w:r>
        <w:t xml:space="preserve">Timmermann, A. (2006), “Forecast combinations”, </w:t>
      </w:r>
      <w:r>
        <w:rPr>
          <w:i/>
          <w:iCs/>
        </w:rPr>
        <w:t>Handbook of Economic Forecasting</w:t>
      </w:r>
      <w:r>
        <w:t>, Vol. 1, Elsevier, Amsterdam, pp. 135–196.</w:t>
      </w:r>
    </w:p>
    <w:p w14:paraId="066E1B81" w14:textId="77777777" w:rsidR="005D3DB2" w:rsidRDefault="00000000">
      <w:pPr>
        <w:pStyle w:val="Reference"/>
      </w:pPr>
      <w:r>
        <w:t xml:space="preserve">Tu, J. (2010), “Is regime switching in stock returns important in portfolio decisions?”, </w:t>
      </w:r>
      <w:r>
        <w:rPr>
          <w:i/>
          <w:iCs/>
        </w:rPr>
        <w:t>Management Science</w:t>
      </w:r>
      <w:r>
        <w:t>, 56(7), pp. 1198–1215.</w:t>
      </w:r>
    </w:p>
    <w:p w14:paraId="4921E606" w14:textId="77777777" w:rsidR="005D3DB2" w:rsidRDefault="00000000">
      <w:pPr>
        <w:pStyle w:val="Reference"/>
      </w:pPr>
      <w:r>
        <w:t xml:space="preserve">Tu, J., Zhou, G. (2011), “Markowitz meets Talmud: A combination of sophisticated and naive diversification strategies”, </w:t>
      </w:r>
      <w:r>
        <w:rPr>
          <w:i/>
          <w:iCs/>
        </w:rPr>
        <w:t>Journal of Financial Economics</w:t>
      </w:r>
      <w:r>
        <w:t>, 99(1), pp. 204–215.</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Giá, khối lượng HNX, UPCoM, HOSE; dữ liệu công bố</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Bảng hỏi hồ sơ rủi ro công khai</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Chế độ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Mô hình chuyển chế độ Markov, cửa sổ mở rộng</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Xác suất lọc của chế độ căng thẳng tại ngày t</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Chất lượng thị trường</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Thanh khoản, hiệu quả, minh bạch</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Hồi quy dữ liệu bảng: H2, H4</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Dịch vụ đầu tư số</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Bảy động cơ, mức hối tiếc: H1,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Nguyên mẫu mã nguồn mở, chuẩn công bố</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Mô hình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Khung yếu tố, so sánh trường hợp</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HNX, UPCoM, HOSE; dữ liệu công bố</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Bảng hỏi hồ sơ rủi ro công khai</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Mô hình chuyển chế độ Markov, cửa sổ mở rộng</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Xác suất lọc của chế độ căng thẳng tại ngày t</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Chế độ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H2, H4</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Chất lượng thị trường</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Bảy động cơ, mức hối tiếc: H1,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Nguyên mẫu mã nguồn mở, chuẩn công bố</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Dịch vụ đầu tư số</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Khung yếu tố, so sánh trường hợp</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Mô hình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