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 xml:space="preserve">TỪ CHẤT LƯỢNG THỊ TRƯỜNG VỐN ĐẾN NĂNG LỰC CẠNH TRANH CỦA TRUNG TÂM TÀI CHÍNH: KHOẢNG CÁCH KHẢ NĂNG ĐẦU TƯ CỦA THỊ TRƯỜNG CHỨNG KHOÁN HÀ NỘI</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0"/>
      </w:pPr>
      <w:r>
        <w:rPr>
          <w:b/>
          <w:bCs/>
        </w:rPr>
        <w:t xml:space="preserve">    - </w:t>
      </w:r>
      <w:r>
        <w:rPr>
          <w:b/>
          <w:bCs/>
        </w:rPr>
        <w:t xml:space="preserve">GS.TS. Nguyễn Đức Khương (người hướng dẫn chính)</w:t>
      </w:r>
    </w:p>
    <w:p>
      <w:pPr>
        <w:spacing w:after="2200"/>
      </w:pPr>
      <w:r>
        <w:rPr>
          <w:b/>
          <w:bCs/>
        </w:rPr>
        <w:t xml:space="preserve">    - PGS.TS. Hà Hồng Hạnh - Trường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t xml:space="preserve">1. Tên đề cương nghiên cứu (không quá 30 từ): </w:t>
      </w:r>
      <w:r>
        <w:t xml:space="preserve">Từ chất lượng thị trường vốn đến năng lực cạnh tranh của trung tâm tài chính: Khoảng cách khả năng đầu tư của thị trường chứng khoán Hà Nội</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instrText xml:space="preserve"> TOC \o "1-3" \h \z \u </w:instrText>
        <w:fldChar w:fldCharType="separate"/>
      </w:r>
      <w:hyperlink w:anchor="_Toc242353127" w:history="1">
        <w:r>
          <w:rPr>
            <w:rStyle w:val="Hyperlink"/>
            <w:noProof/>
          </w:rPr>
          <w:t>4. Đề cương sơ bộ dự kiến</w:t>
        </w:r>
        <w:r>
          <w:rPr>
            <w:noProof/>
            <w:webHidden/>
          </w:rPr>
          <w:tab/>
          <w:fldChar w:fldCharType="begin"/>
          <w:instrText xml:space="preserve"> PAGEREF _Toc242353127 \h </w:instrText>
          <w:fldChar w:fldCharType="separate"/>
          <w:t>1</w:t>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Pr>
            <w:rStyle w:val="Hyperlink"/>
            <w:noProof/>
          </w:rPr>
          <w:t>4.1. Lý do chọn đề tài</w:t>
        </w:r>
        <w:r>
          <w:rPr>
            <w:noProof/>
            <w:webHidden/>
          </w:rPr>
          <w:tab/>
          <w:fldChar w:fldCharType="begin"/>
          <w:instrText xml:space="preserve"> PAGEREF _Toc242353128 \h </w:instrText>
          <w:fldChar w:fldCharType="separate"/>
          <w:t>1</w:t>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Pr>
            <w:rStyle w:val="Hyperlink"/>
            <w:noProof/>
          </w:rPr>
          <w:t>4.2. Tổng quan những tài liệu liên quan đến tình hình nghiên cứu</w:t>
        </w:r>
        <w:r>
          <w:rPr>
            <w:noProof/>
            <w:webHidden/>
          </w:rPr>
          <w:tab/>
          <w:fldChar w:fldCharType="begin"/>
          <w:instrText xml:space="preserve"> PAGEREF _Toc242353129 \h </w:instrText>
          <w:fldChar w:fldCharType="separate"/>
          <w:t>3</w:t>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Pr>
            <w:rStyle w:val="Hyperlink"/>
            <w:noProof/>
          </w:rPr>
          <w:t>4.3. Phương pháp nghiên cứu / Mô hình lý thuyết</w:t>
        </w:r>
        <w:r>
          <w:rPr>
            <w:noProof/>
            <w:webHidden/>
          </w:rPr>
          <w:tab/>
          <w:fldChar w:fldCharType="begin"/>
          <w:instrText xml:space="preserve"> PAGEREF _Toc242353130 \h </w:instrText>
          <w:fldChar w:fldCharType="separate"/>
          <w:t>7</w:t>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Pr>
            <w:rStyle w:val="Hyperlink"/>
            <w:noProof/>
          </w:rPr>
          <w:t>4.3.1. Khung lý thuyết</w:t>
        </w:r>
        <w:r>
          <w:rPr>
            <w:noProof/>
            <w:webHidden/>
          </w:rPr>
          <w:tab/>
          <w:fldChar w:fldCharType="begin"/>
          <w:instrText xml:space="preserve"> PAGEREF _Toc242353131 \h </w:instrText>
          <w:fldChar w:fldCharType="separate"/>
          <w:t>7</w:t>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Pr>
            <w:rStyle w:val="Hyperlink"/>
            <w:noProof/>
          </w:rPr>
          <w:t>4.3.2. Mô hình nghiên cứu và giả thuyết</w:t>
        </w:r>
        <w:r>
          <w:rPr>
            <w:noProof/>
            <w:webHidden/>
          </w:rPr>
          <w:tab/>
          <w:fldChar w:fldCharType="begin"/>
          <w:instrText xml:space="preserve"> PAGEREF _Toc242353132 \h </w:instrText>
          <w:fldChar w:fldCharType="separate"/>
          <w:t>7</w:t>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Pr>
            <w:rStyle w:val="Hyperlink"/>
            <w:noProof/>
          </w:rPr>
          <w:t>4.3.3. Dữ liệu</w:t>
        </w:r>
        <w:r>
          <w:rPr>
            <w:noProof/>
            <w:webHidden/>
          </w:rPr>
          <w:tab/>
          <w:fldChar w:fldCharType="begin"/>
          <w:instrText xml:space="preserve"> PAGEREF _Toc242353133 \h </w:instrText>
          <w:fldChar w:fldCharType="separate"/>
          <w:t>9</w:t>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Pr>
            <w:rStyle w:val="Hyperlink"/>
            <w:noProof/>
          </w:rPr>
          <w:t xml:space="preserve">4.3.4. </w:t>
        </w:r>
        <w:r>
          <w:rPr>
            <w:rStyle w:val="Hyperlink"/>
            <w:noProof/>
          </w:rPr>
          <w:t xml:space="preserve">Chỉ số chất lượng thị trường vốn</w:t>
        </w:r>
        <w:r>
          <w:rPr>
            <w:noProof/>
            <w:webHidden/>
          </w:rPr>
          <w:tab/>
          <w:fldChar w:fldCharType="begin"/>
          <w:instrText xml:space="preserve"> PAGEREF _Toc242353134 \h </w:instrText>
          <w:fldChar w:fldCharType="separate"/>
          <w:t>9</w:t>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Pr>
            <w:rStyle w:val="Hyperlink"/>
            <w:noProof/>
          </w:rPr>
          <w:t xml:space="preserve">4.3.5. </w:t>
        </w:r>
        <w:r>
          <w:rPr>
            <w:rStyle w:val="Hyperlink"/>
            <w:noProof/>
          </w:rPr>
          <w:t xml:space="preserve">Mô hình phân bổ dùng làm công cụ đo và đăng ký trước</w:t>
        </w:r>
        <w:r>
          <w:rPr>
            <w:noProof/>
            <w:webHidden/>
          </w:rPr>
          <w:tab/>
          <w:fldChar w:fldCharType="begin"/>
          <w:instrText xml:space="preserve"> PAGEREF _Toc242353135 \h </w:instrText>
          <w:fldChar w:fldCharType="separate"/>
          <w:t>10</w:t>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Pr>
            <w:rStyle w:val="Hyperlink"/>
            <w:noProof/>
          </w:rPr>
          <w:t xml:space="preserve">4.3.6. </w:t>
        </w:r>
        <w:r>
          <w:rPr>
            <w:rStyle w:val="Hyperlink"/>
            <w:noProof/>
          </w:rPr>
          <w:t xml:space="preserve">Chỉ số khả năng đầu tư</w:t>
        </w:r>
        <w:r>
          <w:rPr>
            <w:noProof/>
            <w:webHidden/>
          </w:rPr>
          <w:tab/>
          <w:fldChar w:fldCharType="begin"/>
          <w:instrText xml:space="preserve"> PAGEREF _Toc242353136 \h </w:instrText>
          <w:fldChar w:fldCharType="separate"/>
          <w:t>11</w:t>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Pr>
            <w:rStyle w:val="Hyperlink"/>
            <w:noProof/>
          </w:rPr>
          <w:t>4.3.7. Kiểm định giả thuyết</w:t>
        </w:r>
        <w:r>
          <w:rPr>
            <w:noProof/>
            <w:webHidden/>
          </w:rPr>
          <w:tab/>
          <w:fldChar w:fldCharType="begin"/>
          <w:instrText xml:space="preserve"> PAGEREF _Toc242353137 \h </w:instrText>
          <w:fldChar w:fldCharType="separate"/>
          <w:t>12</w:t>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Pr>
            <w:rStyle w:val="Hyperlink"/>
            <w:noProof/>
          </w:rPr>
          <w:t xml:space="preserve">4.3.8. </w:t>
        </w:r>
        <w:r>
          <w:rPr>
            <w:rStyle w:val="Hyperlink"/>
            <w:noProof/>
          </w:rPr>
          <w:t xml:space="preserve">Phân rã khoảng cách theo kênh</w:t>
        </w:r>
        <w:r>
          <w:rPr>
            <w:noProof/>
            <w:webHidden/>
          </w:rPr>
          <w:tab/>
          <w:fldChar w:fldCharType="begin"/>
          <w:instrText xml:space="preserve"> PAGEREF _Toc242353138 \h </w:instrText>
          <w:fldChar w:fldCharType="separate"/>
          <w:t>13</w:t>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Pr>
            <w:rStyle w:val="Hyperlink"/>
            <w:noProof/>
          </w:rPr>
          <w:t>4.3.9. Quy trình nghiên cứu</w:t>
        </w:r>
        <w:r>
          <w:rPr>
            <w:noProof/>
            <w:webHidden/>
          </w:rPr>
          <w:tab/>
          <w:fldChar w:fldCharType="begin"/>
          <w:instrText xml:space="preserve"> PAGEREF _Toc242353139 \h </w:instrText>
          <w:fldChar w:fldCharType="separate"/>
          <w:t>14</w:t>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Pr>
            <w:rStyle w:val="Hyperlink"/>
            <w:noProof/>
          </w:rPr>
          <w:t>4.3.10. Độ tin cậy, giới hạn và khả năng thực hiện</w:t>
        </w:r>
        <w:r>
          <w:rPr>
            <w:noProof/>
            <w:webHidden/>
          </w:rPr>
          <w:tab/>
          <w:fldChar w:fldCharType="begin"/>
          <w:instrText xml:space="preserve"> PAGEREF _Toc242353140 \h </w:instrText>
          <w:fldChar w:fldCharType="separate"/>
          <w:t>15</w:t>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Pr>
            <w:rStyle w:val="Hyperlink"/>
            <w:noProof/>
          </w:rPr>
          <w:t>4.4. Đối tượng và phạm vi nghiên cứu</w:t>
        </w:r>
        <w:r>
          <w:rPr>
            <w:noProof/>
            <w:webHidden/>
          </w:rPr>
          <w:tab/>
          <w:fldChar w:fldCharType="begin"/>
          <w:instrText xml:space="preserve"> PAGEREF _Toc242353141 \h </w:instrText>
          <w:fldChar w:fldCharType="separate"/>
          <w:t>15</w:t>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Pr>
            <w:rStyle w:val="Hyperlink"/>
            <w:noProof/>
          </w:rPr>
          <w:t>4.5. Dự kiến bố cục các chương và các tiểu mục đến 3 chữ số</w:t>
        </w:r>
        <w:r>
          <w:rPr>
            <w:noProof/>
            <w:webHidden/>
          </w:rPr>
          <w:tab/>
          <w:fldChar w:fldCharType="begin"/>
          <w:instrText xml:space="preserve"> PAGEREF _Toc242353142 \h </w:instrText>
          <w:fldChar w:fldCharType="separate"/>
          <w:t>16</w:t>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Pr>
            <w:rStyle w:val="Hyperlink"/>
            <w:noProof/>
          </w:rPr>
          <w:t>5. Lý do chọn cơ sở nghiên cứu</w:t>
        </w:r>
        <w:r>
          <w:rPr>
            <w:noProof/>
            <w:webHidden/>
          </w:rPr>
          <w:tab/>
          <w:fldChar w:fldCharType="begin"/>
          <w:instrText xml:space="preserve"> PAGEREF _Toc242353143 \h </w:instrText>
          <w:fldChar w:fldCharType="separate"/>
          <w:t>17</w:t>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Pr>
            <w:rStyle w:val="Hyperlink"/>
            <w:noProof/>
          </w:rPr>
          <w:t>6. Mục tiêu và mong muốn đạt được khi đăng ký đi học nghiên cứu sinh</w:t>
        </w:r>
        <w:r>
          <w:rPr>
            <w:noProof/>
            <w:webHidden/>
          </w:rPr>
          <w:tab/>
          <w:fldChar w:fldCharType="begin"/>
          <w:instrText xml:space="preserve"> PAGEREF _Toc242353144 \h </w:instrText>
          <w:fldChar w:fldCharType="separate"/>
          <w:t>18</w:t>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Pr>
            <w:rStyle w:val="Hyperlink"/>
            <w:noProof/>
          </w:rPr>
          <w:t>7. Những dự định và kế hoạch để đạt được những mục tiêu mong muốn</w:t>
        </w:r>
        <w:r>
          <w:rPr>
            <w:noProof/>
            <w:webHidden/>
          </w:rPr>
          <w:tab/>
          <w:fldChar w:fldCharType="begin"/>
          <w:instrText xml:space="preserve"> PAGEREF _Toc242353145 \h </w:instrText>
          <w:fldChar w:fldCharType="separate"/>
          <w:t>18</w:t>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Pr>
            <w:rStyle w:val="Hyperlink"/>
            <w:noProof/>
          </w:rPr>
          <w:t>7.1. Học phần đào tạo trình độ tiến sĩ</w:t>
        </w:r>
        <w:r>
          <w:rPr>
            <w:noProof/>
            <w:webHidden/>
          </w:rPr>
          <w:tab/>
          <w:fldChar w:fldCharType="begin"/>
          <w:instrText xml:space="preserve"> PAGEREF _Toc242353146 \h </w:instrText>
          <w:fldChar w:fldCharType="separate"/>
          <w:t>18</w:t>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Pr>
            <w:rStyle w:val="Hyperlink"/>
            <w:noProof/>
          </w:rPr>
          <w:t>7.2. Chuyên đề tiến sĩ</w:t>
        </w:r>
        <w:r>
          <w:rPr>
            <w:noProof/>
            <w:webHidden/>
          </w:rPr>
          <w:tab/>
          <w:fldChar w:fldCharType="begin"/>
          <w:instrText xml:space="preserve"> PAGEREF _Toc242353147 \h </w:instrText>
          <w:fldChar w:fldCharType="separate"/>
          <w:t>18</w:t>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Pr>
            <w:rStyle w:val="Hyperlink"/>
            <w:noProof/>
          </w:rPr>
          <w:t>7.3. Phần nghiên cứu khoa học</w:t>
        </w:r>
        <w:r>
          <w:rPr>
            <w:noProof/>
            <w:webHidden/>
          </w:rPr>
          <w:tab/>
          <w:fldChar w:fldCharType="begin"/>
          <w:instrText xml:space="preserve"> PAGEREF _Toc242353148 \h </w:instrText>
          <w:fldChar w:fldCharType="separate"/>
          <w:t>19</w:t>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Pr>
            <w:rStyle w:val="Hyperlink"/>
            <w:noProof/>
          </w:rPr>
          <w:t>7.4. Phần thực hiện luận án</w:t>
        </w:r>
        <w:r>
          <w:rPr>
            <w:noProof/>
            <w:webHidden/>
          </w:rPr>
          <w:tab/>
          <w:fldChar w:fldCharType="begin"/>
          <w:instrText xml:space="preserve"> PAGEREF _Toc242353149 \h </w:instrText>
          <w:fldChar w:fldCharType="separate"/>
          <w:t>19</w:t>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Pr>
            <w:rStyle w:val="Hyperlink"/>
            <w:noProof/>
          </w:rPr>
          <w:t>8. Kiến thức chuyên môn của người dự tuyển tiến sĩ</w:t>
        </w:r>
        <w:r>
          <w:rPr>
            <w:noProof/>
            <w:webHidden/>
          </w:rPr>
          <w:tab/>
          <w:fldChar w:fldCharType="begin"/>
          <w:instrText xml:space="preserve"> PAGEREF _Toc242353150 \h </w:instrText>
          <w:fldChar w:fldCharType="separate"/>
          <w:t>20</w:t>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Pr>
            <w:rStyle w:val="Hyperlink"/>
            <w:noProof/>
          </w:rPr>
          <w:t>8.1. Kinh nghiệm trong hoạt động chuyên môn</w:t>
        </w:r>
        <w:r>
          <w:rPr>
            <w:noProof/>
            <w:webHidden/>
          </w:rPr>
          <w:tab/>
          <w:fldChar w:fldCharType="begin"/>
          <w:instrText xml:space="preserve"> PAGEREF _Toc242353151 \h </w:instrText>
          <w:fldChar w:fldCharType="separate"/>
          <w:t>20</w:t>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Pr>
            <w:rStyle w:val="Hyperlink"/>
            <w:noProof/>
          </w:rPr>
          <w:t>8.2. Kiến thức, sự hiểu biết và sự chuẩn bị của thí sinh về vấn đề nghiên cứu</w:t>
        </w:r>
        <w:r>
          <w:rPr>
            <w:noProof/>
            <w:webHidden/>
          </w:rPr>
          <w:tab/>
          <w:fldChar w:fldCharType="begin"/>
          <w:instrText xml:space="preserve"> PAGEREF _Toc242353152 \h </w:instrText>
          <w:fldChar w:fldCharType="separate"/>
          <w:t>22</w:t>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Pr>
            <w:rStyle w:val="Hyperlink"/>
            <w:noProof/>
          </w:rPr>
          <w:t>9. Dự kiến việc làm và các hướng nghiên cứu sau khi tốt nghiệp</w:t>
        </w:r>
        <w:r>
          <w:rPr>
            <w:noProof/>
            <w:webHidden/>
          </w:rPr>
          <w:tab/>
          <w:fldChar w:fldCharType="begin"/>
          <w:instrText xml:space="preserve"> PAGEREF _Toc242353153 \h </w:instrText>
          <w:fldChar w:fldCharType="separate"/>
          <w:t>23</w:t>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Pr>
            <w:rStyle w:val="Hyperlink"/>
            <w:noProof/>
          </w:rPr>
          <w:t>10. Đề xuất người hướng dẫn</w:t>
        </w:r>
        <w:r>
          <w:rPr>
            <w:noProof/>
            <w:webHidden/>
          </w:rPr>
          <w:tab/>
          <w:fldChar w:fldCharType="begin"/>
          <w:instrText xml:space="preserve"> PAGEREF _Toc242353154 \h </w:instrText>
          <w:fldChar w:fldCharType="separate"/>
          <w:t>23</w:t>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Pr>
            <w:rStyle w:val="Hyperlink"/>
            <w:noProof/>
          </w:rPr>
          <w:t>11. Danh mục tài liệu tham khảo</w:t>
        </w:r>
        <w:r>
          <w:rPr>
            <w:noProof/>
            <w:webHidden/>
          </w:rPr>
          <w:tab/>
          <w:fldChar w:fldCharType="begin"/>
          <w:instrText xml:space="preserve"> PAGEREF _Toc242353155 \h </w:instrText>
          <w:fldChar w:fldCharType="separate"/>
          <w:t>23</w:t>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242353156" w:history="1">
        <w:r>
          <w:rPr>
            <w:rStyle w:val="Hyperlink"/>
            <w:noProof/>
          </w:rPr>
          <w:t>Bảng 1. Các nhóm nghiên cứu gần nhất và khoảng trống nghiên cứu</w:t>
        </w:r>
        <w:r>
          <w:rPr>
            <w:noProof/>
            <w:webHidden/>
          </w:rPr>
          <w:tab/>
          <w:fldChar w:fldCharType="begin"/>
          <w:instrText xml:space="preserve"> PAGEREF _Toc242353156 \h </w:instrText>
          <w:fldChar w:fldCharType="separate"/>
          <w:t>6</w:t>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2. Giả thuyết, thước đo và cơ sở lý thuyết</w:t>
        </w:r>
        <w:r>
          <w:rPr>
            <w:noProof/>
            <w:webHidden/>
          </w:rPr>
          <w:tab/>
          <w:fldChar w:fldCharType="begin"/>
          <w:instrText xml:space="preserve"> PAGEREF _Toc242353157 \h </w:instrText>
          <w:fldChar w:fldCharType="separate"/>
          <w:t>8</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Bảng 3. Tập mô hình danh mục cạnh tranh</w:t>
        </w:r>
        <w:r>
          <w:rPr>
            <w:noProof/>
            <w:webHidden/>
          </w:rPr>
          <w:tab/>
          <w:fldChar w:fldCharType="begin"/>
          <w:instrText xml:space="preserve"> PAGEREF _Toc242353158 \h </w:instrText>
          <w:fldChar w:fldCharType="separate"/>
          <w:t>10</w:t>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4. Dự kiến bố cục các chương và tiểu mục của luận án</w:t>
        </w:r>
        <w:r>
          <w:rPr>
            <w:noProof/>
            <w:webHidden/>
          </w:rPr>
          <w:tab/>
          <w:fldChar w:fldCharType="begin"/>
          <w:instrText xml:space="preserve"> PAGEREF _Toc242353159 \h </w:instrText>
          <w:fldChar w:fldCharType="separate"/>
          <w:t>17</w:t>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5. Kế hoạch thực hiện luận án theo bốn năm và sản phẩm dự kiến</w:t>
        </w:r>
        <w:r>
          <w:rPr>
            <w:noProof/>
            <w:webHidden/>
          </w:rPr>
          <w:tab/>
          <w:fldChar w:fldCharType="begin"/>
          <w:instrText xml:space="preserve"> PAGEREF _Toc242353160 \h </w:instrText>
          <w:fldChar w:fldCharType="separate"/>
          <w:t>19</w:t>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6. Công trình đã công bố hoặc đã được chấp nhận đăng</w:t>
        </w:r>
        <w:r>
          <w:rPr>
            <w:noProof/>
            <w:webHidden/>
          </w:rPr>
          <w:tab/>
          <w:fldChar w:fldCharType="begin"/>
          <w:instrText xml:space="preserve"> PAGEREF _Toc242353161 \h </w:instrText>
          <w:fldChar w:fldCharType="separate"/>
          <w:t>20</w:t>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Bảng 7. Bản thảo đã gửi tạp chí, chưa công bố tại ngày 30/09/2026</w:t>
        </w:r>
        <w:r>
          <w:rPr>
            <w:noProof/>
            <w:webHidden/>
          </w:rPr>
          <w:tab/>
          <w:fldChar w:fldCharType="begin"/>
          <w:instrText xml:space="preserve"> PAGEREF _Toc242353162 \h </w:instrText>
          <w:fldChar w:fldCharType="separate"/>
          <w:t>21</w:t>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242353163" w:history="1">
        <w:r>
          <w:rPr>
            <w:rStyle w:val="Hyperlink"/>
            <w:noProof/>
          </w:rPr>
          <w:t xml:space="preserve">Hình 1. </w:t>
        </w:r>
        <w:r>
          <w:rPr>
            <w:rStyle w:val="Hyperlink"/>
            <w:noProof/>
          </w:rPr>
          <w:t xml:space="preserve">Khung phân tích: chất lượng thị trường vốn, khả năng đầu tư và năng lực cạnh tranh của trung tâm tài chính</w:t>
        </w:r>
        <w:r>
          <w:rPr>
            <w:noProof/>
            <w:webHidden/>
          </w:rPr>
          <w:tab/>
          <w:fldChar w:fldCharType="begin"/>
          <w:instrText xml:space="preserve"> PAGEREF _Toc242353163 \h </w:instrText>
          <w:fldChar w:fldCharType="separate"/>
          <w:t>7</w:t>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 xml:space="preserve">Hình 2. Cửa sổ ước lượng, cửa sổ đánh giá và </w:t>
        </w:r>
        <w:r>
          <w:rPr>
            <w:rStyle w:val="Hyperlink"/>
            <w:noProof/>
          </w:rPr>
          <w:t xml:space="preserve">cách tính khoảng cách khả năng đầu tư</w:t>
        </w:r>
        <w:r>
          <w:rPr>
            <w:noProof/>
            <w:webHidden/>
          </w:rPr>
          <w:tab/>
          <w:fldChar w:fldCharType="begin"/>
          <w:instrText xml:space="preserve"> PAGEREF _Toc242353164 \h </w:instrText>
          <w:fldChar w:fldCharType="separate"/>
          <w:t>12</w:t>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3. Quy trình nghiên cứu</w:t>
        </w:r>
        <w:r>
          <w:rPr>
            <w:noProof/>
            <w:webHidden/>
          </w:rPr>
          <w:tab/>
          <w:fldChar w:fldCharType="begin"/>
          <w:instrText xml:space="preserve"> PAGEREF _Toc242353165 \h </w:instrText>
          <w:fldChar w:fldCharType="separate"/>
          <w:t>14</w:t>
          <w:fldChar w:fldCharType="end"/>
        </w:r>
      </w:hyperlink>
    </w:p>
    <w:p w14:paraId="44E6522E" w14:textId="77777777" w:rsidR="005D3DB2" w:rsidRDefault="00000000">
      <w:pPr>
        <w:spacing w:line="120" w:lineRule="auto"/>
      </w:pPr>
      <w:r>
        <w:fldChar w:fldCharType="end"/>
      </w:r>
    </w:p>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 xml:space="preserve">Hà Nội đặt mục tiêu trở thành trung tâm tài chính và dịch vụ chất lượng cao quốc tế. Thành phố đưa mục tiêu này vào Danh mục bài toán lớn giai đoạn 2026–2030 dưới dạng bài toán số 19: “Phương thức nào để xây dựng Hà Nội thành trung tâm tài chính và dịch vụ chất lượng cao quốc tế?” (Ủy ban nhân dân thành phố Hà Nội, 2026) [CẦN ĐỐI CHIẾU bản chính thức]. Bài toán nêu bốn câu hỏi chính: mô hình trung tâm tài chính nào phù hợp với Hà Nội; công nghệ tài chính nào hiện đại hóa hệ thống tài chính đô thị; nền tảng công nghệ nào tăng cường minh bạch và hiệu quả của thị trường tài chính; và phát triển dịch vụ tài chính thế hệ mới ra sao. Đề tài tiếp cận bài toán qua một cấu phần đo được là chất lượng thị trường vốn, gắn với câu hỏi thứ nhất (mô hình phát triển) và câu hỏi thứ ba (minh bạch và hiệu quả thị trường).</w:t>
      </w:r>
    </w:p>
    <w:p w14:paraId="2EA2BE63" w14:textId="77777777" w:rsidR="005D3DB2" w:rsidRDefault="00000000">
      <w:pPr>
        <w:pStyle w:val="BodyText"/>
      </w:pPr>
      <w:r>
        <w:t xml:space="preserve">Đề cương dùng bốn khái niệm với nghĩa cố định. Năng lực cạnh tranh của trung tâm tài chính là khả năng giữ và thu hút các tổ chức tài chính và cung cấp dịch vụ đáp ứng nhu cầu trong nước và quốc tế (Yao, 2012); đề tài đo khái niệm này bằng điểm đánh giá của Chỉ số Trung tâm Tài chính Toàn cầu (GFCI) như Naeem (2023). Chất lượng thị trường vốn gồm bốn chiều: thanh khoản, hiệu quả thông tin, minh bạch công bố và độ sâu. Khả năng đầu tư của một thị trường là mức lợi suất tương đương chắc chắn sau chi phí giao dịch mà một nhà đầu tư đa dạng hóa đạt được khi chỉ dùng cổ phiếu của thị trường đó. Khoảng cách khả năng đầu tư là chênh lệch khả năng đầu tư giữa HOSE và thị trường do Sở Giao dịch Chứng khoán Hà Nội (HNX) vận hành.</w:t>
      </w:r>
    </w:p>
    <w:p w14:paraId="346EA82B" w14:textId="77777777" w:rsidR="005D3DB2" w:rsidRDefault="00000000">
      <w:pPr>
        <w:pStyle w:val="BodyText"/>
      </w:pPr>
      <w:r>
        <w:t xml:space="preserve">Việt Nam xây dựng trung tâm tài chính quốc tế đặt tại Thành phố Hồ Chí Minh và Đà Nẵng [CẦN XÁC MINH văn bản chính thức]. Thành phố Hồ Chí Minh có mặt trong bảng xếp hạng GFCI từ năm 2022, đứng thứ 98 trên 119 trung tâm ở kỳ GFCI 37 (tháng 3/2025) và thứ 95 trên 120 ở kỳ GFCI 38 (tháng 9/2025) (Báo Điện tử Chính phủ, 2025; Tuổi Trẻ, 2025). Thí sinh chưa thấy Hà Nội trong các kỳ xếp hạng này [CẦN XÁC MINH trên báo cáo gốc]. Lợi thế sẵn có của Hà Nội nằm ở thị trường vốn: thành phố là nơi đặt trụ sở các cơ quan quản lý tài chính và HNX, đơn vị vận hành thị trường cổ phiếu niêm yết, UPCoM, trái phiếu chính phủ và chứng khoán phái sinh [CẦN XÁC MINH]. Câu hỏi đặt ra cho Hà Nội là chất lượng của thị trường vốn này đã đủ làm nền cho một trung tâm tài chính hay chưa.</w:t>
      </w:r>
    </w:p>
    <w:p w14:paraId="1436490C" w14:textId="77777777" w:rsidR="005D3DB2" w:rsidRDefault="00000000">
      <w:pPr>
        <w:pStyle w:val="BodyText"/>
      </w:pPr>
      <w:r>
        <w:t xml:space="preserve">Tài liệu quốc tế gắn vị thế của một trung tâm tài chính với chất lượng sàn giao dịch của nó. Cetorelli và Peristiani (2013) xếp hạng 45 sàn chứng khoán giai đoạn 1990–2006 theo mạng lưới niêm yết quốc tế và thấy các sàn có uy tín cao thuộc những quốc gia có nền tảng pháp quyền mạnh. Lang và cộng sự (2012) cho thấy doanh nghiệp minh bạch hơn có chi phí giao dịch thấp hơn và thanh khoản cao hơn, và tác động này lớn hơn khi thị trường biến động và ở nơi bảo vệ nhà đầu tư yếu. Thị trường chứng khoán Việt Nam đã trải qua nhiều giai đoạn căng thẳng: khủng hoảng tài chính toàn cầu (Vo và Phan, 2017), đại dịch COVID-19 (Dao và cộng sự, 2021), biến cố thị trường trái phiếu doanh nghiệp quý 4/2022 (International Monetary Fund, 2023) và các đợt sụt giảm lan truyền giữa các ngành (Vu và cộng sự, 2024). Khủng hoảng tài chính lặp lại qua nhiều thế kỷ (Reinhart và Rogoff, 2009; Laeven và Valencia, 2020), nên chất lượng thị trường cần được đo cả trong các giai đoạn này.</w:t>
      </w:r>
    </w:p>
    <w:p>
      <w:pPr>
        <w:pStyle w:val="BodyText"/>
      </w:pPr>
      <w:r>
        <w:t xml:space="preserve">Với nhà đầu tư, chất lượng thị trường biểu hiện thành kết quả đầu tư. Một thị trường ít cổ phiếu thanh khoản, chi phí giao dịch cao và thông tin công bố chậm làm danh mục đa dạng hóa đạt lợi suất tương đương chắc chắn thấp hơn. Kết quả này còn phụ thuộc vào mô hình phân bổ: DeMiguel và cộng sự (2009) so sánh 14 mô hình trên bảy bộ dữ liệu và không thấy mô hình nào vượt quy tắc chia đều vốn cho N tài sản (quy tắc 1/N) một cách nhất quán. Vì vậy, đề tài đo khoảng cách khả năng đầu tư trên một tập bảy mô hình phân bổ thay vì một mô hình duy nhất, và gộp kết quả thành một chỉ số. Chỉ số này chuyển các thước đo vi cấu trúc thị trường thành một đại lượng mà nhà hoạch định chính sách đọc được: số điểm phần trăm lợi suất mỗi năm mà nhà đầu tư mất đi khi đầu tư trên thị trường Hà Nội.</w:t>
      </w:r>
    </w:p>
    <w:p w14:paraId="019D1985" w14:textId="77777777" w:rsidR="005D3DB2" w:rsidRDefault="00000000">
      <w:pPr>
        <w:pStyle w:val="BodyText"/>
      </w:pPr>
      <w:r>
        <w:t xml:space="preserve">Tài liệu hiện có để ngỏ ba vấn đề. Thứ nhất, nghiên cứu về năng lực cạnh tranh của trung tâm tài chính xét đồng thời nhiều nhóm yếu tố như thể chế, thuế, nhân lực và hạ tầng (Yao, 2012; Naeem, 2023), nhưng thí sinh chưa thấy công trình nào tách riêng phần đóng góp của chất lượng thị trường vốn. Thứ hai, các nghiên cứu về chất lượng thị trường đo thanh khoản và minh bạch (Amihud, 2002; Lang và cộng sự, 2012) nhưng chưa quy đổi chúng thành tổn thất của nhà đầu tư đa dạng hóa. Thứ ba, các công trình về thị trường Việt Nam tập trung vào HOSE và VN-Index (Vo và Phan, 2017; Hoang và Luu, 2024; Goutte và cộng sự, 2025), chưa đo chất lượng và khả năng đầu tư của thị trường do HNX vận hành so với HOSE. Các nhận định này giới hạn trong phạm vi tìm kiếm nêu ở cuối mục 4.2.</w:t>
      </w:r>
    </w:p>
    <w:p w14:paraId="02E8B3B9" w14:textId="77777777" w:rsidR="005D3DB2" w:rsidRDefault="00000000">
      <w:pPr>
        <w:pStyle w:val="BodyText"/>
      </w:pPr>
      <w:r>
        <w:rPr>
          <w:b/>
          <w:bCs/>
        </w:rPr>
        <w:t>Câu hỏi nghiên cứu.</w:t>
      </w:r>
      <w:r>
        <w:t xml:space="preserve"> Từ những vấn đề trên, </w:t>
      </w:r>
      <w:r>
        <w:t xml:space="preserve">đề tài đặt ra </w:t>
      </w:r>
      <w:r>
        <w:t xml:space="preserve">ba câu hỏi</w:t>
      </w:r>
      <w:r>
        <w:t xml:space="preserve">, mỗi câu gắn với câu hỏi chính của bài toán số 19:</w:t>
      </w:r>
    </w:p>
    <w:p w14:paraId="344380B9" w14:textId="77777777" w:rsidR="005D3DB2" w:rsidRDefault="00000000">
      <w:pPr>
        <w:pStyle w:val="BodyText"/>
      </w:pPr>
      <w:r>
        <w:t xml:space="preserve">Câu hỏi 1: Chất lượng thị trường vốn liên hệ thế nào với năng lực cạnh tranh của trung tâm tài chính, sau khi kiểm soát thể chế và thu nhập? (câu hỏi số 1 của bài toán số 19)</w:t>
      </w:r>
    </w:p>
    <w:p w14:paraId="1CAE073F" w14:textId="77777777" w:rsidR="005D3DB2" w:rsidRDefault="00000000">
      <w:pPr>
        <w:pStyle w:val="BodyText"/>
      </w:pPr>
      <w:r>
        <w:t xml:space="preserve">Câu hỏi 2: Chất lượng thị trường vốn do HNX vận hành đứng ở đâu so với HOSE, và thay đổi thế nào trong các giai đoạn căng thẳng? (câu hỏi số 3)</w:t>
      </w:r>
    </w:p>
    <w:p w14:paraId="5B58B265" w14:textId="77777777" w:rsidR="005D3DB2" w:rsidRDefault="00000000">
      <w:pPr>
        <w:pStyle w:val="BodyText"/>
      </w:pPr>
      <w:r>
        <w:t xml:space="preserve">Câu hỏi 3: Nhà đầu tư đa dạng hóa trên thị trường do HNX vận hành chịu khoảng cách khả năng đầu tư bao nhiêu so với HOSE, khoảng cách này do kênh nào gây ra, và cải thiện kênh nào thu hẹp khoảng cách nhiều nhất? (câu hỏi số 1 và số 3)</w:t>
      </w:r>
    </w:p>
    <w:p w14:paraId="74C0BF37" w14:textId="77777777" w:rsidR="005D3DB2" w:rsidRDefault="00000000">
      <w:pPr>
        <w:pStyle w:val="BodyText"/>
      </w:pPr>
      <w:r>
        <w:rPr>
          <w:b/>
          <w:bCs/>
        </w:rPr>
        <w:t>Mục tiêu nghiên cứu.</w:t>
      </w:r>
      <w:r>
        <w:t xml:space="preserve"> </w:t>
      </w:r>
      <w:r>
        <w:t xml:space="preserve">Mục tiêu tổng quát là lượng hóa vai trò của chất lượng thị trường vốn đối với năng lực cạnh tranh của trung tâm tài chính và xác định thứ tự ưu tiên cải thiện thị trường vốn Hà Nội. Đề tài có bốn mục tiêu cụ thể: (i) ước lượng liên hệ giữa chất lượng thị trường vốn và điểm GFCI trên dữ liệu bảng quốc tế; (ii) xây dựng Chỉ số chất lượng thị trường vốn theo tháng cho thị trường do HNX vận hành và cho HOSE; (iii) xây dựng Chỉ số khả năng đầu tư dựa trên bảy mô hình phân bổ danh mục và phân rã khoảng cách giữa hai thị trường theo kênh; (iv) đề xuất thứ tự ưu tiên chính sách và hạ tầng dữ liệu cho Hà Nội.</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pPr>
        <w:pStyle w:val="FirstParagraph"/>
      </w:pPr>
      <w:r>
        <w:rPr>
          <w:i/>
          <w:iCs/>
        </w:rPr>
        <w:t xml:space="preserve">(A) Năng lực cạnh tranh của trung tâm tài chính.</w:t>
      </w:r>
      <w:r>
        <w:rPr/>
        <w:t xml:space="preserve"> Yao (2012) xác định các yếu tố quyết định sức hấp dẫn và sức cạnh tranh của trung tâm tài chính đối với ngành quỹ đầu tư, dùng mô hình lý thuyết, khảo sát 135 người làm nghề và kinh tế lượng cho trường hợp Luxembourg; khung pháp lý và thuế, thị trường lao động, hiệu quả hành chính, chất lượng các bên tham gia và hạ tầng là các yếu tố chính. Naeem (2023) thu thập dữ liệu của 196 trung tâm tài chính và 238 yếu tố giai đoạn 2007–2020 để xác định yếu tố nào ảnh hưởng tới thứ hạng GFCI; thí sinh mới đọc phần tóm tắt và thông tin thư mục của luận án này [CẦN ĐỌC TOÀN VĂN]. Cetorelli và Peristiani (2013) đo vị thế của trung tâm tài chính qua mạng lưới niêm yết quốc tế của sàn chứng khoán. Nhóm tài liệu này xếp hạng trung tâm theo nhiều yếu tố cùng lúc; thí sinh chưa thấy công trình tách riêng vai trò của chất lượng thị trường vốn.</w:t>
      </w:r>
    </w:p>
    <w:p>
      <w:pPr>
        <w:pStyle w:val="FirstParagraph"/>
      </w:pPr>
      <w:r>
        <w:rPr>
          <w:i/>
          <w:iCs/>
        </w:rPr>
        <w:t xml:space="preserve">(B) Chất lượng thị trường vốn.</w:t>
      </w:r>
      <w:r>
        <w:rPr/>
        <w:t xml:space="preserve"> Amihud (2002) đề xuất độ phi thanh khoản, tỷ số giữa lợi suất tuyệt đối và giá trị giao dịch. Lesmond và cộng sự (1999) ước lượng chi phí giao dịch từ tần suất ngày có lợi suất bằng 0, còn Corwin và Schultz (2012) ước lượng chênh lệch mua–bán từ giá cao nhất và thấp nhất trong ngày. Về hiệu quả thông tin, Lo và MacKinlay (1988) đề xuất kiểm định tỷ số phương sai, và Hou và Moskowitz (2005) đo độ trễ phản ánh thông tin thị trường vào giá cổ phiếu. Lang và cộng sự (2012) nối minh bạch với thanh khoản, còn Čihák và cộng sự (2012) xây dựng Cơ sở dữ liệu Phát triển Tài chính Toàn cầu, trong đó tỷ lệ vòng quay cổ phiếu đo hiệu quả và vốn hóa đo độ sâu của thị trường. Các thước đo này đã chuẩn hóa, nhưng thí sinh chưa thấy công trình nào quy đổi chúng thành tổn thất của nhà đầu tư đa dạng hóa.</w:t>
      </w:r>
    </w:p>
    <w:p w14:paraId="13247091" w14:textId="77777777" w:rsidR="005D3DB2" w:rsidRDefault="00000000">
      <w:pPr>
        <w:pStyle w:val="FirstParagraph"/>
      </w:pPr>
      <w:r>
        <w:rPr>
          <w:i/>
          <w:iCs/>
        </w:rPr>
        <w:t xml:space="preserve">(C) Đa dạng hóa danh mục khi tham số được ước lượng.</w:t>
      </w:r>
      <w:r>
        <w:rPr/>
        <w:t xml:space="preserve"> Tối ưu hóa trung bình–phương sai (Markowitz, 1952) dồn trọng số vào những tài sản có sai số ước lượng lớn (Michaud, 1989), và việc thay tham số tổng thể bằng ước lượng mẫu làm hiệu quả ngoài mẫu giảm (Kan và Zhou, 2007). Ledoit và Wolf (2004) co rút ma trận hiệp phương sai, Black và Litterman (1992) kết hợp lợi suất cân bằng với quan điểm của nhà đầu tư, và Bessler và cộng sự (2017) thấy cách tiếp cận này cho hiệu quả ngoài mẫu tốt trên dữ liệu đa tài sản. Garlappi và cộng sự (2007) xây dựng danh mục vững chắc với nhiều niềm tin tiên nghiệm. DeMiguel và cộng sự (2009) không thấy mô hình nào vượt quy tắc 1/N một cách nhất quán, và Pflug và cộng sự (2012) chứng minh 1/N xấp xỉ tối ưu khi mức mơ hồ về mô hình cao. Ledoit và Wolf (2008) và Bailey và López de Prado (2014) cung cấp kiểm định cho chênh lệch hiệu quả giữa các danh mục. Đề tài dùng nhóm công cụ này để đo khả năng đầu tư của một thị trường, không để chọn mô hình tốt nhất.</w:t>
      </w:r>
    </w:p>
    <w:p w14:paraId="77FF2C03" w14:textId="77777777" w:rsidR="005D3DB2" w:rsidRDefault="00000000">
      <w:pPr>
        <w:pStyle w:val="BodyText"/>
      </w:pPr>
      <w:r>
        <w:rPr>
          <w:i/>
          <w:iCs/>
        </w:rPr>
        <w:t xml:space="preserve">(D) Nghiên cứu về Việt Nam.</w:t>
      </w:r>
      <w:r>
        <w:rPr/>
        <w:t xml:space="preserve"> Vo và Phan (2017) dùng 299 công ty niêm yết trên HOSE giai đoạn 2005–2015 và tìm thấy hành vi bầy đàn, rõ hơn khi thị trường giảm. Hoang và Luu (2024), trong một bản thảo công bố trực tuyến, phân tích chế độ biến động của VN-Index giai đoạn 2012–2023. Về danh mục, Ta và Vuong (2020) áp dụng mô hình Black–Litterman với quan điểm dự báo từ mô hình ARIMA, còn Nguyen và cộng sự (2020) dùng ma trận hiệp phương sai co rút trên dữ liệu 468 tuần giai đoạn 2011–2019. Goutte và cộng sự (2025) so sánh các phương pháp ra quyết định đa tiêu chí trên rổ VN100 của HOSE, và bài báo của chính thí sinh (Nguyen và Nguyen, 2026a) áp dụng mô hình Black–Litterman có chuyển chế độ giai đoạn 2019–2025. Thí sinh chưa thấy công trình nào trong nhóm này so sánh chất lượng hoặc khả năng đầu tư giữa thị trường do HNX vận hành và HOSE.</w:t>
      </w:r>
    </w:p>
    <w:p w14:paraId="09642D02" w14:textId="77777777" w:rsidR="005D3DB2" w:rsidRDefault="00000000">
      <w:pPr>
        <w:pStyle w:val="BodyText"/>
      </w:pPr>
      <w:r>
        <w:rPr>
          <w:b/>
          <w:bCs/>
        </w:rPr>
        <w:t>Khoảng trống nghiên cứu.</w:t>
      </w:r>
      <w:r>
        <w:t xml:space="preserve"> Bảng 1 đối chiếu bốn nhóm công trình gần nhất với đề tài và nêu khoảng trống của từng nhóm.</w:t>
      </w:r>
    </w:p>
    <w:p w14:paraId="631F5DFF" w14:textId="77777777" w:rsidR="005D3DB2" w:rsidRDefault="00000000">
      <w:pPr>
        <w:pStyle w:val="TableCaption"/>
      </w:pPr>
      <w:bookmarkStart w:id="6" w:name="_Toc242353156"/>
      <w:r>
        <w:t xml:space="preserve">Bảng </w:t>
      </w:r>
      <w:fldSimple w:instr=" SEQ Bảng \* ARABIC ">
        <w:r>
          <w:rPr>
            <w:noProof/>
          </w:rPr>
          <w:t>1</w:t>
        </w:r>
      </w:fldSimple>
      <w:r>
        <w:t>. Các nhóm nghiên cứu gần nhất và khoảng trống nghiên cứu</w:t>
      </w:r>
      <w:bookmarkEnd w:id="6"/>
    </w:p>
    <w:tbl>
      <w:tblPr>
        <w:tblStyle w:val="Table"/>
        <w:tblW w:w="5000" w:type="pct"/>
        <w:tblLook w:val="0020" w:firstRow="1" w:lastRow="0" w:firstColumn="0" w:lastColumn="0" w:noHBand="0" w:noVBand="0"/>
      </w:tblPr>
      <w:tblGrid>
        <w:gridCol w:w="3366"/>
        <w:gridCol w:w="2863"/>
        <w:gridCol w:w="2549"/>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565E949" w14:textId="77777777" w:rsidR="005D3DB2" w:rsidRDefault="00000000">
            <w:pPr>
              <w:pStyle w:val="Compact"/>
            </w:pPr>
            <w:r>
              <w:t>Nhóm nghiên cứu</w:t>
            </w:r>
          </w:p>
        </w:tc>
        <w:tc>
          <w:tcPr>
            <w:tcW w:w="0" w:type="auto"/>
          </w:tcPr>
          <w:p w14:paraId="71B373B4" w14:textId="77777777" w:rsidR="005D3DB2" w:rsidRDefault="00000000">
            <w:pPr>
              <w:pStyle w:val="Compact"/>
            </w:pPr>
            <w:r>
              <w:t>Kết quả đã có</w:t>
            </w:r>
          </w:p>
        </w:tc>
        <w:tc>
          <w:tcPr>
            <w:tcW w:w="0" w:type="auto"/>
          </w:tcPr>
          <w:p w14:paraId="0C6AA699" w14:textId="77777777" w:rsidR="005D3DB2" w:rsidRDefault="00000000">
            <w:pPr>
              <w:pStyle w:val="Compact"/>
            </w:pPr>
            <w:r>
              <w:t>Khoảng trống</w:t>
            </w:r>
          </w:p>
        </w:tc>
      </w:tr>
      <w:tr w:rsidR="005D3DB2" w14:paraId="1E533131" w14:textId="77777777">
        <w:trPr>
          <w:cantSplit/>
        </w:trPr>
        <w:tc>
          <w:tcPr>
            <w:tcW w:w="0" w:type="auto"/>
          </w:tcPr>
          <w:p w14:paraId="15CC7429" w14:textId="77777777" w:rsidR="005D3DB2" w:rsidRDefault="00000000">
            <w:pPr>
              <w:pStyle w:val="Compact"/>
            </w:pPr>
            <w:r>
              <w:t xml:space="preserve">Trung tâm tài chính (Yao, 2012; Naeem, 2023; Cetorelli và Peristiani, 2013)</w:t>
            </w:r>
          </w:p>
        </w:tc>
        <w:tc>
          <w:tcPr>
            <w:tcW w:w="0" w:type="auto"/>
          </w:tcPr>
          <w:p w14:paraId="5F910835" w14:textId="77777777" w:rsidR="005D3DB2" w:rsidRDefault="00000000">
            <w:pPr>
              <w:pStyle w:val="Compact"/>
            </w:pPr>
            <w:r>
              <w:t xml:space="preserve">Yếu tố quyết định sức hấp dẫn và thứ hạng GFCI; vị thế sàn chứng khoán gắn với pháp quyền</w:t>
            </w:r>
          </w:p>
        </w:tc>
        <w:tc>
          <w:tcPr>
            <w:tcW w:w="0" w:type="auto"/>
          </w:tcPr>
          <w:p w14:paraId="59F4C5C0" w14:textId="77777777" w:rsidR="005D3DB2" w:rsidRDefault="00000000">
            <w:pPr>
              <w:pStyle w:val="Compact"/>
            </w:pPr>
            <w:r>
              <w:t xml:space="preserve">K1. Chưa tách riêng đóng góp của chất lượng thị trường vốn vào năng lực cạnh tranh của trung tâm</w:t>
            </w:r>
          </w:p>
        </w:tc>
      </w:tr>
      <w:tr w:rsidR="005D3DB2" w14:paraId="163555CD" w14:textId="77777777">
        <w:trPr>
          <w:cantSplit/>
        </w:trPr>
        <w:tc>
          <w:tcPr>
            <w:tcW w:w="0" w:type="auto"/>
          </w:tcPr>
          <w:p w14:paraId="7892E17D" w14:textId="77777777" w:rsidR="005D3DB2" w:rsidRDefault="00000000">
            <w:pPr>
              <w:pStyle w:val="Compact"/>
            </w:pPr>
            <w:r>
              <w:t xml:space="preserve">Chất lượng thị trường (Amihud, 2002; Lang và cộng sự, 2012; Čihák và cộng sự, 2012)</w:t>
            </w:r>
          </w:p>
        </w:tc>
        <w:tc>
          <w:tcPr>
            <w:tcW w:w="0" w:type="auto"/>
          </w:tcPr>
          <w:p w14:paraId="35E17D8F" w14:textId="77777777" w:rsidR="005D3DB2" w:rsidRDefault="00000000">
            <w:pPr>
              <w:pStyle w:val="Compact"/>
            </w:pPr>
            <w:r>
              <w:t xml:space="preserve">Thước đo thanh khoản, minh bạch, độ sâu; minh bạch gắn với thanh khoản cao hơn</w:t>
            </w:r>
          </w:p>
        </w:tc>
        <w:tc>
          <w:tcPr>
            <w:tcW w:w="0" w:type="auto"/>
          </w:tcPr>
          <w:p w14:paraId="269AA840" w14:textId="77777777" w:rsidR="005D3DB2" w:rsidRDefault="00000000">
            <w:pPr>
              <w:pStyle w:val="Compact"/>
            </w:pPr>
            <w:r>
              <w:t xml:space="preserve">K2. Chưa quy đổi chất lượng thị trường thành tổn thất của nhà đầu tư đa dạng hóa</w:t>
            </w:r>
          </w:p>
        </w:tc>
      </w:tr>
      <w:tr w:rsidR="005D3DB2" w14:paraId="6A282CAD" w14:textId="77777777">
        <w:trPr>
          <w:cantSplit/>
        </w:trPr>
        <w:tc>
          <w:tcPr>
            <w:tcW w:w="0" w:type="auto"/>
          </w:tcPr>
          <w:p w14:paraId="172955F1" w14:textId="77777777" w:rsidR="005D3DB2" w:rsidRDefault="00000000">
            <w:pPr>
              <w:pStyle w:val="Compact"/>
            </w:pPr>
            <w:r>
              <w:t xml:space="preserve">Thị trường Việt Nam (Vo và Phan, 2017; Hoang và Luu, 2024)</w:t>
            </w:r>
          </w:p>
        </w:tc>
        <w:tc>
          <w:tcPr>
            <w:tcW w:w="0" w:type="auto"/>
          </w:tcPr>
          <w:p w14:paraId="27D2C86F" w14:textId="77777777" w:rsidR="005D3DB2" w:rsidRDefault="00000000">
            <w:pPr>
              <w:pStyle w:val="Compact"/>
            </w:pPr>
            <w:r>
              <w:t xml:space="preserve">Bầy đàn trên HOSE; chế độ biến động của VN-Index</w:t>
            </w:r>
          </w:p>
        </w:tc>
        <w:tc>
          <w:tcPr>
            <w:tcW w:w="0" w:type="auto"/>
          </w:tcPr>
          <w:p w14:paraId="5C60018C" w14:textId="77777777" w:rsidR="005D3DB2" w:rsidRDefault="00000000">
            <w:pPr>
              <w:pStyle w:val="Compact"/>
            </w:pPr>
            <w:r>
              <w:t xml:space="preserve">K3. Chưa có chỉ số chất lượng thị trường cho thị trường do HNX vận hành, so sánh với HOSE</w:t>
            </w:r>
          </w:p>
        </w:tc>
      </w:tr>
      <w:tr w:rsidR="005D3DB2" w14:paraId="12EB891D" w14:textId="77777777">
        <w:trPr>
          <w:cantSplit/>
        </w:trPr>
        <w:tc>
          <w:tcPr>
            <w:tcW w:w="0" w:type="auto"/>
          </w:tcPr>
          <w:p w14:paraId="2246DA5E" w14:textId="77777777" w:rsidR="005D3DB2" w:rsidRDefault="00000000">
            <w:pPr>
              <w:pStyle w:val="Compact"/>
            </w:pPr>
            <w:r>
              <w:t xml:space="preserve">Danh mục ở Việt Nam (Ta và Vuong, 2020; Nguyen và cộng sự, 2020; Goutte và cộng sự, 2025; Nguyen và Nguyen, 2026a)</w:t>
            </w:r>
          </w:p>
        </w:tc>
        <w:tc>
          <w:tcPr>
            <w:tcW w:w="0" w:type="auto"/>
          </w:tcPr>
          <w:p w14:paraId="133402BF" w14:textId="77777777" w:rsidR="005D3DB2" w:rsidRDefault="00000000">
            <w:pPr>
              <w:pStyle w:val="Compact"/>
            </w:pPr>
            <w:r>
              <w:t xml:space="preserve">Đánh giá một mô hình hoặc so sánh các phương pháp trên một rổ cổ phiếu</w:t>
            </w:r>
          </w:p>
        </w:tc>
        <w:tc>
          <w:tcPr>
            <w:tcW w:w="0" w:type="auto"/>
          </w:tcPr>
          <w:p w14:paraId="4D5A0E83" w14:textId="77777777" w:rsidR="005D3DB2" w:rsidRDefault="00000000">
            <w:pPr>
              <w:pStyle w:val="Compact"/>
            </w:pPr>
            <w:r>
              <w:t xml:space="preserve">K4. Chưa so sánh khả năng đầu tư giữa HNX và HOSE và chưa phân rã khoảng cách theo kênh</w:t>
            </w:r>
          </w:p>
        </w:tc>
      </w:tr>
    </w:tbl>
    <w:p w14:paraId="70F7E8FC" w14:textId="77777777" w:rsidR="005D3DB2" w:rsidRDefault="00000000">
      <w:pPr>
        <w:pStyle w:val="SourceNote"/>
      </w:pPr>
      <w:r>
        <w:t xml:space="preserve">Nguồn: Thí sinh tổng hợp. Ghi chú: K1–K4 là các khoảng trống, đánh số riêng để phân biệt với các nhóm tài liệu </w:t>
      </w:r>
      <w:r>
        <w:t xml:space="preserve">(A)–(D)</w:t>
      </w:r>
      <w:r>
        <w:t xml:space="preserve"> ở mục 4.2; Hoang và Luu (2024) là bản thảo công bố trực tuyến; phạm vi tìm kiếm nêu ở đoạn ngay dưới bảng.</w:t>
      </w:r>
    </w:p>
    <w:p w14:paraId="71B20860" w14:textId="77777777" w:rsidR="005D3DB2" w:rsidRDefault="00000000">
      <w:pPr>
        <w:pStyle w:val="BodyText"/>
      </w:pPr>
      <w:r>
        <w:t xml:space="preserve">Bốn khoảng trống cùng chỉ ra một điểm: vai trò của chất lượng thị trường vốn đối với trung tâm tài chính chưa được lượng hóa, và chưa được đo cho thị trường vốn Hà Nội. </w:t>
      </w:r>
      <w:r>
        <w:t xml:space="preserve">Nhận định này dựa trên các truy vấn trên SSRN, RePEc/IDEAS, ScienceDirect, Oxford Academic, Wiley, Springer, Taylor &amp; Francis, MDPI và arXiv, thực hiện đến ngày 30/09/2026. Phạm vi tìm kiếm chưa gồm Scopus, Web of Science và các tạp chí tiếng Việt trong nước, nên nhận định không loại trừ những nghiên cứu nằm ngoài phạm vi đó. Thí sinh mới đọc tóm tắt và thông tin thư mục của phần lớn các nguồn; việc đọc toàn văn và mở rộng phạm vi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 xml:space="preserve">Đề tài dựa trên ba khối lý thuyết. Khối thứ nhất là lý thuyết về sức hấp dẫn và năng lực cạnh tranh của trung tâm tài chính, trong đó vị thế của trung tâm phụ thuộc vào thể chế, nhân lực, hạ tầng và chất lượng thị trường (Yao, 2012; Cetorelli và Peristiani, 2013). Khối thứ hai là lý thuyết về thanh khoản và thông tin trên thị trường: phi thanh khoản và công bố thông tin chậm làm tăng chi phí giao dịch và làm giá phản ánh thông tin chậm hơn (Amihud, 2002; Lang và cộng sự, 2012). Khối thứ ba là lý thuyết danh mục có sai số ước lượng (Markowitz, 1952; Michaud, 1989; Kan và Zhou, 2007): hiệu quả mà nhà đầu tư đạt được phụ thuộc vào chất lượng của tập tài sản đầu tư được. Ba khối nối thành một chuỗi: chất lượng thị trường quyết định khả năng đầu tư, và khả năng đầu tư là một yếu tố của năng lực cạnh tranh của trung tâm tài chính.</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 xml:space="preserve">Từ bốn khoảng trống ở Bảng 1, đề tài đề xuất khung phân tích ở Hình 1 và bốn giả thuyết ở Bảng 2: H</w:t>
      </w:r>
      <w:r>
        <w:rPr>
          <w:vertAlign w:val="subscript"/>
        </w:rPr>
        <w:t xml:space="preserve">1</w:t>
      </w:r>
      <w:r>
        <w:t xml:space="preserve"> trả lời câu hỏi 1, H</w:t>
      </w:r>
      <w:r>
        <w:rPr>
          <w:vertAlign w:val="subscript"/>
        </w:rPr>
        <w:t xml:space="preserve">2</w:t>
      </w:r>
      <w:r>
        <w:t xml:space="preserve"> trả lời câu hỏi 2, H</w:t>
      </w:r>
      <w:r>
        <w:rPr>
          <w:vertAlign w:val="subscript"/>
        </w:rPr>
        <w:t xml:space="preserve">3</w:t>
      </w:r>
      <w:r>
        <w:t xml:space="preserve"> và H</w:t>
      </w:r>
      <w:r>
        <w:rPr>
          <w:vertAlign w:val="subscript"/>
        </w:rPr>
        <w:t xml:space="preserve">4</w:t>
      </w:r>
      <w:r>
        <w:t xml:space="preserve"> trả lời câu hỏi 3.</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 xml:space="preserve">Chỉ số chất lượng thị trường</w:t>
                              </w:r>
                            </w:p>
                            <w:p w14:paraId="477E0C7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49B10167" w14:textId="77777777" w:rsidR="005D3DB2" w:rsidRDefault="00000000">
                              <w:pPr>
                                <w:jc w:val="center"/>
                              </w:pPr>
                              <w:r>
                                <w:rPr>
                                  <w:color w:val="000000"/>
                                  <w:sz w:val="22"/>
                                  <w:szCs w:val="22"/>
                                </w:rPr>
                                <w:t xml:space="preserve">Giai đoạn bình thường</w:t>
                              </w:r>
                            </w:p>
                            <w:p w14:paraId="268FB3E5" w14:textId="77777777" w:rsidR="005D3DB2" w:rsidRDefault="00000000">
                              <w:pPr>
                                <w:jc w:val="center"/>
                              </w:pPr>
                              <w:r>
                                <w:rPr>
                                  <w:color w:val="000000"/>
                                  <w:sz w:val="22"/>
                                  <w:szCs w:val="22"/>
                                </w:rPr>
                                <w:t xml:space="preserve">Giai đoạn căng thẳng</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 xml:space="preserve">Chỉ số khả năng đầu tư</w:t>
                              </w:r>
                            </w:p>
                            <w:p w14:paraId="49860FDE" w14:textId="77777777" w:rsidR="005D3DB2" w:rsidRDefault="00000000">
                              <w:pPr>
                                <w:jc w:val="center"/>
                              </w:pPr>
                              <w:r>
                                <w:rPr>
                                  <w:color w:val="000000"/>
                                  <w:sz w:val="22"/>
                                  <w:szCs w:val="22"/>
                                </w:rPr>
                                <w:t xml:space="preserve">Khoảng cách Ḡ</w:t>
                              </w:r>
                              <w:r>
                                <w:rPr>
                                  <w:color w:val="000000"/>
                                  <w:sz w:val="22"/>
                                  <w:szCs w:val="22"/>
                                  <w:vertAlign w:val="subscript"/>
                                </w:rPr>
                                <w:t xml:space="preserve">t</w:t>
                              </w:r>
                              <w:r>
                                <w:rPr>
                                  <w:color w:val="000000"/>
                                  <w:sz w:val="22"/>
                                  <w:szCs w:val="22"/>
                                </w:rPr>
                                <w:t xml:space="preserve"> (H</w:t>
                              </w:r>
                              <w:r>
                                <w:rPr>
                                  <w:color w:val="000000"/>
                                  <w:sz w:val="22"/>
                                  <w:szCs w:val="22"/>
                                  <w:vertAlign w:val="subscript"/>
                                </w:rPr>
                                <w:t xml:space="preserve">3</w:t>
                              </w:r>
                              <w:r>
                                <w:rPr>
                                  <w:color w:val="000000"/>
                                  <w:sz w:val="22"/>
                                  <w:szCs w:val="22"/>
                                </w:rPr>
                                <w:t xml:space="preserve">)</w:t>
                              </w:r>
                            </w:p>
                            <w:p w14:paraId="371B959C" w14:textId="77777777" w:rsidR="005D3DB2" w:rsidRDefault="00000000">
                              <w:pPr>
                                <w:jc w:val="center"/>
                              </w:pPr>
                              <w:r>
                                <w:rPr>
                                  <w:color w:val="000000"/>
                                  <w:sz w:val="22"/>
                                  <w:szCs w:val="22"/>
                                </w:rPr>
                                <w:t xml:space="preserve">Bảy mô hình phân bổ</w:t>
                              </w:r>
                            </w:p>
                            <w:p w14:paraId="384752F8" w14:textId="77777777" w:rsidR="005D3DB2" w:rsidRDefault="00000000">
                              <w:pPr>
                                <w:jc w:val="center"/>
                              </w:pPr>
                              <w:r>
                                <w:rPr>
                                  <w:color w:val="000000"/>
                                  <w:sz w:val="22"/>
                                  <w:szCs w:val="22"/>
                                </w:rPr>
                                <w:t xml:space="preserve">Rổ HNX và rổ HOSE</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Năng lực cạnh tranh trung tâm</w:t>
                              </w:r>
                            </w:p>
                            <w:p w14:paraId="4EA7D195" w14:textId="77777777" w:rsidR="005D3DB2" w:rsidRDefault="00000000">
                              <w:pPr>
                                <w:jc w:val="center"/>
                              </w:pPr>
                              <w:r>
                                <w:rPr>
                                  <w:color w:val="000000"/>
                                  <w:sz w:val="22"/>
                                  <w:szCs w:val="22"/>
                                </w:rPr>
                                <w:t xml:space="preserve">Thứ tự ưu tiên cải thiện</w:t>
                              </w:r>
                            </w:p>
                            <w:p w14:paraId="172015F3" w14:textId="77777777" w:rsidR="005D3DB2" w:rsidRDefault="00000000">
                              <w:pPr>
                                <w:jc w:val="center"/>
                              </w:pPr>
                              <w:r>
                                <w:rPr>
                                  <w:color w:val="000000"/>
                                  <w:sz w:val="22"/>
                                  <w:szCs w:val="22"/>
                                </w:rPr>
                                <w:t xml:space="preserve">Hạ tầng dữ liệu</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 xml:space="preserve">Kênh giải thích</w:t>
                              </w:r>
                            </w:p>
                            <w:p w14:paraId="5C4E84DB" w14:textId="77777777" w:rsidR="005D3DB2" w:rsidRDefault="00000000">
                              <w:pPr>
                                <w:jc w:val="center"/>
                              </w:pPr>
                              <w:r>
                                <w:rPr>
                                  <w:color w:val="000000"/>
                                  <w:sz w:val="22"/>
                                  <w:szCs w:val="22"/>
                                </w:rPr>
                                <w:t xml:space="preserve">Thanh khoản (H</w:t>
                              </w:r>
                              <w:r>
                                <w:rPr>
                                  <w:color w:val="000000"/>
                                  <w:sz w:val="22"/>
                                  <w:szCs w:val="22"/>
                                  <w:vertAlign w:val="subscript"/>
                                </w:rPr>
                                <w:t xml:space="preserve">4</w:t>
                              </w:r>
                              <w:r>
                                <w:rPr>
                                  <w:color w:val="000000"/>
                                  <w:sz w:val="22"/>
                                  <w:szCs w:val="22"/>
                                </w:rPr>
                                <w:t xml:space="preserve">)</w:t>
                              </w:r>
                            </w:p>
                            <w:p w14:paraId="4B4BBD72" w14:textId="77777777" w:rsidR="005D3DB2" w:rsidRDefault="00000000">
                              <w:pPr>
                                <w:jc w:val="center"/>
                              </w:pPr>
                              <w:r>
                                <w:rPr>
                                  <w:color w:val="000000"/>
                                  <w:sz w:val="22"/>
                                  <w:szCs w:val="22"/>
                                </w:rPr>
                                <w:t xml:space="preserve">Minh bạch công bố (H</w:t>
                              </w:r>
                              <w:r>
                                <w:rPr>
                                  <w:color w:val="000000"/>
                                  <w:sz w:val="22"/>
                                  <w:szCs w:val="22"/>
                                  <w:vertAlign w:val="subscript"/>
                                </w:rPr>
                                <w:t xml:space="preserve">4</w:t>
                              </w:r>
                              <w:r>
                                <w:rPr>
                                  <w:color w:val="000000"/>
                                  <w:sz w:val="22"/>
                                  <w:szCs w:val="22"/>
                                </w:rPr>
                                <w:t xml:space="preserve">)</w:t>
                              </w:r>
                            </w:p>
                            <w:p w14:paraId="33AF89DE" w14:textId="77777777" w:rsidR="005D3DB2" w:rsidRDefault="00000000">
                              <w:pPr>
                                <w:jc w:val="center"/>
                              </w:pPr>
                              <w:r>
                                <w:rPr>
                                  <w:color w:val="000000"/>
                                  <w:sz w:val="22"/>
                                  <w:szCs w:val="22"/>
                                </w:rPr>
                                <w:t xml:space="preserve">Độ sâu thị trường (H</w:t>
                              </w:r>
                              <w:r>
                                <w:rPr>
                                  <w:color w:val="000000"/>
                                  <w:sz w:val="22"/>
                                  <w:szCs w:val="22"/>
                                  <w:vertAlign w:val="subscript"/>
                                </w:rPr>
                                <w:t xml:space="preserve">4</w:t>
                              </w:r>
                              <w:r>
                                <w:rPr>
                                  <w:color w:val="000000"/>
                                  <w:sz w:val="22"/>
                                  <w:szCs w:val="22"/>
                                </w:rPr>
                                <w:t xml:space="preserve">)</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Chất lượng thị trường vốn</w:t>
                              </w:r>
                            </w:p>
                            <w:p w14:paraId="497DE109" w14:textId="77777777" w:rsidR="005D3DB2" w:rsidRDefault="00000000">
                              <w:pPr>
                                <w:jc w:val="center"/>
                              </w:pPr>
                              <w:r>
                                <w:rPr>
                                  <w:color w:val="000000"/>
                                  <w:sz w:val="22"/>
                                  <w:szCs w:val="22"/>
                                </w:rPr>
                                <w:t xml:space="preserve">Thể chế, thu nhập</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r>
                                <w:rPr>
                                  <w:sz w:val="22"/>
                                  <w:szCs w:val="22"/>
                                </w:rPr>
                                <w:t xml:space="preserve">H</w:t>
                              </w:r>
                              <w:r>
                                <w:rPr>
                                  <w:sz w:val="22"/>
                                  <w:szCs w:val="22"/>
                                  <w:vertAlign w:val="subscript"/>
                                </w:rPr>
                                <w:t xml:space="preserve">3</w:t>
                              </w: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sz w:val="22"/>
                                  <w:szCs w:val="22"/>
                                </w:rPr>
                                <w:t xml:space="preserve">H</w:t>
                              </w:r>
                              <w:r>
                                <w:rPr>
                                  <w:sz w:val="22"/>
                                  <w:szCs w:val="22"/>
                                  <w:vertAlign w:val="subscript"/>
                                </w:rPr>
                                <w:t xml:space="preserve">4</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r>
                                <w:rPr>
                                  <w:sz w:val="22"/>
                                  <w:szCs w:val="22"/>
                                </w:rPr>
                                <w:t xml:space="preserve">H</w:t>
                              </w:r>
                              <w:r>
                                <w:rPr>
                                  <w:sz w:val="22"/>
                                  <w:szCs w:val="22"/>
                                  <w:vertAlign w:val="subscript"/>
                                </w:rPr>
                                <w:t xml:space="preserve">1</w:t>
                              </w: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 xml:space="preserve">Chỉ số chất lượng thị trường</w:t>
                        </w:r>
                      </w:p>
                      <w:p w14:paraId="477E0C7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49B10167" w14:textId="77777777" w:rsidR="005D3DB2" w:rsidRDefault="00000000">
                        <w:pPr>
                          <w:jc w:val="center"/>
                        </w:pPr>
                        <w:r>
                          <w:rPr>
                            <w:color w:val="000000"/>
                            <w:sz w:val="22"/>
                            <w:szCs w:val="22"/>
                          </w:rPr>
                          <w:t xml:space="preserve">Giai đoạn bình thường</w:t>
                        </w:r>
                      </w:p>
                      <w:p w14:paraId="268FB3E5" w14:textId="77777777" w:rsidR="005D3DB2" w:rsidRDefault="00000000">
                        <w:pPr>
                          <w:jc w:val="center"/>
                        </w:pPr>
                        <w:r>
                          <w:rPr>
                            <w:color w:val="000000"/>
                            <w:sz w:val="22"/>
                            <w:szCs w:val="22"/>
                          </w:rPr>
                          <w:t xml:space="preserve">Giai đoạn căng thẳng</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 xml:space="preserve">Chỉ số khả năng đầu tư</w:t>
                        </w:r>
                      </w:p>
                      <w:p w14:paraId="49860FDE" w14:textId="77777777" w:rsidR="005D3DB2" w:rsidRDefault="00000000">
                        <w:pPr>
                          <w:jc w:val="center"/>
                        </w:pPr>
                        <w:r>
                          <w:rPr>
                            <w:color w:val="000000"/>
                            <w:sz w:val="22"/>
                            <w:szCs w:val="22"/>
                          </w:rPr>
                          <w:t xml:space="preserve">Khoảng cách Ḡ</w:t>
                        </w:r>
                        <w:r>
                          <w:rPr>
                            <w:color w:val="000000"/>
                            <w:sz w:val="22"/>
                            <w:szCs w:val="22"/>
                            <w:vertAlign w:val="subscript"/>
                          </w:rPr>
                          <w:t xml:space="preserve">t</w:t>
                        </w:r>
                        <w:r>
                          <w:rPr>
                            <w:color w:val="000000"/>
                            <w:sz w:val="22"/>
                            <w:szCs w:val="22"/>
                          </w:rPr>
                          <w:t xml:space="preserve"> (H</w:t>
                        </w:r>
                        <w:r>
                          <w:rPr>
                            <w:color w:val="000000"/>
                            <w:sz w:val="22"/>
                            <w:szCs w:val="22"/>
                            <w:vertAlign w:val="subscript"/>
                          </w:rPr>
                          <w:t xml:space="preserve">3</w:t>
                        </w:r>
                        <w:r>
                          <w:rPr>
                            <w:color w:val="000000"/>
                            <w:sz w:val="22"/>
                            <w:szCs w:val="22"/>
                          </w:rPr>
                          <w:t xml:space="preserve">)</w:t>
                        </w:r>
                      </w:p>
                      <w:p w14:paraId="371B959C" w14:textId="77777777" w:rsidR="005D3DB2" w:rsidRDefault="00000000">
                        <w:pPr>
                          <w:jc w:val="center"/>
                        </w:pPr>
                        <w:r>
                          <w:rPr>
                            <w:color w:val="000000"/>
                            <w:sz w:val="22"/>
                            <w:szCs w:val="22"/>
                          </w:rPr>
                          <w:t xml:space="preserve">Bảy mô hình phân bổ</w:t>
                        </w:r>
                      </w:p>
                      <w:p w14:paraId="384752F8" w14:textId="77777777" w:rsidR="005D3DB2" w:rsidRDefault="00000000">
                        <w:pPr>
                          <w:jc w:val="center"/>
                        </w:pPr>
                        <w:r>
                          <w:rPr>
                            <w:color w:val="000000"/>
                            <w:sz w:val="22"/>
                            <w:szCs w:val="22"/>
                          </w:rPr>
                          <w:t xml:space="preserve">Rổ HNX và rổ HOSE</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Năng lực cạnh tranh trung tâm</w:t>
                        </w:r>
                      </w:p>
                      <w:p w14:paraId="4EA7D195" w14:textId="77777777" w:rsidR="005D3DB2" w:rsidRDefault="00000000">
                        <w:pPr>
                          <w:jc w:val="center"/>
                        </w:pPr>
                        <w:r>
                          <w:rPr>
                            <w:color w:val="000000"/>
                            <w:sz w:val="22"/>
                            <w:szCs w:val="22"/>
                          </w:rPr>
                          <w:t xml:space="preserve">Thứ tự ưu tiên cải thiện</w:t>
                        </w:r>
                      </w:p>
                      <w:p w14:paraId="172015F3" w14:textId="77777777" w:rsidR="005D3DB2" w:rsidRDefault="00000000">
                        <w:pPr>
                          <w:jc w:val="center"/>
                        </w:pPr>
                        <w:r>
                          <w:rPr>
                            <w:color w:val="000000"/>
                            <w:sz w:val="22"/>
                            <w:szCs w:val="22"/>
                          </w:rPr>
                          <w:t xml:space="preserve">Hạ tầng dữ liệu</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 xml:space="preserve">Kênh giải thích</w:t>
                        </w:r>
                      </w:p>
                      <w:p w14:paraId="5C4E84DB" w14:textId="77777777" w:rsidR="005D3DB2" w:rsidRDefault="00000000">
                        <w:pPr>
                          <w:jc w:val="center"/>
                        </w:pPr>
                        <w:r>
                          <w:rPr>
                            <w:color w:val="000000"/>
                            <w:sz w:val="22"/>
                            <w:szCs w:val="22"/>
                          </w:rPr>
                          <w:t xml:space="preserve">Thanh khoản (H</w:t>
                        </w:r>
                        <w:r>
                          <w:rPr>
                            <w:color w:val="000000"/>
                            <w:sz w:val="22"/>
                            <w:szCs w:val="22"/>
                            <w:vertAlign w:val="subscript"/>
                          </w:rPr>
                          <w:t xml:space="preserve">4</w:t>
                        </w:r>
                        <w:r>
                          <w:rPr>
                            <w:color w:val="000000"/>
                            <w:sz w:val="22"/>
                            <w:szCs w:val="22"/>
                          </w:rPr>
                          <w:t xml:space="preserve">)</w:t>
                        </w:r>
                      </w:p>
                      <w:p w14:paraId="4B4BBD72" w14:textId="77777777" w:rsidR="005D3DB2" w:rsidRDefault="00000000">
                        <w:pPr>
                          <w:jc w:val="center"/>
                        </w:pPr>
                        <w:r>
                          <w:rPr>
                            <w:color w:val="000000"/>
                            <w:sz w:val="22"/>
                            <w:szCs w:val="22"/>
                          </w:rPr>
                          <w:t xml:space="preserve">Minh bạch công bố (H</w:t>
                        </w:r>
                        <w:r>
                          <w:rPr>
                            <w:color w:val="000000"/>
                            <w:sz w:val="22"/>
                            <w:szCs w:val="22"/>
                            <w:vertAlign w:val="subscript"/>
                          </w:rPr>
                          <w:t xml:space="preserve">4</w:t>
                        </w:r>
                        <w:r>
                          <w:rPr>
                            <w:color w:val="000000"/>
                            <w:sz w:val="22"/>
                            <w:szCs w:val="22"/>
                          </w:rPr>
                          <w:t xml:space="preserve">)</w:t>
                        </w:r>
                      </w:p>
                      <w:p w14:paraId="33AF89DE" w14:textId="77777777" w:rsidR="005D3DB2" w:rsidRDefault="00000000">
                        <w:pPr>
                          <w:jc w:val="center"/>
                        </w:pPr>
                        <w:r>
                          <w:rPr>
                            <w:color w:val="000000"/>
                            <w:sz w:val="22"/>
                            <w:szCs w:val="22"/>
                          </w:rPr>
                          <w:t xml:space="preserve">Độ sâu thị trường (H</w:t>
                        </w:r>
                        <w:r>
                          <w:rPr>
                            <w:color w:val="000000"/>
                            <w:sz w:val="22"/>
                            <w:szCs w:val="22"/>
                            <w:vertAlign w:val="subscript"/>
                          </w:rPr>
                          <w:t xml:space="preserve">4</w:t>
                        </w:r>
                        <w:r>
                          <w:rPr>
                            <w:color w:val="000000"/>
                            <w:sz w:val="22"/>
                            <w:szCs w:val="22"/>
                          </w:rPr>
                          <w:t xml:space="preserve">)</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Chất lượng thị trường vốn</w:t>
                        </w:r>
                      </w:p>
                      <w:p w14:paraId="497DE109" w14:textId="77777777" w:rsidR="005D3DB2" w:rsidRDefault="00000000">
                        <w:pPr>
                          <w:jc w:val="center"/>
                        </w:pPr>
                        <w:r>
                          <w:rPr>
                            <w:color w:val="000000"/>
                            <w:sz w:val="22"/>
                            <w:szCs w:val="22"/>
                          </w:rPr>
                          <w:t xml:space="preserve">Thể chế, thu nhập</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r>
                          <w:rPr>
                            <w:sz w:val="22"/>
                            <w:szCs w:val="22"/>
                          </w:rPr>
                          <w:t xml:space="preserve">H</w:t>
                        </w:r>
                        <w:r>
                          <w:rPr>
                            <w:sz w:val="22"/>
                            <w:szCs w:val="22"/>
                            <w:vertAlign w:val="subscript"/>
                          </w:rPr>
                          <w:t xml:space="preserve">3</w:t>
                        </w: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sz w:val="22"/>
                            <w:szCs w:val="22"/>
                          </w:rPr>
                          <w:t xml:space="preserve">H</w:t>
                        </w:r>
                        <w:r>
                          <w:rPr>
                            <w:sz w:val="22"/>
                            <w:szCs w:val="22"/>
                            <w:vertAlign w:val="subscript"/>
                          </w:rPr>
                          <w:t xml:space="preserve">4</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r>
                          <w:rPr>
                            <w:sz w:val="22"/>
                            <w:szCs w:val="22"/>
                          </w:rPr>
                          <w:t xml:space="preserve">H</w:t>
                        </w:r>
                        <w:r>
                          <w:rPr>
                            <w:sz w:val="22"/>
                            <w:szCs w:val="22"/>
                            <w:vertAlign w:val="subscript"/>
                          </w:rPr>
                          <w:t xml:space="preserve">1</w:t>
                        </w:r>
                      </w:p>
                    </w:txbxContent>
                  </v:textbox>
                </v:rect>
                <w10:anchorlock/>
              </v:group>
            </w:pict>
          </mc:Fallback>
        </mc:AlternateContent>
      </w:r>
    </w:p>
    <w:p w14:paraId="55D04186" w14:textId="77777777" w:rsidR="005D3DB2" w:rsidRDefault="00000000">
      <w:pPr>
        <w:pStyle w:val="FigureCaption"/>
      </w:pPr>
      <w:r>
        <w:t xml:space="preserve">Hình 1. </w:t>
      </w:r>
      <w:r>
        <w:t xml:space="preserve">Khung phân tích: chất lượng thị trường vốn, khả năng đầu tư và năng lực cạnh tranh của trung tâm tài chính</w:t>
      </w:r>
    </w:p>
    <w:p w14:paraId="316E836D" w14:textId="77777777" w:rsidR="005D3DB2" w:rsidRDefault="00000000">
      <w:pPr>
        <w:pStyle w:val="SourceNote"/>
      </w:pPr>
      <w:r>
        <w:t xml:space="preserve">Nguồn: Thí sinh đề xuất. Ghi chú: H</w:t>
      </w:r>
      <w:r>
        <w:rPr>
          <w:vertAlign w:val="subscript"/>
        </w:rPr>
        <w:t xml:space="preserve">1</w:t>
      </w:r>
      <w:r>
        <w:t xml:space="preserve"> được kiểm định trên dữ liệu bảng quốc tế; H</w:t>
      </w:r>
      <w:r>
        <w:rPr>
          <w:vertAlign w:val="subscript"/>
        </w:rPr>
        <w:t xml:space="preserve">2</w:t>
      </w:r>
      <w:r>
        <w:t xml:space="preserve">–H</w:t>
      </w:r>
      <w:r>
        <w:rPr>
          <w:vertAlign w:val="subscript"/>
        </w:rPr>
        <w:t xml:space="preserve">4</w:t>
      </w:r>
      <w:r>
        <w:t xml:space="preserve"> được kiểm định trên cổ phiếu HNX, UPCoM và HOSE; mũi tên nét đứt chỉ hàm ý chính sách, không phải quan hệ được kiểm định.</w:t>
      </w:r>
    </w:p>
    <w:p w14:paraId="77B4CCF4" w14:textId="77777777" w:rsidR="005D3DB2" w:rsidRDefault="00000000">
      <w:pPr>
        <w:pStyle w:val="BodyText"/>
      </w:pPr>
      <w:r>
        <w:t xml:space="preserve">Theo Hình 1, chuỗi phân tích đi từ thị trường tới nhà đầu tư rồi tới chính sách. Chỉ số chất lượng thị trường đo vị trí của thị trường do HNX vận hành so với HOSE (H</w:t>
      </w:r>
      <w:r>
        <w:rPr>
          <w:vertAlign w:val="subscript"/>
        </w:rPr>
        <w:t xml:space="preserve">2</w:t>
      </w:r>
      <w:r>
        <w:t xml:space="preserve">). Chỉ số khả năng đầu tư quy đổi chênh lệch chất lượng thành chênh lệch lợi suất tương đương chắc chắn của nhà đầu tư (H</w:t>
      </w:r>
      <w:r>
        <w:rPr>
          <w:vertAlign w:val="subscript"/>
        </w:rPr>
        <w:t xml:space="preserve">3</w:t>
      </w:r>
      <w:r>
        <w:t xml:space="preserve">), và các kênh thanh khoản, minh bạch, độ sâu giải thích chênh lệch này (H</w:t>
      </w:r>
      <w:r>
        <w:rPr>
          <w:vertAlign w:val="subscript"/>
        </w:rPr>
        <w:t xml:space="preserve">4</w:t>
      </w:r>
      <w:r>
        <w:t xml:space="preserve">). Bằng chứng quốc tế (H</w:t>
      </w:r>
      <w:r>
        <w:rPr>
          <w:vertAlign w:val="subscript"/>
        </w:rPr>
        <w:t xml:space="preserve">1</w:t>
      </w:r>
      <w:r>
        <w:t xml:space="preserve">) cho biết chất lượng thị trường vốn liên hệ thế nào với năng lực cạnh tranh của trung tâm tài chính. Kết hợp hai nhánh cho phép xếp thứ tự ưu tiên cải thiện thị trường vốn Hà Nội.</w:t>
      </w:r>
    </w:p>
    <w:p w14:paraId="6E279D1B" w14:textId="77777777" w:rsidR="005D3DB2" w:rsidRDefault="00000000">
      <w:pPr>
        <w:pStyle w:val="TableCaption"/>
      </w:pPr>
      <w:bookmarkStart w:id="14" w:name="_Toc242353157"/>
      <w:r>
        <w:t xml:space="preserve">Bảng </w:t>
      </w:r>
      <w:fldSimple w:instr=" SEQ Bảng \* ARABIC ">
        <w:r>
          <w:rPr>
            <w:noProof/>
          </w:rPr>
          <w:t>2</w:t>
        </w:r>
      </w:fldSimple>
      <w:r>
        <w:t>. Giả thuyết, thước đo và cơ sở lý thuyết</w:t>
      </w:r>
      <w:bookmarkEnd w:id="14"/>
    </w:p>
    <w:tbl>
      <w:tblPr>
        <w:tblStyle w:val="Table"/>
        <w:tblW w:w="5000" w:type="pct"/>
        <w:tblLook w:val="0020" w:firstRow="1" w:lastRow="0" w:firstColumn="0" w:lastColumn="0" w:noHBand="0" w:noVBand="0"/>
      </w:tblPr>
      <w:tblGrid>
        <w:gridCol w:w="3607"/>
        <w:gridCol w:w="3117"/>
        <w:gridCol w:w="2054"/>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0C30761" w14:textId="77777777" w:rsidR="005D3DB2" w:rsidRDefault="00000000">
            <w:pPr>
              <w:pStyle w:val="Compact"/>
            </w:pPr>
            <w:r>
              <w:t>Giả thuyết</w:t>
            </w:r>
          </w:p>
        </w:tc>
        <w:tc>
          <w:tcPr>
            <w:tcW w:w="0" w:type="auto"/>
          </w:tcPr>
          <w:p w14:paraId="54FEBD5F" w14:textId="77777777" w:rsidR="005D3DB2" w:rsidRDefault="00000000">
            <w:pPr>
              <w:pStyle w:val="Compact"/>
            </w:pPr>
            <w:r>
              <w:t>Thước đo chính</w:t>
            </w:r>
          </w:p>
        </w:tc>
        <w:tc>
          <w:tcPr>
            <w:tcW w:w="0" w:type="auto"/>
          </w:tcPr>
          <w:p w14:paraId="4BB3DB00" w14:textId="77777777" w:rsidR="005D3DB2" w:rsidRDefault="00000000">
            <w:pPr>
              <w:pStyle w:val="Compact"/>
            </w:pPr>
            <w:r>
              <w:t xml:space="preserve">Cơ sở lý thuyết và phương pháp</w:t>
            </w:r>
          </w:p>
        </w:tc>
      </w:tr>
      <w:tr w:rsidR="005D3DB2" w14:paraId="2DFD5B42" w14:textId="77777777">
        <w:trPr>
          <w:cantSplit/>
        </w:trPr>
        <w:tc>
          <w:tcPr>
            <w:tcW w:w="0" w:type="auto"/>
          </w:tcPr>
          <w:p w14:paraId="7597AA67" w14:textId="77777777" w:rsidR="005D3DB2" w:rsidRDefault="00000000">
            <w:pPr>
              <w:pStyle w:val="Compact"/>
            </w:pPr>
            <w:r>
              <w:t xml:space="preserve">H</w:t>
            </w:r>
            <w:r>
              <w:rPr>
                <w:vertAlign w:val="subscript"/>
              </w:rPr>
              <w:t xml:space="preserve">1</w:t>
            </w:r>
            <w:r>
              <w:t xml:space="preserve">: Các trung tâm tài chính có chất lượng thị trường vốn cao hơn có điểm GFCI cao hơn, sau khi kiểm soát chất lượng thể chế và thu nhập (câu hỏi 1)</w:t>
            </w:r>
          </w:p>
        </w:tc>
        <w:tc>
          <w:tcPr>
            <w:tcW w:w="0" w:type="auto"/>
          </w:tcPr>
          <w:p w14:paraId="56712C73" w14:textId="77777777" w:rsidR="005D3DB2" w:rsidRDefault="00000000">
            <w:pPr>
              <w:pStyle w:val="Compact"/>
            </w:pPr>
            <w:r>
              <w:t xml:space="preserve">Điểm GFCI; chỉ báo chất lượng thị trường vốn cấp quốc gia (vòng quay, vốn hóa); chỉ số quản trị nhà nước</w:t>
            </w:r>
          </w:p>
        </w:tc>
        <w:tc>
          <w:tcPr>
            <w:tcW w:w="0" w:type="auto"/>
          </w:tcPr>
          <w:p w14:paraId="4EC31B5B" w14:textId="77777777" w:rsidR="005D3DB2" w:rsidRDefault="00000000">
            <w:pPr>
              <w:pStyle w:val="Compact"/>
            </w:pPr>
            <w:r>
              <w:t xml:space="preserve">Naeem (2023); Čihák và cộng sự (2012); Kaufmann và cộng sự (2011)</w:t>
            </w:r>
          </w:p>
        </w:tc>
      </w:tr>
      <w:tr w:rsidR="005D3DB2" w14:paraId="6435461D" w14:textId="77777777">
        <w:trPr>
          <w:cantSplit/>
        </w:trPr>
        <w:tc>
          <w:tcPr>
            <w:tcW w:w="0" w:type="auto"/>
          </w:tcPr>
          <w:p w14:paraId="6BA2CDB6" w14:textId="77777777" w:rsidR="005D3DB2" w:rsidRDefault="00000000">
            <w:pPr>
              <w:pStyle w:val="Compact"/>
            </w:pPr>
            <w:r>
              <w:t xml:space="preserve">H</w:t>
            </w:r>
            <w:r>
              <w:rPr>
                <w:vertAlign w:val="subscript"/>
              </w:rPr>
              <w:t xml:space="preserve">2</w:t>
            </w:r>
            <w:r>
              <w:t xml:space="preserve">: Chỉ số chất lượng thị trường vốn của thị trường do HNX vận hành thấp hơn của HOSE, và chênh lệch này lớn hơn trong giai đoạn căng thẳng (câu hỏi 2)</w:t>
            </w:r>
          </w:p>
        </w:tc>
        <w:tc>
          <w:tcPr>
            <w:tcW w:w="0" w:type="auto"/>
          </w:tcPr>
          <w:p w14:paraId="5FBABE0B" w14:textId="77777777" w:rsidR="005D3DB2" w:rsidRDefault="00000000">
            <w:pPr>
              <w:pStyle w:val="Compact"/>
            </w:pPr>
            <w:r>
              <w:t xml:space="preserve">Chỉ số chất lượng thị trường vốn gộp từ độ phi thanh khoản Amihud, tỷ lệ ngày lợi suất bằng 0, chênh lệch mua–bán ước lượng, tỷ số phương sai, độ trễ giá, độ trễ công bố, độ sâu</w:t>
            </w:r>
          </w:p>
        </w:tc>
        <w:tc>
          <w:tcPr>
            <w:tcW w:w="0" w:type="auto"/>
          </w:tcPr>
          <w:p w14:paraId="1A19A0A9" w14:textId="77777777" w:rsidR="005D3DB2" w:rsidRDefault="00000000">
            <w:pPr>
              <w:pStyle w:val="Compact"/>
            </w:pPr>
            <w:r>
              <w:t xml:space="preserve">Amihud (2002); Corwin và Schultz (2012); Hou và Moskowitz (2005); OECD (2008)</w:t>
            </w:r>
          </w:p>
        </w:tc>
      </w:tr>
      <w:tr w:rsidR="005D3DB2" w14:paraId="51BB94A0" w14:textId="77777777">
        <w:trPr>
          <w:cantSplit/>
        </w:trPr>
        <w:tc>
          <w:tcPr>
            <w:tcW w:w="0" w:type="auto"/>
          </w:tcPr>
          <w:p w14:paraId="6ACFB4C1" w14:textId="77777777" w:rsidR="005D3DB2" w:rsidRDefault="00000000">
            <w:pPr>
              <w:pStyle w:val="Compact"/>
            </w:pPr>
            <w:r>
              <w:t xml:space="preserve">H</w:t>
            </w:r>
            <w:r>
              <w:rPr>
                <w:vertAlign w:val="subscript"/>
              </w:rPr>
              <w:t xml:space="preserve">3</w:t>
            </w:r>
            <w:r>
              <w:t xml:space="preserve">: Khoảng cách khả năng đầu tư bình quân theo bảy mô hình, sau chi phí giao dịch, dương, và lớn hơn trong giai đoạn căng thẳng (câu hỏi 3)</w:t>
            </w:r>
          </w:p>
        </w:tc>
        <w:tc>
          <w:tcPr>
            <w:tcW w:w="0" w:type="auto"/>
          </w:tcPr>
          <w:p w14:paraId="3D56315F" w14:textId="77777777" w:rsidR="005D3DB2" w:rsidRDefault="00000000">
            <w:pPr>
              <w:pStyle w:val="Compact"/>
            </w:pPr>
            <w:r>
              <w:t xml:space="preserve">Chỉ số khả năng đầu tư: chênh lệch lợi suất tương đương chắc chắn giữa rổ HOSE và rổ HNX, bình quân theo bảy mô hình</w:t>
            </w:r>
          </w:p>
        </w:tc>
        <w:tc>
          <w:tcPr>
            <w:tcW w:w="0" w:type="auto"/>
          </w:tcPr>
          <w:p w14:paraId="2EB0DA83" w14:textId="77777777" w:rsidR="005D3DB2" w:rsidRDefault="00000000">
            <w:pPr>
              <w:pStyle w:val="Compact"/>
            </w:pPr>
            <w:r>
              <w:t xml:space="preserve">DeMiguel và cộng sự (2009); Ledoit và Wolf (2008); Politis và Romano (1994)</w:t>
            </w:r>
          </w:p>
        </w:tc>
      </w:tr>
      <w:tr w:rsidR="005D3DB2" w14:paraId="001DB05F" w14:textId="77777777">
        <w:trPr>
          <w:cantSplit/>
        </w:trPr>
        <w:tc>
          <w:tcPr>
            <w:tcW w:w="0" w:type="auto"/>
          </w:tcPr>
          <w:p w14:paraId="2441B171" w14:textId="77777777" w:rsidR="005D3DB2" w:rsidRDefault="00000000">
            <w:pPr>
              <w:pStyle w:val="Compact"/>
            </w:pPr>
            <w:r>
              <w:t xml:space="preserve">H</w:t>
            </w:r>
            <w:r>
              <w:rPr>
                <w:vertAlign w:val="subscript"/>
              </w:rPr>
              <w:t xml:space="preserve">4</w:t>
            </w:r>
            <w:r>
              <w:t xml:space="preserve">: Khi rổ HOSE được đối sánh với rổ HNX theo thanh khoản và minh bạch, hơn một nửa khoảng cách khả năng đầu tư biến mất (câu hỏi 3)</w:t>
            </w:r>
          </w:p>
        </w:tc>
        <w:tc>
          <w:tcPr>
            <w:tcW w:w="0" w:type="auto"/>
          </w:tcPr>
          <w:p w14:paraId="0741046F" w14:textId="77777777" w:rsidR="005D3DB2" w:rsidRDefault="00000000">
            <w:pPr>
              <w:pStyle w:val="Compact"/>
            </w:pPr>
            <w:r>
              <w:t xml:space="preserve">Tỷ lệ khoảng cách được thu hẹp sau từng bước đối sánh: quy mô và ngành; thêm thanh khoản; thêm minh bạch công bố</w:t>
            </w:r>
          </w:p>
        </w:tc>
        <w:tc>
          <w:tcPr>
            <w:tcW w:w="0" w:type="auto"/>
          </w:tcPr>
          <w:p w14:paraId="6453DBA2" w14:textId="77777777" w:rsidR="005D3DB2" w:rsidRDefault="00000000">
            <w:pPr>
              <w:pStyle w:val="Compact"/>
            </w:pPr>
            <w:r>
              <w:t xml:space="preserve">Lang và cộng sự (2012); Amihud (2002); Lesmond và cộng sự (1999)</w:t>
            </w:r>
          </w:p>
        </w:tc>
      </w:tr>
    </w:tbl>
    <w:p w14:paraId="0E03C9D0" w14:textId="77777777" w:rsidR="005D3DB2" w:rsidRDefault="00000000">
      <w:pPr>
        <w:pStyle w:val="SourceNote"/>
      </w:pPr>
      <w:r>
        <w:t xml:space="preserve">Nguồn: Thí sinh đề xuất. Ghi chú: giai đoạn căng thẳng được xác định theo các sự kiện lịch sử nêu ở mục 4.3.3; mọi ngưỡng được ghi trong tệp đăng ký trước.</w:t>
      </w:r>
    </w:p>
    <w:p w14:paraId="4261E4DD" w14:textId="77777777" w:rsidR="005D3DB2" w:rsidRDefault="00000000">
      <w:pPr>
        <w:pStyle w:val="BodyText"/>
      </w:pPr>
      <w:r>
        <w:t xml:space="preserve">Mỗi giả thuyết đi kèm một khả năng đối lập mà đề tài kiểm định cùng lúc. Với H</w:t>
      </w:r>
      <w:r>
        <w:rPr>
          <w:vertAlign w:val="subscript"/>
        </w:rPr>
        <w:t xml:space="preserve">1</w:t>
      </w:r>
      <w:r>
        <w:t xml:space="preserve">, điểm GFCI có thể chỉ phản ánh thu nhập và thể chế, nên hệ số của chất lượng thị trường bằng 0 sau khi kiểm soát hai nhóm này. Với H</w:t>
      </w:r>
      <w:r>
        <w:rPr>
          <w:vertAlign w:val="subscript"/>
        </w:rPr>
        <w:t xml:space="preserve">2</w:t>
      </w:r>
      <w:r>
        <w:t xml:space="preserve">, chênh lệch giữa hai thị trường có thể chỉ do quy mô doanh nghiệp, nên chỉ số được so sánh cả trên mẫu đối sánh theo quy mô và ngành. Với H</w:t>
      </w:r>
      <w:r>
        <w:rPr>
          <w:vertAlign w:val="subscript"/>
        </w:rPr>
        <w:t xml:space="preserve">3</w:t>
      </w:r>
      <w:r>
        <w:t xml:space="preserve">, quy tắc 1/N có thể xóa khoảng cách vì không cần ước lượng tham số (DeMiguel và cộng sự, 2009), nên đề tài báo cáo khoảng cách riêng cho từng mô hình. Với H</w:t>
      </w:r>
      <w:r>
        <w:rPr>
          <w:vertAlign w:val="subscript"/>
        </w:rPr>
        <w:t xml:space="preserve">4</w:t>
      </w:r>
      <w:r>
        <w:t xml:space="preserve">, khoảng cách có thể do độ sâu, tức số cổ phiếu đầu tư được, chứ không do thanh khoản hay minh bạch, nên bước đối sánh cuối giữ cố định số cổ phiếu trong hai rổ.</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 xml:space="preserve">Đề tài dùng hai bộ dữ liệu. Bộ dữ liệu quốc tế cho câu hỏi 1 gồm điểm GFCI của các trung tâm tài chính theo từng kỳ công bố [CẦN XÁC MINH điều kiện truy cập dữ liệu điểm]. Bộ này được ghép với các chỉ báo thị trường vốn cấp quốc gia trong Cơ sở dữ liệu Phát triển Tài chính Toàn cầu của Ngân hàng Thế giới (Čihák và cộng sự, 2012) và các chỉ số quản trị nhà nước toàn cầu (Kaufmann và cộng sự, 2011). Bộ dữ liệu Việt Nam cho câu hỏi 2 và câu hỏi 3 gồm giá điều chỉnh theo ngày (mở cửa, cao nhất, thấp nhất, đóng cửa), khối lượng và giá trị giao dịch của cổ phiếu trên HNX, UPCoM và HOSE, kể cả những mã đã hủy niêm yết. Bộ này còn gồm các chỉ số VN-Index và HNX-Index; và lợi suất trái phiếu chính phủ kỳ hạn một năm làm lãi suất phi rủi ro. Dữ liệu minh bạch gồm thời điểm công bố báo cáo tài chính, các quyết định xử phạt vi phạm công bố thông tin của Ủy ban Chứng khoán Nhà nước và ý kiến kiểm toán [CẦN XÁC MINH nguồn và điều khoản sử dụng]. Nguồn dữ liệu là HNX, HOSE và một nhà cung cấp dữ liệu thương mại; dữ liệu không chứa thông tin cá nhân.</w:t>
      </w:r>
    </w:p>
    <w:p w14:paraId="46027A87" w14:textId="77777777" w:rsidR="005D3DB2" w:rsidRDefault="00000000">
      <w:pPr>
        <w:pStyle w:val="BodyText"/>
      </w:pPr>
      <w:r>
        <w:t xml:space="preserve">Giai đoạn mẫu dự kiến từ 2007 đến 2026, tùy dữ liệu sẵn có. Đề tài xác định giai đoạn căng thẳng theo ba sự kiện lịch sử: khủng hoảng tài chính toàn cầu 2008–2009, đại dịch COVID-19 năm 2020 và biến cố thị trường trái phiếu doanh nghiệp từ quý 4/2022. Ngày bắt đầu và kết thúc của mỗi giai đoạn được ghi trong tệp đăng ký trước, dựa trên mức sụt giảm của VN-Index so với đỉnh gần nhất. Cách xác định theo sự kiện dễ kiểm chứng và không phụ thuộc vào một mô hình ước lượng; kiểm tra độ bền dùng ngưỡng sụt giảm khác và ngưỡng biến động thực hiện. Đề tài tính chỉ báo thị trường trên dữ liệu ngày, gộp theo tháng, ước lượng ma trận hiệp phương sai trên dữ liệu tuần và tái cân bằng danh mục hằng tháng.</w:t>
      </w:r>
    </w:p>
    <w:p w14:paraId="68236F46" w14:textId="77777777" w:rsidR="005D3DB2" w:rsidRDefault="00000000">
      <w:pPr>
        <w:pStyle w:val="Heading3"/>
      </w:pPr>
      <w:bookmarkStart w:id="17" w:name="_Toc242353134"/>
      <w:bookmarkStart w:id="18" w:name="xác-định-chế-độ-thị-trường"/>
      <w:bookmarkEnd w:id="16"/>
      <w:r>
        <w:t xml:space="preserve">4.3.4. </w:t>
      </w:r>
      <w:r>
        <w:t xml:space="preserve">Chỉ số chất lượng thị trường vốn</w:t>
      </w:r>
      <w:bookmarkEnd w:id="17"/>
    </w:p>
    <w:p w14:paraId="3270AF4A" w14:textId="77777777" w:rsidR="005D3DB2" w:rsidRDefault="00000000">
      <w:pPr>
        <w:pStyle w:val="FirstParagraph"/>
      </w:pPr>
      <w:r>
        <w:t xml:space="preserve">Với mỗi cổ phiếu và mỗi tháng, đề tài tính bảy chỉ báo thành phần thuộc bốn chiều. Chiều thanh khoản gồm độ phi thanh khoản Amihud (Amihud, 2002), tỷ lệ ngày có lợi suất bằng 0 (Lesmond và cộng sự, 1999) và chênh lệch mua–bán ước lượng từ giá cao nhất và thấp nhất (Corwin và Schultz, 2012). Chiều hiệu quả thông tin gồm độ lệch của tỷ số phương sai khỏi 1 (Lo và MacKinlay, 1988) và độ trễ giá (Hou và Moskowitz, 2005). Chiều minh bạch là số ngày trễ hạn công bố báo cáo tài chính. Chiều độ sâu là số cổ phiếu đạt ngưỡng giá trị giao dịch tối thiểu, tính cho cả thị trường. Các chỉ báo cổ phiếu được gộp lên cấp thị trường bằng trung vị có trọng số theo vốn hóa, và đề tài báo cáo thêm trung vị không trọng số làm kiểm tra độ bền.</w:t>
      </w:r>
    </w:p>
    <w:p>
      <w:pPr>
        <w:pStyle w:val="FirstParagraph"/>
      </w:pPr>
      <w:r>
        <w:t xml:space="preserve">Đề tài gộp các chỉ báo thành Chỉ số chất lượng thị trường vốn theo hướng dẫn xây dựng chỉ số tổng hợp của OECD (2008). Mỗi chỉ báo được chuẩn hóa thành điểm z trên toàn mẫu gộp của hai thị trường và đổi dấu sao cho giá trị cao hơn là chất lượng tốt hơn. Với thị trường k (HNX hoặc HOSE) và tháng t, chỉ số là:</w:t>
      </w:r>
    </w:p>
    <w:p>
      <w:pPr>
        <w:pStyle w:val="Equation"/>
      </w:pPr>
      <w:r>
        <w:tab/>
      </w:r>
      <m:oMath>
        <m:sSub>
          <m:sSubPr>
            <m:ctrlPr>
              <w:rPr>
                <w:rFonts w:ascii="Cambria Math" w:hAnsi="Cambria Math"/>
              </w:rPr>
            </m:ctrlPr>
          </m:sSubPr>
          <m:e>
            <m:r>
              <m:rPr>
                <m:sty m:val="p"/>
              </m:rPr>
              <w:rPr>
                <w:rFonts w:ascii="Cambria Math" w:hAnsi="Cambria Math"/>
              </w:rPr>
              <m:t xml:space="preserve">MQI</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nary>
          <m:naryPr>
            <m:chr m:val="∑"/>
            <m:limLoc m:val="undOvr"/>
            <m:ctrlPr>
              <w:rPr>
                <w:rFonts w:ascii="Cambria Math" w:hAnsi="Cambria Math"/>
              </w:rPr>
            </m:ctrlP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J</m:t>
            </m:r>
          </m:sup>
          <m:e>
            <m:sSub>
              <m:sSubPr>
                <m:ctrlPr>
                  <w:rPr>
                    <w:rFonts w:ascii="Cambria Math" w:hAnsi="Cambria Math"/>
                  </w:rPr>
                </m:ctrlPr>
              </m:sSubPr>
              <m:e>
                <m:r>
                  <w:rPr>
                    <w:rFonts w:ascii="Cambria Math" w:hAnsi="Cambria Math"/>
                  </w:rPr>
                  <m:t xml:space="preserve">w</m:t>
                </m:r>
              </m:e>
              <m:sub>
                <m:r>
                  <w:rPr>
                    <w:rFonts w:ascii="Cambria Math" w:hAnsi="Cambria Math"/>
                  </w:rPr>
                  <m:t xml:space="preserve">j</m:t>
                </m:r>
              </m:sub>
            </m:sSub>
            <m:sSub>
              <m:sSubPr>
                <m:ctrlPr>
                  <w:rPr>
                    <w:rFonts w:ascii="Cambria Math" w:hAnsi="Cambria Math"/>
                  </w:rPr>
                </m:ctrlPr>
              </m:sSubPr>
              <m:e>
                <m:r>
                  <w:rPr>
                    <w:rFonts w:ascii="Cambria Math" w:hAnsi="Cambria Math"/>
                  </w:rPr>
                  <m:t xml:space="preserve">z</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e>
        </m:nary>
      </m:oMath>
      <w:r>
        <w:t xml:space="preserve"> </w:t>
        <w:tab/>
        <w:t>(1)</w:t>
      </w:r>
    </w:p>
    <w:p>
      <w:pPr>
        <w:pStyle w:val="FirstParagraph"/>
      </w:pPr>
      <w:r>
        <w:t xml:space="preserve">trong đó </w:t>
      </w:r>
      <w:r>
        <w:rPr>
          <w:i/>
          <w:iCs/>
        </w:rPr>
        <w:t xml:space="preserve">z</w:t>
      </w:r>
      <w:r>
        <w:rPr>
          <w:vertAlign w:val="subscript"/>
        </w:rPr>
        <w:t xml:space="preserve">j,k,t</w:t>
      </w:r>
      <w:r>
        <w:t xml:space="preserve"> là điểm z của chỉ báo j và </w:t>
      </w:r>
      <w:r>
        <w:rPr>
          <w:i/>
          <w:iCs/>
        </w:rPr>
        <w:t xml:space="preserve">w</w:t>
      </w:r>
      <w:r>
        <w:rPr>
          <w:vertAlign w:val="subscript"/>
        </w:rPr>
        <w:t xml:space="preserve">j</w:t>
      </w:r>
      <w:r>
        <w:t xml:space="preserve"> là trọng số. Cấu hình cơ sở dùng trọng số bằng nhau cho bốn chiều, chia đều trong mỗi chiều; trọng số từ thành phần chính thứ nhất và cách gộp bỏ lần lượt từng chiều là kiểm tra độ bền, theo khuyến nghị phân tích độ nhạy của OECD (2008). Đề tài kiểm định H</w:t>
      </w:r>
      <w:r>
        <w:rPr>
          <w:vertAlign w:val="subscript"/>
        </w:rPr>
        <w:t xml:space="preserve">2</w:t>
      </w:r>
      <w:r>
        <w:t xml:space="preserve"> bằng chênh lệch chỉ số giữa HOSE và thị trường do HNX vận hành theo tháng: H</w:t>
      </w:r>
      <w:r>
        <w:rPr>
          <w:vertAlign w:val="subscript"/>
        </w:rPr>
        <w:t xml:space="preserve">2</w:t>
      </w:r>
      <w:r>
        <w:t xml:space="preserve"> được ủng hộ khi chênh lệch bình quân dương và chênh lệch trong giai đoạn căng thẳng lớn hơn ngoài giai đoạn căng thẳng, cả hai với khoảng tin cậy bootstrap khối loại trừ 0. Điểm gãy cấu trúc của chênh lệch được xác định bằng phương pháp của Bai và Perron (1998) và chỉ dùng để mô tả.</w:t>
      </w:r>
    </w:p>
    <w:p w14:paraId="28018213" w14:textId="77777777" w:rsidR="005D3DB2" w:rsidRDefault="00000000">
      <w:pPr>
        <w:pStyle w:val="Heading3"/>
      </w:pPr>
      <w:r>
        <w:t xml:space="preserve">4.3.5. </w:t>
      </w:r>
      <w:r>
        <w:t xml:space="preserve">Mô hình phân bổ dùng làm công cụ đo và đăng ký trước</w:t>
      </w:r>
    </w:p>
    <w:p w14:paraId="5CE7E4B9" w14:textId="77777777" w:rsidR="005D3DB2" w:rsidRDefault="00000000">
      <w:pPr>
        <w:pStyle w:val="FirstParagraph"/>
      </w:pPr>
      <w:r>
        <w:t xml:space="preserve">Đề tài đo khả năng đầu tư bằng bảy mô hình phân bổ (Bảng 3), đại diện cho các hướng tiếp cận ở nhóm tài liệu (C): quy tắc đơn giản, co rút hiệp phương sai, tối ưu hóa cổ điển, mô hình Black–Litterman, danh mục vững chắc và quy tắc có chuyển chế độ (Hamilton, 1989; Kritzman và cộng sự, 2012). Đề tài dùng nhiều mô hình vì khoảng cách đo bằng một mô hình có thể chỉ phản ánh sai số ước lượng của mô hình đó; bình quân theo bảy mô hình và độ phân tán giữa chúng tách hai nguồn này. Tập mô hình không phải danh sách đầy đủ.</w:t>
      </w:r>
    </w:p>
    <w:p w14:paraId="473E7488" w14:textId="77777777" w:rsidR="005D3DB2" w:rsidRDefault="00000000">
      <w:pPr>
        <w:pStyle w:val="TableCaption"/>
      </w:pPr>
      <w:bookmarkStart w:id="21" w:name="_Toc242353158"/>
      <w:r>
        <w:t xml:space="preserve">Bảng </w:t>
      </w:r>
      <w:fldSimple w:instr=" SEQ Bảng \* ARABIC ">
        <w:r>
          <w:rPr>
            <w:noProof/>
          </w:rPr>
          <w:t>3</w:t>
        </w:r>
      </w:fldSimple>
      <w:r>
        <w:t>. Tập mô hình danh mục cạnh tranh</w:t>
      </w:r>
      <w:bookmarkEnd w:id="21"/>
    </w:p>
    <w:tbl>
      <w:tblPr>
        <w:tblStyle w:val="Table"/>
        <w:tblW w:w="5000" w:type="pct"/>
        <w:tblLook w:val="0020" w:firstRow="1" w:lastRow="0" w:firstColumn="0" w:lastColumn="0" w:noHBand="0" w:noVBand="0"/>
      </w:tblPr>
      <w:tblGrid>
        <w:gridCol w:w="503"/>
        <w:gridCol w:w="4765"/>
        <w:gridCol w:w="3510"/>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20971C1" w14:textId="77777777" w:rsidR="005D3DB2" w:rsidRDefault="00000000">
            <w:pPr>
              <w:pStyle w:val="Compact"/>
            </w:pPr>
            <w:r>
              <w:t>Mã</w:t>
            </w:r>
          </w:p>
        </w:tc>
        <w:tc>
          <w:tcPr>
            <w:tcW w:w="0" w:type="auto"/>
          </w:tcPr>
          <w:p w14:paraId="7F5DC59D" w14:textId="77777777" w:rsidR="005D3DB2" w:rsidRDefault="00000000">
            <w:pPr>
              <w:pStyle w:val="Compact"/>
            </w:pPr>
            <w:r>
              <w:t>Mô hình</w:t>
            </w:r>
          </w:p>
        </w:tc>
        <w:tc>
          <w:tcPr>
            <w:tcW w:w="0" w:type="auto"/>
          </w:tcPr>
          <w:p w14:paraId="4B730355" w14:textId="77777777" w:rsidR="005D3DB2" w:rsidRDefault="00000000">
            <w:pPr>
              <w:pStyle w:val="Compact"/>
            </w:pPr>
            <w:r>
              <w:t xml:space="preserve">Tài liệu gốc</w:t>
            </w:r>
          </w:p>
        </w:tc>
      </w:tr>
      <w:tr w:rsidR="005D3DB2" w14:paraId="4BB94694" w14:textId="77777777">
        <w:trPr>
          <w:cantSplit/>
        </w:trPr>
        <w:tc>
          <w:tcPr>
            <w:tcW w:w="0" w:type="auto"/>
          </w:tcPr>
          <w:p w14:paraId="23DD3646" w14:textId="77777777" w:rsidR="005D3DB2" w:rsidRDefault="00000000">
            <w:pPr>
              <w:pStyle w:val="Compact"/>
            </w:pPr>
            <w:r>
              <w:t>M</w:t>
            </w:r>
            <w:r>
              <w:rPr>
                <w:vertAlign w:val="subscript"/>
              </w:rPr>
              <w:t>1</w:t>
            </w:r>
          </w:p>
        </w:tc>
        <w:tc>
          <w:tcPr>
            <w:tcW w:w="0" w:type="auto"/>
          </w:tcPr>
          <w:p w14:paraId="7877F437" w14:textId="77777777" w:rsidR="005D3DB2" w:rsidRDefault="00000000">
            <w:pPr>
              <w:pStyle w:val="Compact"/>
            </w:pPr>
            <w:r>
              <w:t>Phân bổ đều 1/N</w:t>
            </w:r>
          </w:p>
        </w:tc>
        <w:tc>
          <w:tcPr>
            <w:tcW w:w="0" w:type="auto"/>
          </w:tcPr>
          <w:p w14:paraId="2CE0EB8D" w14:textId="77777777" w:rsidR="005D3DB2" w:rsidRDefault="00000000">
            <w:pPr>
              <w:pStyle w:val="Compact"/>
            </w:pPr>
            <w:r>
              <w:t>DeMiguel và cộng sự (2009)</w:t>
            </w:r>
          </w:p>
        </w:tc>
      </w:tr>
      <w:tr w:rsidR="005D3DB2" w14:paraId="148889D3" w14:textId="77777777">
        <w:trPr>
          <w:cantSplit/>
        </w:trPr>
        <w:tc>
          <w:tcPr>
            <w:tcW w:w="0" w:type="auto"/>
          </w:tcPr>
          <w:p w14:paraId="1DD58B1D" w14:textId="77777777" w:rsidR="005D3DB2" w:rsidRDefault="00000000">
            <w:pPr>
              <w:pStyle w:val="Compact"/>
            </w:pPr>
            <w:r>
              <w:t>M</w:t>
            </w:r>
            <w:r>
              <w:rPr>
                <w:vertAlign w:val="subscript"/>
              </w:rPr>
              <w:t>2</w:t>
            </w:r>
          </w:p>
        </w:tc>
        <w:tc>
          <w:tcPr>
            <w:tcW w:w="0" w:type="auto"/>
          </w:tcPr>
          <w:p w14:paraId="244687DE" w14:textId="77777777" w:rsidR="005D3DB2" w:rsidRDefault="00000000">
            <w:pPr>
              <w:pStyle w:val="Compact"/>
            </w:pPr>
            <w:r>
              <w:t>Phương sai nhỏ nhất với ma trận hiệp phương sai co rút</w:t>
            </w:r>
          </w:p>
        </w:tc>
        <w:tc>
          <w:tcPr>
            <w:tcW w:w="0" w:type="auto"/>
          </w:tcPr>
          <w:p w14:paraId="40D70932" w14:textId="77777777" w:rsidR="005D3DB2" w:rsidRDefault="00000000">
            <w:pPr>
              <w:pStyle w:val="Compact"/>
            </w:pPr>
            <w:r>
              <w:t>Ledoit và Wolf (2004)</w:t>
            </w:r>
          </w:p>
        </w:tc>
      </w:tr>
      <w:tr w:rsidR="005D3DB2" w14:paraId="72D0850C" w14:textId="77777777">
        <w:trPr>
          <w:cantSplit/>
        </w:trPr>
        <w:tc>
          <w:tcPr>
            <w:tcW w:w="0" w:type="auto"/>
          </w:tcPr>
          <w:p w14:paraId="551C2224" w14:textId="77777777" w:rsidR="005D3DB2" w:rsidRDefault="00000000">
            <w:pPr>
              <w:pStyle w:val="Compact"/>
            </w:pPr>
            <w:r>
              <w:t>M</w:t>
            </w:r>
            <w:r>
              <w:rPr>
                <w:vertAlign w:val="subscript"/>
              </w:rPr>
              <w:t>3</w:t>
            </w:r>
          </w:p>
        </w:tc>
        <w:tc>
          <w:tcPr>
            <w:tcW w:w="0" w:type="auto"/>
          </w:tcPr>
          <w:p w14:paraId="3356ABA6" w14:textId="77777777" w:rsidR="005D3DB2" w:rsidRDefault="00000000">
            <w:pPr>
              <w:pStyle w:val="Compact"/>
            </w:pPr>
            <w:r>
              <w:t xml:space="preserve">Trung bình–phương sai</w:t>
            </w:r>
            <w:r>
              <w:t xml:space="preserve"> với ước lượng mẫu</w:t>
            </w:r>
          </w:p>
        </w:tc>
        <w:tc>
          <w:tcPr>
            <w:tcW w:w="0" w:type="auto"/>
          </w:tcPr>
          <w:p w14:paraId="1F03E0B7" w14:textId="77777777" w:rsidR="005D3DB2" w:rsidRDefault="00000000">
            <w:pPr>
              <w:pStyle w:val="Compact"/>
            </w:pPr>
            <w:r>
              <w:t>Markowitz (1952)</w:t>
            </w:r>
          </w:p>
        </w:tc>
      </w:tr>
      <w:tr w:rsidR="005D3DB2" w14:paraId="73E18DCE" w14:textId="77777777">
        <w:trPr>
          <w:cantSplit/>
        </w:trPr>
        <w:tc>
          <w:tcPr>
            <w:tcW w:w="0" w:type="auto"/>
          </w:tcPr>
          <w:p w14:paraId="448D22E2" w14:textId="77777777" w:rsidR="005D3DB2" w:rsidRDefault="00000000">
            <w:pPr>
              <w:pStyle w:val="Compact"/>
            </w:pPr>
            <w:r>
              <w:t>M</w:t>
            </w:r>
            <w:r>
              <w:rPr>
                <w:vertAlign w:val="subscript"/>
              </w:rPr>
              <w:t>4</w:t>
            </w:r>
          </w:p>
        </w:tc>
        <w:tc>
          <w:tcPr>
            <w:tcW w:w="0" w:type="auto"/>
          </w:tcPr>
          <w:p w14:paraId="758005CD" w14:textId="77777777" w:rsidR="005D3DB2" w:rsidRDefault="00000000">
            <w:pPr>
              <w:pStyle w:val="Compact"/>
            </w:pPr>
            <w:r>
              <w:t xml:space="preserve">Black–Litterman</w:t>
            </w:r>
            <w:r>
              <w:t xml:space="preserve"> với quan điểm từ mô hình dự báo</w:t>
            </w:r>
          </w:p>
        </w:tc>
        <w:tc>
          <w:tcPr>
            <w:tcW w:w="0" w:type="auto"/>
          </w:tcPr>
          <w:p w14:paraId="4B6B712C" w14:textId="77777777" w:rsidR="005D3DB2" w:rsidRDefault="00000000">
            <w:pPr>
              <w:pStyle w:val="Compact"/>
            </w:pPr>
            <w:r>
              <w:t>Black và Litterman (1992)</w:t>
            </w:r>
          </w:p>
        </w:tc>
      </w:tr>
      <w:tr w:rsidR="005D3DB2" w14:paraId="2EFBFFC3" w14:textId="77777777">
        <w:trPr>
          <w:cantSplit/>
        </w:trPr>
        <w:tc>
          <w:tcPr>
            <w:tcW w:w="0" w:type="auto"/>
          </w:tcPr>
          <w:p w14:paraId="2F0A1C76" w14:textId="77777777" w:rsidR="005D3DB2" w:rsidRDefault="00000000">
            <w:pPr>
              <w:pStyle w:val="Compact"/>
            </w:pPr>
            <w:r>
              <w:t>M</w:t>
            </w:r>
            <w:r>
              <w:rPr>
                <w:vertAlign w:val="subscript"/>
              </w:rPr>
              <w:t>5</w:t>
            </w:r>
          </w:p>
        </w:tc>
        <w:tc>
          <w:tcPr>
            <w:tcW w:w="0" w:type="auto"/>
          </w:tcPr>
          <w:p w14:paraId="31F2A1AD" w14:textId="77777777" w:rsidR="005D3DB2" w:rsidRDefault="00000000">
            <w:pPr>
              <w:pStyle w:val="Compact"/>
            </w:pPr>
            <w:r>
              <w:t xml:space="preserve">Black–Litterman</w:t>
            </w:r>
            <w:r>
              <w:t xml:space="preserve"> có chuyển chế độ</w:t>
            </w:r>
          </w:p>
        </w:tc>
        <w:tc>
          <w:tcPr>
            <w:tcW w:w="0" w:type="auto"/>
          </w:tcPr>
          <w:p w14:paraId="44313646" w14:textId="77777777" w:rsidR="005D3DB2" w:rsidRDefault="00000000">
            <w:pPr>
              <w:pStyle w:val="Compact"/>
            </w:pPr>
            <w:r>
              <w:t>Mở rộng từ Nguyen và Nguyen (2026a)</w:t>
            </w:r>
          </w:p>
        </w:tc>
      </w:tr>
      <w:tr w:rsidR="005D3DB2" w14:paraId="3ECC16B1" w14:textId="77777777">
        <w:trPr>
          <w:cantSplit/>
        </w:trPr>
        <w:tc>
          <w:tcPr>
            <w:tcW w:w="0" w:type="auto"/>
          </w:tcPr>
          <w:p w14:paraId="148F97A3" w14:textId="77777777" w:rsidR="005D3DB2" w:rsidRDefault="00000000">
            <w:pPr>
              <w:pStyle w:val="Compact"/>
            </w:pPr>
            <w:r>
              <w:t>M</w:t>
            </w:r>
            <w:r>
              <w:rPr>
                <w:vertAlign w:val="subscript"/>
              </w:rPr>
              <w:t>6</w:t>
            </w:r>
          </w:p>
        </w:tc>
        <w:tc>
          <w:tcPr>
            <w:tcW w:w="0" w:type="auto"/>
          </w:tcPr>
          <w:p w14:paraId="63B8F9BE" w14:textId="77777777" w:rsidR="005D3DB2" w:rsidRDefault="00000000">
            <w:pPr>
              <w:pStyle w:val="Compact"/>
            </w:pPr>
            <w:r>
              <w:t>Danh mục vững chắc với nhiều niềm tin tiên nghiệm</w:t>
            </w:r>
          </w:p>
        </w:tc>
        <w:tc>
          <w:tcPr>
            <w:tcW w:w="0" w:type="auto"/>
          </w:tcPr>
          <w:p w14:paraId="4A51CA56" w14:textId="77777777" w:rsidR="005D3DB2" w:rsidRDefault="00000000">
            <w:pPr>
              <w:pStyle w:val="Compact"/>
            </w:pPr>
            <w:r>
              <w:t>Garlappi và cộng sự (2007)</w:t>
            </w:r>
          </w:p>
        </w:tc>
      </w:tr>
      <w:tr w:rsidR="005D3DB2" w14:paraId="043CE885" w14:textId="77777777">
        <w:trPr>
          <w:cantSplit/>
        </w:trPr>
        <w:tc>
          <w:tcPr>
            <w:tcW w:w="0" w:type="auto"/>
          </w:tcPr>
          <w:p w14:paraId="368F48C9" w14:textId="77777777" w:rsidR="005D3DB2" w:rsidRDefault="00000000">
            <w:pPr>
              <w:pStyle w:val="Compact"/>
            </w:pPr>
            <w:r>
              <w:t>M</w:t>
            </w:r>
            <w:r>
              <w:rPr>
                <w:vertAlign w:val="subscript"/>
              </w:rPr>
              <w:t>7</w:t>
            </w:r>
          </w:p>
        </w:tc>
        <w:tc>
          <w:tcPr>
            <w:tcW w:w="0" w:type="auto"/>
          </w:tcPr>
          <w:p w14:paraId="31E8219C" w14:textId="77777777" w:rsidR="005D3DB2" w:rsidRDefault="00000000">
            <w:pPr>
              <w:pStyle w:val="Compact"/>
            </w:pPr>
            <w:r>
              <w:t>Giảm tỷ trọng rủi ro theo xác suất chế độ căng thẳng</w:t>
            </w:r>
          </w:p>
        </w:tc>
        <w:tc>
          <w:tcPr>
            <w:tcW w:w="0" w:type="auto"/>
          </w:tcPr>
          <w:p w14:paraId="315E284D" w14:textId="77777777" w:rsidR="005D3DB2" w:rsidRDefault="00000000">
            <w:pPr>
              <w:pStyle w:val="Compact"/>
            </w:pPr>
            <w:r>
              <w:t>Kritzman và cộng sự (2012)</w:t>
            </w:r>
          </w:p>
        </w:tc>
      </w:tr>
    </w:tbl>
    <w:p w14:paraId="2FB0E1ED" w14:textId="77777777" w:rsidR="005D3DB2" w:rsidRDefault="00000000">
      <w:pPr>
        <w:pStyle w:val="SourceNote"/>
      </w:pPr>
      <w:r>
        <w:t xml:space="preserve">Nguồn: Thí sinh tổng hợp. Ghi chú: cả bảy mô hình là danh mục chỉ mua, ước lượng trên cửa sổ 104 tuần và tái cân bằng hằng tháng; kết quả được báo cáo cả khi có và khi không có M5.</w:t>
      </w:r>
    </w:p>
    <w:p w14:paraId="2FD81000" w14:textId="77777777" w:rsidR="005D3DB2" w:rsidRDefault="00000000">
      <w:pPr>
        <w:pStyle w:val="BodyText"/>
      </w:pPr>
      <w:r>
        <w:t>Đề tài chọn siêu tham số của M</w:t>
      </w:r>
      <w:r>
        <w:rPr>
          <w:vertAlign w:val="subscript"/>
        </w:rPr>
        <w:t>2</w:t>
      </w:r>
      <w:r>
        <w:t>, M</w:t>
      </w:r>
      <w:r>
        <w:rPr>
          <w:vertAlign w:val="subscript"/>
        </w:rPr>
        <w:t>4</w:t>
      </w:r>
      <w:r>
        <w:t>, M</w:t>
      </w:r>
      <w:r>
        <w:rPr>
          <w:vertAlign w:val="subscript"/>
        </w:rPr>
        <w:t>5</w:t>
      </w:r>
      <w:r>
        <w:t>, M</w:t>
      </w:r>
      <w:r>
        <w:rPr>
          <w:vertAlign w:val="subscript"/>
        </w:rPr>
        <w:t>6</w:t>
      </w:r>
      <w:r>
        <w:t xml:space="preserve"> và M</w:t>
      </w:r>
      <w:r>
        <w:rPr>
          <w:vertAlign w:val="subscript"/>
        </w:rPr>
        <w:t>7</w:t>
      </w:r>
      <w:r>
        <w:t xml:space="preserve"> từ một lưới cho trước, bằng cùng một quy tắc và cùng ngân sách tinh chỉnh. Quan điểm của M</w:t>
      </w:r>
      <w:r>
        <w:rPr>
          <w:vertAlign w:val="subscript"/>
        </w:rPr>
        <w:t>4</w:t>
      </w:r>
      <w:r>
        <w:t xml:space="preserve"> lấy từ một mô hình dự báo đơn giản. Vì M</w:t>
      </w:r>
      <w:r>
        <w:rPr>
          <w:vertAlign w:val="subscript"/>
        </w:rPr>
        <w:t>5</w:t>
      </w:r>
      <w:r>
        <w:t xml:space="preserve"> do thí sinh phát triển, đề tài xử lý M</w:t>
      </w:r>
      <w:r>
        <w:rPr>
          <w:vertAlign w:val="subscript"/>
        </w:rPr>
        <w:t>5</w:t>
      </w:r>
      <w:r>
        <w:t xml:space="preserve"> như mọi mô hình khác và báo cáo kết quả cả khi có lẫn khi không có M</w:t>
      </w:r>
      <w:r>
        <w:rPr>
          <w:vertAlign w:val="subscript"/>
        </w:rPr>
        <w:t>5</w:t>
      </w:r>
      <w:r>
        <w:t>. Đề tài chỉ ước lượng trực tiếp M</w:t>
      </w:r>
      <w:r>
        <w:rPr>
          <w:vertAlign w:val="subscript"/>
        </w:rPr>
        <w:t>3</w:t>
      </w:r>
      <w:r>
        <w:t xml:space="preserve"> khi tỷ lệ số cổ phiếu trên số quan sát tuần không vượt 0,5; khi vượt ngưỡng, M</w:t>
      </w:r>
      <w:r>
        <w:rPr>
          <w:vertAlign w:val="subscript"/>
        </w:rPr>
        <w:t>3</w:t>
      </w:r>
      <w:r>
        <w:t xml:space="preserve"> dùng nghịch đảo giả </w:t>
      </w:r>
      <w:r>
        <w:t xml:space="preserve">Moore–Penrose</w:t>
      </w:r>
      <w:r>
        <w:t xml:space="preserve"> và kết quả ghi rõ điều này.</w:t>
      </w:r>
    </w:p>
    <w:p w14:paraId="0EEA8DBF" w14:textId="77777777" w:rsidR="005D3DB2" w:rsidRDefault="00000000">
      <w:pPr>
        <w:pStyle w:val="BodyText"/>
      </w:pPr>
      <w:r>
        <w:t xml:space="preserve">Thí sinh đã dùng dữ liệu Việt Nam giai đoạn 2019–2025 trong bài báo Nguyen và Nguyen (2026a), nhưng bài báo đó chỉ dùng cổ phiếu HOSE và không tính chỉ báo nào cho thị trường do HNX vận hành. Để kiểm soát rủi ro chọn kết quả sau khi xem dữ liệu, thí sinh đăng ký trước kế hoạch phân tích trên nền tảng OSF Registries vào quý 4 năm thứ nhất, ở dạng khóa có dấu thời gian, và khai rõ những kết quả đã xem [CẦN XÁC MINH phạm vi dữ liệu của bài 2026a]. Bước ước lượng thử ở năm thứ nhất chỉ kiểm tra dữ liệu và thời gian tính; bước này không tính chỉ số chất lượng, khoảng cách khả năng đầu tư hay hệ số của H</w:t>
      </w:r>
      <w:r>
        <w:rPr>
          <w:vertAlign w:val="subscript"/>
        </w:rPr>
        <w:t xml:space="preserve">1</w:t>
      </w:r>
      <w:r>
        <w:t xml:space="preserve">. Tệp đăng ký cố định các nội dung sau: danh sách và cách chuẩn hóa chỉ báo; trọng số cơ sở của chỉ số; ngày của ba giai đoạn căng thẳng; độ dài các cửa sổ; quy tắc lập rổ HNX và rổ HOSE; chi phí giao dịch cơ sở; siêu tham số của bảy mô hình; đặc tả hồi quy của H</w:t>
      </w:r>
      <w:r>
        <w:rPr>
          <w:vertAlign w:val="subscript"/>
        </w:rPr>
        <w:t xml:space="preserve">1</w:t>
      </w:r>
      <w:r>
        <w:t xml:space="preserve">; thứ tự các bước đối sánh của H</w:t>
      </w:r>
      <w:r>
        <w:rPr>
          <w:vertAlign w:val="subscript"/>
        </w:rPr>
        <w:t xml:space="preserve">4</w:t>
      </w:r>
      <w:r>
        <w:t xml:space="preserve">; độ dài khối và số lần tái lấy mẫu bootstrap; mức ý nghĩa và quy tắc hiệu chỉnh so sánh bội; quy tắc gọi một kết quả là chưa đủ cơ sở kết luận. Mọi thay đổi sau ngày đăng ký được ghi là lệch khỏi kế hoạch.</w:t>
      </w:r>
    </w:p>
    <w:p w14:paraId="574C7F46" w14:textId="77777777" w:rsidR="005D3DB2" w:rsidRDefault="00000000">
      <w:pPr>
        <w:pStyle w:val="Heading3"/>
      </w:pPr>
      <w:bookmarkStart w:id="22" w:name="_Toc242353136"/>
      <w:bookmarkStart w:id="23" w:name="thước-đo-rủi-ro-lựa-chọn-mô-hình"/>
      <w:bookmarkEnd w:id="20"/>
      <w:r>
        <w:t xml:space="preserve">4.3.6. </w:t>
      </w:r>
      <w:r>
        <w:t xml:space="preserve">Chỉ số khả năng đầu tư</w:t>
      </w:r>
      <w:bookmarkEnd w:id="22"/>
    </w:p>
    <w:p w14:paraId="2CBB84AF" w14:textId="77777777" w:rsidR="005D3DB2" w:rsidRDefault="00000000">
      <w:pPr>
        <w:pStyle w:val="FirstParagraph"/>
      </w:pPr>
      <w:r>
        <w:t xml:space="preserve">Đề tài đo hiệu quả ngoài mẫu bằng lợi suất tương đương chắc chắn sau chi phí giao dịch, tức mức lợi suất phi rủi ro mà nhà đầu tư ngại rủi ro coi là ngang giá với danh mục. Tỷ số Sharpe không phù hợp làm thước đo chính, vì khi lợi suất vượt trội trung bình âm, thường gặp trong giai đoạn căng thẳng, danh mục biến động mạnh hơn lại có tỷ số Sharpe ít âm hơn. Đề tài chỉ báo cáo tỷ số Sharpe như thước đo phụ.</w:t>
      </w:r>
    </w:p>
    <w:p>
      <w:pPr>
        <w:pStyle w:val="FirstParagraph"/>
      </w:pPr>
      <w:r>
        <w:t xml:space="preserve">Gọi M là tập bảy mô hình ở Bảng 3. Với mô hình m, rổ k và cửa sổ đánh giá kết thúc tại t, gọi </w:t>
      </w:r>
      <w:r>
        <w:rPr>
          <w:i/>
          <w:iCs/>
        </w:rPr>
        <w:t xml:space="preserve">μ</w:t>
      </w:r>
      <w:r>
        <w:rPr>
          <w:vertAlign w:val="subscript"/>
        </w:rPr>
        <w:t xml:space="preserve">m,k,t</w:t>
      </w:r>
      <w:r>
        <w:t xml:space="preserve"> và </w:t>
      </w:r>
      <w:r>
        <w:rPr>
          <w:i/>
          <w:iCs/>
        </w:rPr>
        <w:t xml:space="preserve">σ</w:t>
      </w:r>
      <w:r>
        <w:t xml:space="preserve">²</w:t>
      </w:r>
      <w:r>
        <w:rPr>
          <w:vertAlign w:val="subscript"/>
        </w:rPr>
        <w:t xml:space="preserve">m,k,t</w:t>
      </w:r>
      <w:r>
        <w:t xml:space="preserve"> là trung bình và phương sai lợi suất danh mục sau chi phí, và </w:t>
      </w:r>
      <w:r>
        <w:rPr>
          <w:i/>
          <w:iCs/>
        </w:rPr>
        <w:t xml:space="preserve">ρ</w:t>
      </w:r>
      <w:r>
        <w:t xml:space="preserve"> là hệ số ngại rủi ro ấn định trước (giá trị cơ sở bằng 5, kiểm tra độ nhạy ở 3 và 10). Lợi suất tương đương chắc chắn là:</w:t>
      </w:r>
    </w:p>
    <w:p>
      <w:pPr>
        <w:pStyle w:val="Equation"/>
      </w:pPr>
      <w:r>
        <w:tab/>
      </w:r>
      <m:oMath>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μ</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w:rPr>
                <w:rFonts w:ascii="Cambria Math" w:hAnsi="Cambria Math"/>
              </w:rPr>
              <m:t xml:space="preserve">ρ</m:t>
            </m:r>
          </m:num>
          <m:den>
            <m:r>
              <m:rPr>
                <m:sty m:val="p"/>
              </m:rPr>
              <w:rPr>
                <w:rFonts w:ascii="Cambria Math" w:hAnsi="Cambria Math"/>
              </w:rPr>
              <m:t xml:space="preserve">2</m:t>
            </m:r>
          </m:den>
        </m:f>
        <m:sSubSup>
          <m:sSubSupPr>
            <m:ctrlPr>
              <w:rPr>
                <w:rFonts w:ascii="Cambria Math" w:hAnsi="Cambria Math"/>
              </w:rPr>
            </m:ctrlPr>
          </m:sSubSupPr>
          <m:e>
            <m:r>
              <w:rPr>
                <w:rFonts w:ascii="Cambria Math" w:hAnsi="Cambria Math"/>
              </w:rPr>
              <m:t xml:space="preserve">σ</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up>
            <m:r>
              <m:rPr>
                <m:sty m:val="p"/>
              </m:rPr>
              <w:rPr>
                <w:rFonts w:ascii="Cambria Math" w:hAnsi="Cambria Math"/>
              </w:rPr>
              <m:t xml:space="preserve">2</m:t>
            </m:r>
          </m:sup>
        </m:sSubSup>
      </m:oMath>
      <w:r>
        <w:t xml:space="preserve"> </w:t>
        <w:tab/>
        <w:t>(2)</w:t>
      </w:r>
    </w:p>
    <w:p>
      <w:pPr>
        <w:pStyle w:val="FirstParagraph"/>
      </w:pPr>
      <w:r>
        <w:t xml:space="preserve">Khoảng cách khả năng đầu tư của mô hình m là chênh lệch giữa rổ HOSE và rổ HNX:</w:t>
      </w:r>
    </w:p>
    <w:p>
      <w:pPr>
        <w:pStyle w:val="Equation"/>
      </w:pPr>
      <w:r>
        <w:tab/>
      </w:r>
      <m:oMath>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HOSE</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HNX</m:t>
            </m:r>
            <m:r>
              <m:rPr>
                <m:sty m:val="p"/>
              </m:rPr>
              <w:rPr>
                <w:rFonts w:ascii="Cambria Math" w:hAnsi="Cambria Math"/>
              </w:rPr>
              <m:t xml:space="preserve">,</m:t>
            </m:r>
            <m:r>
              <w:rPr>
                <w:rFonts w:ascii="Cambria Math" w:hAnsi="Cambria Math"/>
              </w:rPr>
              <m:t xml:space="preserve">t</m:t>
            </m:r>
          </m:sub>
        </m:sSub>
      </m:oMath>
      <w:r>
        <w:t xml:space="preserve"> </w:t>
        <w:tab/>
        <w:t>(3)</w:t>
      </w:r>
    </w:p>
    <w:p>
      <w:pPr>
        <w:pStyle w:val="FirstParagraph"/>
      </w:pPr>
      <w:r>
        <w:t xml:space="preserve">Chỉ số khả năng đầu tư là khoảng cách bình quân theo bảy mô hình:</w:t>
      </w:r>
    </w:p>
    <w:p>
      <w:pPr>
        <w:pStyle w:val="Equation"/>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 xml:space="preserve">G</m:t>
                </m:r>
              </m:e>
            </m:bar>
          </m:e>
          <m:sub>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m:rPr>
                <m:sty m:val="p"/>
              </m:rPr>
              <w:rPr>
                <w:rFonts w:ascii="Cambria Math" w:hAnsi="Cambria Math"/>
              </w:rPr>
              <m:t xml:space="preserve">1</m:t>
            </m:r>
          </m:num>
          <m:den>
            <m:d>
              <m:dPr>
                <m:begChr m:val="|"/>
                <m:endChr m:val="|"/>
                <m:ctrlPr>
                  <w:rPr>
                    <w:rFonts w:ascii="Cambria Math" w:hAnsi="Cambria Math"/>
                  </w:rPr>
                </m:ctrlPr>
              </m:dPr>
              <m:e>
                <m:r>
                  <w:rPr>
                    <w:rFonts w:ascii="Cambria Math" w:hAnsi="Cambria Math"/>
                  </w:rPr>
                  <m:t xml:space="preserve">M</m:t>
                </m:r>
              </m:e>
            </m:d>
          </m:den>
        </m:f>
        <m:nary>
          <m:naryPr>
            <m:chr m:val="∑"/>
            <m:limLoc m:val="undOvr"/>
            <m:supHide m:val="1"/>
            <m:ctrlPr>
              <w:rPr>
                <w:rFonts w:ascii="Cambria Math" w:hAnsi="Cambria Math"/>
              </w:rPr>
            </m:ctrlPr>
          </m:naryPr>
          <m:sub>
            <m:r>
              <w:rPr>
                <w:rFonts w:ascii="Cambria Math" w:hAnsi="Cambria Math"/>
              </w:rPr>
              <m:t xml:space="preserve">m</m:t>
            </m:r>
            <m:r>
              <m:rPr>
                <m:sty m:val="p"/>
              </m:rPr>
              <w:rPr>
                <w:rFonts w:ascii="Cambria Math" w:hAnsi="Cambria Math"/>
              </w:rPr>
              <m:t xml:space="preserve">∈</m:t>
            </m:r>
            <m:r>
              <w:rPr>
                <w:rFonts w:ascii="Cambria Math" w:hAnsi="Cambria Math"/>
              </w:rPr>
              <m:t xml:space="preserve">M</m:t>
            </m:r>
          </m:sub>
          <m:sup/>
          <m:e>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e>
        </m:nary>
      </m:oMath>
      <w:r>
        <w:t xml:space="preserve"> </w:t>
        <w:tab/>
        <w:t>(4)</w:t>
      </w:r>
    </w:p>
    <w:p>
      <w:pPr>
        <w:pStyle w:val="FirstParagraph"/>
      </w:pPr>
      <w:r>
        <w:t xml:space="preserve">Chỉ số dương nghĩa là nhà đầu tư đa dạng hóa đạt lợi suất tương đương chắc chắn thấp hơn khi chỉ dùng cổ phiếu do HNX vận hành, tính bằng điểm phần trăm mỗi năm. Đề tài báo cáo kèm độ phân tán, tức độ lệch chuẩn của </w:t>
      </w:r>
      <w:r>
        <w:rPr>
          <w:i/>
          <w:iCs/>
        </w:rPr>
        <w:t xml:space="preserve">G</w:t>
      </w:r>
      <w:r>
        <w:rPr>
          <w:vertAlign w:val="subscript"/>
        </w:rPr>
        <w:t xml:space="preserve">m,t</w:t>
      </w:r>
      <w:r>
        <w:t xml:space="preserve"> theo m: độ phân tán nhỏ cho thấy khoảng cách là đặc tính của thị trường, còn độ phân tán lớn cho thấy khoảng cách phụ thuộc vào mô hình phân bổ. Rổ HNX gồm tối đa 30 cổ phiếu niêm yết và UPCoM có giá trị giao dịch bình quân 3 tháng lớn nhất; rổ HOSE được lập theo cùng quy tắc, chỉ dùng dữ liệu có tại ngày tái cân bằng để tránh thiên lệch sống sót và thiên lệch nhìn trước. Khi thị trường do HNX vận hành không đủ 30 cổ phiếu đạt ngưỡng giá trị giao dịch, rổ HNX nhận số cổ phiếu đạt ngưỡng và rổ HOSE được thu về cùng số lượng.</w:t>
      </w:r>
    </w:p>
    <w:p w14:paraId="20510674" w14:textId="77777777" w:rsidR="005D3DB2" w:rsidRDefault="00000000">
      <w:pPr>
        <w:pStyle w:val="BodyText"/>
      </w:pPr>
      <w:r>
        <w:t xml:space="preserve">Đề tài ước lượng mỗi mô hình trên cửa sổ 104 tuần và đánh giá trên cửa sổ 6 tháng không chồng lấn (Hình 2). Với mẫu 2007–2026, đề tài dự kiến có khoảng 34 cửa sổ đánh giá, trong đó số cửa sổ giao với ba giai đoạn căng thẳng ước tính từ 6 đến 8; con số chính xác được tính trên chuỗi VN-Index trước khi đăng ký và không làm lộ kết quả danh mục. Vì số cửa sổ căng thẳng ít, phần so sánh giữa hai loại giai đoạn của H</w:t>
      </w:r>
      <w:r>
        <w:rPr>
          <w:vertAlign w:val="subscript"/>
        </w:rPr>
        <w:t xml:space="preserve">2</w:t>
      </w:r>
      <w:r>
        <w:t xml:space="preserve"> và H</w:t>
      </w:r>
      <w:r>
        <w:rPr>
          <w:vertAlign w:val="subscript"/>
        </w:rPr>
        <w:t xml:space="preserve">3</w:t>
      </w:r>
      <w:r>
        <w:t xml:space="preserve"> có khả năng được ghi là chưa đủ cơ sở kết luận theo quy tắc ở mục 4.3.10, trong khi so sánh mức bình quân toàn mẫu dùng toàn bộ cửa sổ. Thí sinh mô phỏng công suất kiểm định và ghi phương án xử lý vào tệp đăng ký.</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D9D9D9"/>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6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D9D9D9"/>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6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D9D9D9"/>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6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r>
                                <w:rPr>
                                  <w:sz w:val="19"/>
                                  <w:szCs w:val="19"/>
                                </w:rPr>
                                <w:t xml:space="preserve">Mỗi cửa sổ đánh giá: tính lợi suất tương đương chắc chắn của bảy mô hình</w:t>
                              </w:r>
                            </w:p>
                            <w:p w14:paraId="3AD823B3" w14:textId="77777777" w:rsidR="005D3DB2" w:rsidRDefault="00000000">
                              <w:pPr>
                                <w:jc w:val="center"/>
                              </w:pPr>
                              <w:r>
                                <w:rPr>
                                  <w:sz w:val="19"/>
                                  <w:szCs w:val="19"/>
                                </w:rPr>
                                <w:t xml:space="preserve">trên rổ HNX và rổ HOSE; khoảng cách G</w:t>
                              </w:r>
                              <w:r>
                                <w:rPr>
                                  <w:sz w:val="19"/>
                                  <w:szCs w:val="19"/>
                                  <w:vertAlign w:val="subscript"/>
                                </w:rPr>
                                <w:t xml:space="preserve">m,t</w:t>
                              </w:r>
                              <w:r>
                                <w:rPr>
                                  <w:sz w:val="19"/>
                                  <w:szCs w:val="19"/>
                                </w:rPr>
                                <w:t xml:space="preserve"> tính trên cửa sổ đó</w:t>
                              </w: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6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6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6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r>
                          <w:rPr>
                            <w:sz w:val="19"/>
                            <w:szCs w:val="19"/>
                          </w:rPr>
                          <w:t xml:space="preserve">Mỗi cửa sổ đánh giá: tính lợi suất tương đương chắc chắn của bảy mô hình</w:t>
                        </w:r>
                      </w:p>
                      <w:p w14:paraId="3AD823B3" w14:textId="77777777" w:rsidR="005D3DB2" w:rsidRDefault="00000000">
                        <w:pPr>
                          <w:jc w:val="center"/>
                        </w:pPr>
                        <w:r>
                          <w:rPr>
                            <w:sz w:val="19"/>
                            <w:szCs w:val="19"/>
                          </w:rPr>
                          <w:t xml:space="preserve">trên rổ HNX và rổ HOSE; khoảng cách G</w:t>
                        </w:r>
                        <w:r>
                          <w:rPr>
                            <w:sz w:val="19"/>
                            <w:szCs w:val="19"/>
                            <w:vertAlign w:val="subscript"/>
                          </w:rPr>
                          <w:t xml:space="preserve">m,t</w:t>
                        </w:r>
                        <w:r>
                          <w:rPr>
                            <w:sz w:val="19"/>
                            <w:szCs w:val="19"/>
                          </w:rPr>
                          <w:t xml:space="preserve"> tính trên cửa sổ đó</w:t>
                        </w: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Pr>
            <w:noProof/>
          </w:rPr>
          <w:t>2</w:t>
        </w:r>
      </w:fldSimple>
      <w:r>
        <w:t xml:space="preserve">. Cửa sổ ước lượng, cửa sổ đánh giá và </w:t>
      </w:r>
      <w:r>
        <w:t xml:space="preserve">cách tính khoảng cách khả năng đầu tư</w:t>
      </w:r>
      <w:bookmarkEnd w:id="24"/>
    </w:p>
    <w:p w14:paraId="14F05B63" w14:textId="77777777" w:rsidR="005D3DB2" w:rsidRDefault="00000000">
      <w:pPr>
        <w:pStyle w:val="SourceNote"/>
      </w:pPr>
      <w:r>
        <w:t>Nguồn: Thí sinh đề xuất</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pPr>
        <w:pStyle w:val="FirstParagraph"/>
      </w:pPr>
      <w:r>
        <w:t xml:space="preserve">Đề tài kiểm định H</w:t>
      </w:r>
      <w:r>
        <w:rPr>
          <w:vertAlign w:val="subscript"/>
        </w:rPr>
        <w:t xml:space="preserve">1</w:t>
      </w:r>
      <w:r>
        <w:t xml:space="preserve"> trên dữ liệu bảng của các trung tâm tài chính, theo cách tiếp cận của Naeem (2023). Với trung tâm i và kỳ công bố t, phương trình ước lượng là:</w:t>
      </w:r>
    </w:p>
    <w:p>
      <w:pPr>
        <w:pStyle w:val="Equation"/>
      </w:pPr>
      <w:r>
        <w:tab/>
      </w:r>
      <m:oMath>
        <m:sSub>
          <m:sSubPr>
            <m:ctrlPr>
              <w:rPr>
                <w:rFonts w:ascii="Cambria Math" w:hAnsi="Cambria Math"/>
              </w:rPr>
            </m:ctrlPr>
          </m:sSubPr>
          <m:e>
            <m:r>
              <m:rPr>
                <m:sty m:val="p"/>
              </m:rPr>
              <w:rPr>
                <w:rFonts w:ascii="Cambria Math" w:hAnsi="Cambria Math"/>
              </w:rPr>
              <m:t xml:space="preserve">GFCI</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MQ</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δ</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W</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(5)</w:t>
      </w:r>
    </w:p>
    <w:p>
      <w:pPr>
        <w:pStyle w:val="FirstParagraph"/>
      </w:pPr>
      <w:r>
        <w:t xml:space="preserve">trong đó </w:t>
      </w:r>
      <w:r>
        <w:rPr>
          <w:i/>
          <w:iCs/>
        </w:rPr>
        <w:t xml:space="preserve">GFCI</w:t>
      </w:r>
      <w:r>
        <w:rPr>
          <w:vertAlign w:val="subscript"/>
        </w:rPr>
        <w:t xml:space="preserve">i,t</w:t>
      </w:r>
      <w:r>
        <w:t xml:space="preserve"> là điểm GFCI; </w:t>
      </w:r>
      <w:r>
        <w:rPr>
          <w:i/>
          <w:iCs/>
        </w:rPr>
        <w:t xml:space="preserve">MQ</w:t>
      </w:r>
      <w:r>
        <w:rPr>
          <w:vertAlign w:val="subscript"/>
        </w:rPr>
        <w:t xml:space="preserve">i,t−1</w:t>
      </w:r>
      <w:r>
        <w:t xml:space="preserve"> là chỉ số chất lượng thị trường vốn cấp quốc gia, gộp từ tỷ lệ vòng quay cổ phiếu và vốn hóa trên GDP (Čihák và cộng sự, 2012) theo cùng cách chuẩn hóa ở mục 4.3.4; </w:t>
      </w:r>
      <w:r>
        <w:rPr>
          <w:i/>
          <w:iCs/>
        </w:rPr>
        <w:t xml:space="preserve">W</w:t>
      </w:r>
      <w:r>
        <w:rPr>
          <w:vertAlign w:val="subscript"/>
        </w:rPr>
        <w:t xml:space="preserve">i,t−1</w:t>
      </w:r>
      <w:r>
        <w:t xml:space="preserve"> gồm thu nhập bình quân đầu người và chỉ số quản trị nhà nước (Kaufmann và cộng sự, 2011); </w:t>
      </w:r>
      <w:r>
        <w:rPr>
          <w:i/>
          <w:iCs/>
        </w:rPr>
        <w:t xml:space="preserve">α</w:t>
      </w:r>
      <w:r>
        <w:rPr>
          <w:vertAlign w:val="subscript"/>
        </w:rPr>
        <w:t xml:space="preserve">i</w:t>
      </w:r>
      <w:r>
        <w:t xml:space="preserve"> và </w:t>
      </w:r>
      <w:r>
        <w:rPr>
          <w:i/>
          <w:iCs/>
        </w:rPr>
        <w:t xml:space="preserve">τ</w:t>
      </w:r>
      <w:r>
        <w:rPr>
          <w:vertAlign w:val="subscript"/>
        </w:rPr>
        <w:t xml:space="preserve">t</w:t>
      </w:r>
      <w:r>
        <w:t xml:space="preserve"> là hiệu ứng cố định theo trung tâm và theo kỳ. Các biến giải thích lấy độ trễ một kỳ để giảm quan hệ nhân quả ngược, và sai số chuẩn được phân cụm theo quốc gia. H</w:t>
      </w:r>
      <w:r>
        <w:rPr>
          <w:vertAlign w:val="subscript"/>
        </w:rPr>
        <w:t xml:space="preserve">1</w:t>
      </w:r>
      <w:r>
        <w:t xml:space="preserve"> được ủng hộ khi </w:t>
      </w:r>
      <w:r>
        <w:rPr>
          <w:i/>
          <w:iCs/>
        </w:rPr>
        <w:t xml:space="preserve">β</w:t>
      </w:r>
      <w:r>
        <w:t xml:space="preserve"> dương với khoảng tin cậy loại trừ 0. Vì điểm GFCI gộp cả kết quả khảo sát người làm nghề, và vì chất lượng thị trường có thể vừa là nguyên nhân vừa là kết quả của vị thế trung tâm, đề tài gọi </w:t>
      </w:r>
      <w:r>
        <w:rPr>
          <w:i/>
          <w:iCs/>
        </w:rPr>
        <w:t xml:space="preserve">β</w:t>
      </w:r>
      <w:r>
        <w:t xml:space="preserve"> là liên hệ có điều kiện, không gọi là tác động nhân quả.</w:t>
      </w:r>
    </w:p>
    <w:p>
      <w:pPr>
        <w:pStyle w:val="FirstParagraph"/>
      </w:pPr>
      <w:r>
        <w:t xml:space="preserve">Với H</w:t>
      </w:r>
      <w:r>
        <w:rPr>
          <w:vertAlign w:val="subscript"/>
        </w:rPr>
        <w:t xml:space="preserve">2</w:t>
      </w:r>
      <w:r>
        <w:t xml:space="preserve"> và H</w:t>
      </w:r>
      <w:r>
        <w:rPr>
          <w:vertAlign w:val="subscript"/>
        </w:rPr>
        <w:t xml:space="preserve">3</w:t>
      </w:r>
      <w:r>
        <w:t xml:space="preserve">, đề tài dùng khoảng tin cậy bootstrap khối dừng (Politis và Romano, 1994) cho chênh lệch bình quân, và khoảng tin cậy bootstrap chuỗi thời gian cho chênh lệch tỷ số Sharpe (Ledoit và Wolf, 2008). H</w:t>
      </w:r>
      <w:r>
        <w:rPr>
          <w:vertAlign w:val="subscript"/>
        </w:rPr>
        <w:t xml:space="preserve">3</w:t>
      </w:r>
      <w:r>
        <w:t xml:space="preserve"> được ủng hộ khi thỏa đồng thời hai điều kiện: chỉ số khả năng đầu tư bình quân dương với khoảng tin cậy loại trừ 0, và khoảng cách dương ở ít nhất năm trong bảy mô hình. Để biết một khoảng cách dương có thể xuất hiện do ngẫu nhiên hay không, đề tài so với một phân phối dưới giả thuyết không gồm 1.000 lần tái lấy mẫu bootstrap khối, trong đó chênh lệch trung bình giữa hai rổ được loại bỏ nhưng tương quan chéo và biến động được giữ nguyên. Đề tài hiệu chỉnh thiên lệch chọn lọc của bảy mô hình bằng tỷ số Sharpe giảm phát (Bailey và López de Prado, 2014).</w:t>
      </w:r>
    </w:p>
    <w:p w14:paraId="082A0713" w14:textId="77777777" w:rsidR="005D3DB2" w:rsidRDefault="00000000">
      <w:pPr>
        <w:pStyle w:val="Heading3"/>
      </w:pPr>
      <w:bookmarkStart w:id="27" w:name="_Toc242353138"/>
      <w:bookmarkStart w:id="28" w:name="cơ-chế-giảm-thiểu"/>
      <w:bookmarkEnd w:id="26"/>
      <w:r>
        <w:t xml:space="preserve">4.3.8. </w:t>
      </w:r>
      <w:r>
        <w:t xml:space="preserve">Phân rã khoảng cách theo kênh</w:t>
      </w:r>
      <w:bookmarkEnd w:id="27"/>
    </w:p>
    <w:p w14:paraId="4F5E2790" w14:textId="77777777" w:rsidR="005D3DB2" w:rsidRDefault="00000000">
      <w:pPr>
        <w:pStyle w:val="FirstParagraph"/>
      </w:pPr>
      <w:r>
        <w:t xml:space="preserve">Đề tài phân rã khoảng cách khả năng đầu tư bằng đối sánh tuần tự, một cách làm minh bạch hơn hồi quy vì mỗi bước chỉ thay đổi một kênh. Ở bước 0, rổ HOSE và rổ HNX được lập như ở mục 4.3.6. Ở bước 1, mỗi cổ phiếu HNX được ghép với cổ phiếu HOSE gần nhất về quy mô và ngành. Ở bước 2, phép ghép thêm điều kiện về độ phi thanh khoản Amihud. Ở bước 3, phép ghép thêm điều kiện về số ngày trễ hạn công bố. Phần khoảng cách biến mất giữa hai bước liên tiếp là phần gắn với kênh được thêm vào ở bước đó. Thứ tự các bước ảnh hưởng tới kết quả phân rã, nên đề tài báo cáo thêm thứ tự đảo (minh bạch trước thanh khoản) và ghi thứ tự cơ sở vào tệp đăng ký.</w:t>
      </w:r>
    </w:p>
    <w:p w14:paraId="6A2099F9" w14:textId="77777777" w:rsidR="005D3DB2" w:rsidRDefault="00000000">
      <w:pPr>
        <w:pStyle w:val="BodyText"/>
      </w:pPr>
      <w:r>
        <w:t xml:space="preserve">H</w:t>
      </w:r>
      <w:r>
        <w:rPr>
          <w:vertAlign w:val="subscript"/>
        </w:rPr>
        <w:t xml:space="preserve">4</w:t>
      </w:r>
      <w:r>
        <w:t xml:space="preserve"> được ủng hộ khi, sau bước 3, chỉ số khả năng đầu tư giảm hơn một nửa so với bước 0, với khoảng tin cậy bootstrap của mức giảm loại trừ 0. Phần còn lại sau bước 3 được quy cho độ sâu thị trường và các yếu tố chưa quan sát. Đề tài báo cáo kèm độ sụt giảm tối đa, giá trị thiệt hại kỳ vọng mức 95% và vòng quay của danh mục ở mỗi bước, và kiểm tra độ nhạy theo chi phí giao dịch. Đối sánh chỉ cân bằng các đặc điểm quan sát được, nên kết quả phân rã là liên hệ có điều kiện.</w:t>
      </w:r>
    </w:p>
    <w:p>
      <w:pPr>
        <w:pStyle w:val="BodyText"/>
      </w:pPr>
      <w:r>
        <w:t xml:space="preserve">Từ bằng chứng đến thứ tự ưu tiên. Đề tài kết hợp hai nhánh kết quả. Phân rã ở H</w:t>
      </w:r>
      <w:r>
        <w:rPr>
          <w:vertAlign w:val="subscript"/>
        </w:rPr>
        <w:t xml:space="preserve">4</w:t>
      </w:r>
      <w:r>
        <w:t xml:space="preserve"> cho biết mỗi kênh giải thích bao nhiêu điểm phần trăm khoảng cách khả năng đầu tư; hệ số của H</w:t>
      </w:r>
      <w:r>
        <w:rPr>
          <w:vertAlign w:val="subscript"/>
        </w:rPr>
        <w:t xml:space="preserve">1</w:t>
      </w:r>
      <w:r>
        <w:t xml:space="preserve"> cho biết chất lượng thị trường vốn liên hệ với bao nhiêu điểm GFCI. Kênh được ưu tiên là kênh có phần giải thích lớn nhất và khoảng cách giữa HNX và HOSE lớn nhất. Đề tài so sánh thêm Hà Nội với Thành phố Hồ Chí Minh và hai đến ba trung tâm trong khu vực bằng dữ liệu công khai và văn bản chính sách. Nếu được các tổ chức đồng ý, thí sinh lấy ý kiến chuyên gia không chính thức về thứ tự ưu tiên; bước này không phải khảo sát và không dùng để kiểm định giả thuyết [CẦN XÁC NHẬN với người hướng dẫn].</w:t>
      </w:r>
    </w:p>
    <w:p>
      <w:pPr>
        <w:pStyle w:val="BodyText"/>
      </w:pPr>
      <w:r>
        <w:t xml:space="preserve">Hai chỉ số được đóng gói thành mã nguồn mở, có tài liệu hướng dẫn và cập nhật được theo tháng khi có dữ liệu mới. Phần công khai gồm mã nguồn, chỉ số đã tính và tệp đăng ký trước; dữ liệu gốc từ nhà cung cấp thương mại được chia sẻ tùy điều khoản giấy phép.</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 xml:space="preserve">Hình 3 tóm tắt năm bước của quy trình: thu thập dữ liệu quốc tế và dữ liệu thị trường Việt Nam; kiểm định H</w:t>
      </w:r>
      <w:r>
        <w:rPr>
          <w:vertAlign w:val="subscript"/>
        </w:rPr>
        <w:t xml:space="preserve">1</w:t>
      </w:r>
      <w:r>
        <w:t xml:space="preserve"> trên dữ liệu bảng quốc tế; xây dựng Chỉ số chất lượng thị trường vốn và kiểm định H</w:t>
      </w:r>
      <w:r>
        <w:rPr>
          <w:vertAlign w:val="subscript"/>
        </w:rPr>
        <w:t xml:space="preserve">2</w:t>
      </w:r>
      <w:r>
        <w:t xml:space="preserve">; xây dựng Chỉ số khả năng đầu tư, kiểm định H</w:t>
      </w:r>
      <w:r>
        <w:rPr>
          <w:vertAlign w:val="subscript"/>
        </w:rPr>
        <w:t xml:space="preserve">3</w:t>
      </w:r>
      <w:r>
        <w:t xml:space="preserve"> và phân rã theo kênh để kiểm định H</w:t>
      </w:r>
      <w:r>
        <w:rPr>
          <w:vertAlign w:val="subscript"/>
        </w:rPr>
        <w:t xml:space="preserve">4</w:t>
      </w:r>
      <w:r>
        <w:t xml:space="preserve">; xếp thứ tự ưu tiên cải thiện và đề xuất chính sách cho Hà Nội. Thí sinh đăng ký trước kế hoạch phân tích trước khi ước lượng chính thức ở bước 2.</w:t>
      </w:r>
    </w:p>
    <w:p w14:paraId="13E32398" w14:textId="77777777" w:rsidR="005D3DB2" w:rsidRDefault="00000000">
      <w:pPr>
        <w:pStyle w:val="FigureBox"/>
      </w:pPr>
      <w:r>
        <w:rPr>
          <w:noProof/>
        </w:rPr>
        <w:drawing>
          <wp:inline distT="0" distB="0" distL="0" distR="0" wp14:anchorId="0A2AD25B" wp14:editId="27D496CC">
            <wp:extent cx="5544000" cy="360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Pr>
            <w:noProof/>
          </w:rPr>
          <w:t>3</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t>4.3.10. Độ tin cậy, giới hạn và khả năng thực hiện</w:t>
      </w:r>
      <w:bookmarkEnd w:id="32"/>
    </w:p>
    <w:p w14:paraId="2D5884F7" w14:textId="77777777" w:rsidR="005D3DB2" w:rsidRDefault="00000000">
      <w:pPr>
        <w:pStyle w:val="FirstParagraph"/>
      </w:pPr>
      <w:r>
        <w:t xml:space="preserve">Mẫu có ba giai đoạn căng thẳng, nên so sánh giữa giai đoạn căng thẳng và giai đoạn bình thường có công suất thấp. Kèm mỗi kết quả, đề tài báo cáo số cửa sổ, số cửa sổ căng thẳng và số giai đoạn căng thẳng. Khi số cửa sổ căng thẳng dưới 10, đề tài gọi phần so sánh theo giai đoạn là chưa đủ cơ sở kết luận, không gọi là ủng hộ hay bác bỏ, và báo cáo kích thước hiệu ứng cùng khoảng tin cậy theo từng giai đoạn. Đề tài hiệu chỉnh so sánh bội theo Holm (1979) ở mức 10% cho bốn giả thuyết H</w:t>
      </w:r>
      <w:r>
        <w:rPr>
          <w:vertAlign w:val="subscript"/>
        </w:rPr>
        <w:t xml:space="preserve">1</w:t>
      </w:r>
      <w:r>
        <w:t xml:space="preserve">–H</w:t>
      </w:r>
      <w:r>
        <w:rPr>
          <w:vertAlign w:val="subscript"/>
        </w:rPr>
        <w:t xml:space="preserve">4</w:t>
      </w:r>
      <w:r>
        <w:t xml:space="preserve">. Ở H</w:t>
      </w:r>
      <w:r>
        <w:rPr>
          <w:vertAlign w:val="subscript"/>
        </w:rPr>
        <w:t xml:space="preserve">1</w:t>
      </w:r>
      <w:r>
        <w:t xml:space="preserve">, điểm GFCI có thành phần khảo sát và một số trung tâm có ít kỳ quan sát, nên đề tài kiểm tra độ bền trên mẫu chỉ gồm các trung tâm có ít nhất năm kỳ. Ở H</w:t>
      </w:r>
      <w:r>
        <w:rPr>
          <w:vertAlign w:val="subscript"/>
        </w:rPr>
        <w:t xml:space="preserve">3</w:t>
      </w:r>
      <w:r>
        <w:t xml:space="preserve">, rổ HNX có thể ít cổ phiếu thanh khoản, nên đề tài kiểm tra độ nhạy với rổ 20 cổ phiếu. Nếu dữ liệu không ủng hộ giả thuyết, đề tài vẫn trả lời được câu hỏi nghiên cứu bằng kích thước hiệu ứng và khoảng tin cậy.</w:t>
      </w:r>
    </w:p>
    <w:p w14:paraId="37F1B519" w14:textId="77777777" w:rsidR="005D3DB2" w:rsidRDefault="00000000">
      <w:pPr>
        <w:pStyle w:val="BodyText"/>
      </w:pPr>
      <w:r>
        <w:t xml:space="preserve">Về khả năng thực hiện, thí sinh xác nhận nguồn, độ dài và điều kiện truy cập dữ liệu, kể cả dữ liệu GFCI, trong quý 1 năm thứ nhất. Nếu không lấy được điểm GFCI theo kỳ, câu hỏi 1 thu hẹp thành so sánh Hà Nội với các trung tâm trong khu vực theo các chỉ báo công khai, và H</w:t>
      </w:r>
      <w:r>
        <w:rPr>
          <w:vertAlign w:val="subscript"/>
        </w:rPr>
        <w:t xml:space="preserve">1</w:t>
      </w:r>
      <w:r>
        <w:t xml:space="preserve"> được ghi là không kiểm định. Sáu mô hình ở Bảng 3 ước lượng được bằng phần mềm thống kê thông dụng; M5 cần phương pháp Bayes xấp xỉ mà thí sinh đã dùng trong Nguyen và Nguyen (2026a). Thí sinh đã tính độ phi thanh khoản Amihud và dùng phương pháp Bai–Perron trong một bản thảo đã gửi tạp chí. Thí sinh công khai mã nguồn và tệp đăng ký trước trên một kho lưu trữ mở, chậm nhất khi nộp luận án.</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t xml:space="preserve">Đối tượng nghiên cứu là chất lượng thị trường vốn với vai trò một yếu tố của năng lực cạnh tranh của trung tâm tài chính, cụ thể là thanh khoản, hiệu quả thông tin, minh bạch công bố, độ sâu và khả năng đầu tư của thị trường do HNX vận hành so với HOSE.</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xml:space="preserve">+ Phạm vi không gian: các trung tâm tài chính có điểm GFCI là mẫu của câu hỏi 1; thị trường cổ phiếu do HNX vận hành (cổ phiếu niêm yết và UPCoM) là đối tượng chính của câu hỏi 2 và câu hỏi 3, so sánh với HOSE.</w:t>
      </w:r>
    </w:p>
    <w:p w14:paraId="4992E0B9" w14:textId="77777777" w:rsidR="005D3DB2" w:rsidRDefault="00000000">
      <w:pPr>
        <w:pStyle w:val="BodyText"/>
      </w:pPr>
      <w:r>
        <w:t xml:space="preserve">+ Phạm vi thời gian: dữ liệu từ 2007 đến 2026, tùy dữ liệu sẵn có; </w:t>
      </w:r>
      <w:r>
        <w:t xml:space="preserve">dữ liệu phát sinh sau ngày đăng ký trước được báo cáo riêng như phần cập nhật sau đăng ký.</w:t>
      </w:r>
    </w:p>
    <w:p w14:paraId="22C3E4D0" w14:textId="77777777" w:rsidR="005D3DB2" w:rsidRDefault="00000000">
      <w:pPr>
        <w:pStyle w:val="BodyText"/>
      </w:pPr>
      <w:r>
        <w:t xml:space="preserve">+ Phạm vi nội dung: danh mục chỉ mua (không bán khống) là cấu hình cơ sở của bảy mô hình phân bổ. Phân tích định lượng không xét thị trường trái phiếu và phái sinh. Đề tài không đánh giá chính sách đã thực hiện, không khảo sát nhà đầu tư và không vận hành dịch vụ thương mại. Đề tài giao thoa với khoa học quản lý ở phần xếp thứ tự ưu tiên chính sách.</w:t>
      </w:r>
    </w:p>
    <w:p w14:paraId="502DBD9A" w14:textId="77777777" w:rsidR="005D3DB2" w:rsidRDefault="00000000">
      <w:pPr>
        <w:pStyle w:val="BodyText"/>
      </w:pPr>
      <w:r>
        <w:t xml:space="preserve">+ Giới hạn khác: kết luận về H</w:t>
      </w:r>
      <w:r>
        <w:rPr>
          <w:vertAlign w:val="subscript"/>
        </w:rPr>
        <w:t xml:space="preserve">1</w:t>
      </w:r>
      <w:r>
        <w:t xml:space="preserve"> là liên hệ có điều kiện trên mẫu các trung tâm có điểm GFCI; kết luận về H</w:t>
      </w:r>
      <w:r>
        <w:rPr>
          <w:vertAlign w:val="subscript"/>
        </w:rPr>
        <w:t xml:space="preserve">2</w:t>
      </w:r>
      <w:r>
        <w:t xml:space="preserve">–H</w:t>
      </w:r>
      <w:r>
        <w:rPr>
          <w:vertAlign w:val="subscript"/>
        </w:rPr>
        <w:t xml:space="preserve">4</w:t>
      </w:r>
      <w:r>
        <w:t xml:space="preserve"> chỉ áp dụng cho cổ phiếu trên HNX, UPCoM và HOSE trong giai đoạn mẫu, với tập bảy mô hình và quy tắc lập rổ đã đăng ký trước; thứ tự ưu tiên là đề xuất có căn cứ.</w:t>
      </w:r>
    </w:p>
    <w:p w14:paraId="05CFA613" w14:textId="77777777" w:rsidR="005D3DB2" w:rsidRDefault="00000000">
      <w:pPr>
        <w:pStyle w:val="BodyText"/>
      </w:pPr>
      <w:r>
        <w:rPr/>
        <w:t xml:space="preserve">Đóng góp dự kiến. Đề tài khác các công trình gần nhất ở ba điểm. So với Yao (2012) và Naeem (2023), đề tài tách riêng liên hệ giữa chất lượng thị trường vốn và năng lực cạnh tranh của trung tâm tài chính. So với Amihud (2002) và Lang và cộng sự (2012), đề tài quy đổi chất lượng thị trường thành khoảng cách lợi suất tương đương chắc chắn của nhà đầu tư đa dạng hóa, một đại lượng mà nhà hoạch định chính sách so sánh được giữa các kênh. So với các công trình về Việt Nam (Vo và Phan, 2017; Goutte và cộng sự, 2025; Nguyen và Nguyen, 2026a), đề tài xây dựng hai chỉ số đầu tiên, trong phạm vi tìm kiếm của thí sinh, so sánh thị trường do HNX vận hành với HOSE.</w:t>
      </w:r>
    </w:p>
    <w:p w14:paraId="0A22D450" w14:textId="77777777" w:rsidR="005D3DB2" w:rsidRDefault="00000000">
      <w:pPr>
        <w:pStyle w:val="BodyText"/>
      </w:pPr>
      <w:r>
        <w:t xml:space="preserve">Về sản phẩm, đề tài dự kiến ba kết quả ứng với các sản phẩm mà bài toán số 19 nêu. Thứ nhất là Chỉ số chất lượng thị trường vốn Hà Nội, mã nguồn mở và cập nhật được, ứng với sản phẩm “Hệ thống dữ liệu tài chính đô thị”. Thứ hai là Chỉ số khả năng đầu tư, một thước đo chuẩn để đánh giá các dịch vụ đầu tư trên thị trường Hà Nội, phục vụ sản phẩm “Các dịch vụ tài chính thế hệ mới”. Thứ ba là báo cáo thứ tự ưu tiên cải thiện thị trường vốn, ứng với sản phẩm “Trung tâm tài chính quốc tế tại Hà Nội” ở mức đề xuất có căn cứ. Hai chỉ số và tệp đăng ký trước có được bất kể kết quả kiểm định.</w:t>
      </w:r>
    </w:p>
    <w:p>
      <w:pPr>
        <w:pStyle w:val="BodyText"/>
      </w:pPr>
      <w:r>
        <w:t xml:space="preserve">Đề tài không giải quyết trọn bài toán số 19; câu hỏi về công nghệ tài chính và nền tảng số nằm ngoài phạm vi. Người dùng dự kiến của kết quả gồm Ủy ban nhân dân thành phố Hà Nội, Ủy ban Chứng khoán Nhà nước, HNX, các công ty chứng khoán và công ty quản lý quỹ [CẦN XÁC MINH]. Dữ liệu gốc từ nhà cung cấp thương mại có thể không được chia sẻ, tùy điều khoản giấy phép.</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Ngoài phần mở đầu, kết luận, danh mục tài liệu tham khảo và phụ lục, luận án dự kiến gồm sáu chương (Bảng 4).</w:t>
      </w:r>
    </w:p>
    <w:p w14:paraId="4244E712" w14:textId="77777777" w:rsidR="005D3DB2" w:rsidRDefault="00000000">
      <w:pPr>
        <w:pStyle w:val="TableCaption"/>
      </w:pPr>
      <w:bookmarkStart w:id="38" w:name="_Toc242353159"/>
      <w:r>
        <w:t xml:space="preserve">Bảng </w:t>
      </w:r>
      <w:fldSimple w:instr=" SEQ Bảng \* ARABIC ">
        <w:r>
          <w:rPr>
            <w:noProof/>
          </w:rPr>
          <w:t>4</w:t>
        </w:r>
      </w:fldSimple>
      <w:r>
        <w:t>. Dự kiến bố cục các chương và tiểu mục của luận án</w:t>
      </w:r>
      <w:bookmarkEnd w:id="38"/>
    </w:p>
    <w:tbl>
      <w:tblPr>
        <w:tblStyle w:val="Table"/>
        <w:tblW w:w="5000" w:type="pct"/>
        <w:tblLook w:val="0020" w:firstRow="1" w:lastRow="0" w:firstColumn="0" w:lastColumn="0" w:noHBand="0" w:noVBand="0"/>
      </w:tblPr>
      <w:tblGrid>
        <w:gridCol w:w="993"/>
        <w:gridCol w:w="1530"/>
        <w:gridCol w:w="6255"/>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8617A13" w14:textId="77777777" w:rsidR="005D3DB2" w:rsidRDefault="00000000">
            <w:pPr>
              <w:pStyle w:val="Compact"/>
            </w:pPr>
            <w:r>
              <w:t>Chương</w:t>
            </w:r>
          </w:p>
        </w:tc>
        <w:tc>
          <w:tcPr>
            <w:tcW w:w="0" w:type="auto"/>
          </w:tcPr>
          <w:p w14:paraId="7E951140" w14:textId="77777777" w:rsidR="005D3DB2" w:rsidRDefault="00000000">
            <w:pPr>
              <w:pStyle w:val="Compact"/>
            </w:pPr>
            <w:r>
              <w:t>Tên chương</w:t>
            </w:r>
          </w:p>
        </w:tc>
        <w:tc>
          <w:tcPr>
            <w:tcW w:w="0" w:type="auto"/>
          </w:tcPr>
          <w:p w14:paraId="37C3C919" w14:textId="77777777" w:rsidR="005D3DB2" w:rsidRDefault="00000000">
            <w:pPr>
              <w:pStyle w:val="Compact"/>
            </w:pPr>
            <w:r>
              <w:t>Các tiểu mục chính (đến ba chữ số)</w:t>
            </w:r>
          </w:p>
        </w:tc>
      </w:tr>
      <w:tr w:rsidR="005D3DB2" w14:paraId="4C1B0FF7" w14:textId="77777777">
        <w:trPr>
          <w:cantSplit/>
        </w:trPr>
        <w:tc>
          <w:tcPr>
            <w:tcW w:w="0" w:type="auto"/>
          </w:tcPr>
          <w:p w14:paraId="322FF50B" w14:textId="77777777" w:rsidR="005D3DB2" w:rsidRDefault="00000000">
            <w:pPr>
              <w:pStyle w:val="Compact"/>
            </w:pPr>
            <w:r>
              <w:t>Chương 1</w:t>
            </w:r>
          </w:p>
        </w:tc>
        <w:tc>
          <w:tcPr>
            <w:tcW w:w="0" w:type="auto"/>
          </w:tcPr>
          <w:p w14:paraId="74D88853" w14:textId="77777777" w:rsidR="005D3DB2" w:rsidRDefault="00000000">
            <w:pPr>
              <w:pStyle w:val="Compact"/>
            </w:pPr>
            <w:r>
              <w:t>Giới thiệu nghiên cứu</w:t>
            </w:r>
          </w:p>
        </w:tc>
        <w:tc>
          <w:tcPr>
            <w:tcW w:w="0" w:type="auto"/>
          </w:tcPr>
          <w:p w14:paraId="31F2D67C" w14:textId="77777777" w:rsidR="005D3DB2" w:rsidRDefault="00000000">
            <w:pPr>
              <w:pStyle w:val="Compact"/>
            </w:pPr>
            <w:r>
              <w:t xml:space="preserve">1.1 Bối cảnh: Hà Nội và bài toán số 19; 1.1.1 Trung tâm tài chính quốc tế của Việt Nam và vị trí của Hà Nội; 1.1.2 Thị trường vốn do HNX vận hành; 1.2 Vấn đề nghiên cứu; 1.3 Mục tiêu và câu hỏi nghiên cứu; 1.4 Đối tượng và phạm vi; 1.5 Đóng góp dự kiến; 1.6 Kết cấu luận án</w:t>
            </w:r>
          </w:p>
        </w:tc>
      </w:tr>
      <w:tr w:rsidR="005D3DB2" w14:paraId="08EE8C98" w14:textId="77777777">
        <w:trPr>
          <w:cantSplit/>
        </w:trPr>
        <w:tc>
          <w:tcPr>
            <w:tcW w:w="0" w:type="auto"/>
          </w:tcPr>
          <w:p w14:paraId="4540440E" w14:textId="77777777" w:rsidR="005D3DB2" w:rsidRDefault="00000000">
            <w:pPr>
              <w:pStyle w:val="Compact"/>
            </w:pPr>
            <w:r>
              <w:t>Chương 2</w:t>
            </w:r>
          </w:p>
        </w:tc>
        <w:tc>
          <w:tcPr>
            <w:tcW w:w="0" w:type="auto"/>
          </w:tcPr>
          <w:p w14:paraId="4D7FB84F" w14:textId="77777777" w:rsidR="005D3DB2" w:rsidRDefault="00000000">
            <w:pPr>
              <w:pStyle w:val="Compact"/>
            </w:pPr>
            <w:r>
              <w:t xml:space="preserve">Tổng quan tài liệu và khung phân tích</w:t>
            </w:r>
          </w:p>
        </w:tc>
        <w:tc>
          <w:tcPr>
            <w:tcW w:w="0" w:type="auto"/>
          </w:tcPr>
          <w:p w14:paraId="37CE85C4" w14:textId="77777777" w:rsidR="005D3DB2" w:rsidRDefault="00000000">
            <w:pPr>
              <w:pStyle w:val="Compact"/>
            </w:pPr>
            <w:r>
              <w:t xml:space="preserve">2.1 Năng lực cạnh tranh của trung tâm tài chính; 2.2 Chất lượng thị trường vốn: thanh khoản, hiệu quả thông tin, minh bạch, độ sâu; 2.3 Đa dạng hóa danh mục khi tham số được ước lượng; 2.4 Nghiên cứu về Việt Nam; 2.5 Khoảng trống, khung phân tích và giả thuyết</w:t>
            </w:r>
          </w:p>
        </w:tc>
      </w:tr>
      <w:tr w:rsidR="005D3DB2" w14:paraId="14DA093A" w14:textId="77777777">
        <w:trPr>
          <w:cantSplit/>
        </w:trPr>
        <w:tc>
          <w:tcPr>
            <w:tcW w:w="0" w:type="auto"/>
          </w:tcPr>
          <w:p w14:paraId="42945545" w14:textId="77777777" w:rsidR="005D3DB2" w:rsidRDefault="00000000">
            <w:pPr>
              <w:pStyle w:val="Compact"/>
            </w:pPr>
            <w:r>
              <w:t>Chương 3</w:t>
            </w:r>
          </w:p>
        </w:tc>
        <w:tc>
          <w:tcPr>
            <w:tcW w:w="0" w:type="auto"/>
          </w:tcPr>
          <w:p w14:paraId="4F981ECB" w14:textId="77777777" w:rsidR="005D3DB2" w:rsidRDefault="00000000">
            <w:pPr>
              <w:pStyle w:val="Compact"/>
            </w:pPr>
            <w:r>
              <w:t xml:space="preserve">Dữ liệu và phương pháp</w:t>
            </w:r>
          </w:p>
        </w:tc>
        <w:tc>
          <w:tcPr>
            <w:tcW w:w="0" w:type="auto"/>
          </w:tcPr>
          <w:p w14:paraId="19E22CB6" w14:textId="77777777" w:rsidR="005D3DB2" w:rsidRDefault="00000000">
            <w:pPr>
              <w:pStyle w:val="Compact"/>
            </w:pPr>
            <w:r>
              <w:t xml:space="preserve">3.1 Dữ liệu quốc tế; 3.2 Dữ liệu HNX, UPCoM và HOSE; 3.2.1 Thiên lệch sống sót; 3.2.2 Giai đoạn căng thẳng; 3.3 Chỉ số chất lượng thị trường vốn; 3.4 Chỉ số khả năng đầu tư; 3.5 Phân rã theo kênh bằng đối sánh; 3.6 Đăng ký trước và các lệch khỏi kế hoạch</w:t>
            </w:r>
          </w:p>
        </w:tc>
      </w:tr>
      <w:tr w:rsidR="005D3DB2" w14:paraId="5FB26278" w14:textId="77777777">
        <w:trPr>
          <w:cantSplit/>
        </w:trPr>
        <w:tc>
          <w:tcPr>
            <w:tcW w:w="0" w:type="auto"/>
          </w:tcPr>
          <w:p w14:paraId="0BA0B803" w14:textId="77777777" w:rsidR="005D3DB2" w:rsidRDefault="00000000">
            <w:pPr>
              <w:pStyle w:val="Compact"/>
            </w:pPr>
            <w:r>
              <w:t>Chương 4</w:t>
            </w:r>
          </w:p>
        </w:tc>
        <w:tc>
          <w:tcPr>
            <w:tcW w:w="0" w:type="auto"/>
          </w:tcPr>
          <w:p w14:paraId="2FBFF893" w14:textId="77777777" w:rsidR="005D3DB2" w:rsidRDefault="00000000">
            <w:pPr>
              <w:pStyle w:val="Compact"/>
            </w:pPr>
            <w:r>
              <w:t xml:space="preserve">Chất lượng thị trường vốn và năng lực cạnh tranh của trung tâm tài chính: bằng chứng quốc tế</w:t>
            </w:r>
          </w:p>
        </w:tc>
        <w:tc>
          <w:tcPr>
            <w:tcW w:w="0" w:type="auto"/>
          </w:tcPr>
          <w:p w14:paraId="72AFDCB1" w14:textId="77777777" w:rsidR="005D3DB2" w:rsidRDefault="00000000">
            <w:pPr>
              <w:pStyle w:val="Compact"/>
            </w:pPr>
            <w:r>
              <w:t xml:space="preserve">4.1 Dữ liệu bảng các trung tâm tài chính; 4.2 Kiểm định H</w:t>
            </w:r>
            <w:r>
              <w:rPr>
                <w:vertAlign w:val="subscript"/>
              </w:rPr>
              <w:t xml:space="preserve">1</w:t>
            </w:r>
            <w:r>
              <w:t xml:space="preserve">; 4.3 Kiểm tra độ bền; 4.4 Thảo luận: vị trí của Hà Nội</w:t>
            </w:r>
          </w:p>
        </w:tc>
      </w:tr>
      <w:tr w:rsidR="005D3DB2" w14:paraId="2E8DF854" w14:textId="77777777">
        <w:trPr>
          <w:cantSplit/>
        </w:trPr>
        <w:tc>
          <w:tcPr>
            <w:tcW w:w="0" w:type="auto"/>
          </w:tcPr>
          <w:p w14:paraId="59786C49" w14:textId="77777777" w:rsidR="005D3DB2" w:rsidRDefault="00000000">
            <w:pPr>
              <w:pStyle w:val="Compact"/>
            </w:pPr>
            <w:r>
              <w:t>Chương 5</w:t>
            </w:r>
          </w:p>
        </w:tc>
        <w:tc>
          <w:tcPr>
            <w:tcW w:w="0" w:type="auto"/>
          </w:tcPr>
          <w:p w14:paraId="7BDF0C6D" w14:textId="77777777" w:rsidR="005D3DB2" w:rsidRDefault="00000000">
            <w:pPr>
              <w:pStyle w:val="Compact"/>
            </w:pPr>
            <w:r>
              <w:t xml:space="preserve">Chỉ số chất lượng thị trường vốn Hà Nội</w:t>
            </w:r>
          </w:p>
        </w:tc>
        <w:tc>
          <w:tcPr>
            <w:tcW w:w="0" w:type="auto"/>
          </w:tcPr>
          <w:p w14:paraId="36EC9E9F" w14:textId="77777777" w:rsidR="005D3DB2" w:rsidRDefault="00000000">
            <w:pPr>
              <w:pStyle w:val="Compact"/>
            </w:pPr>
            <w:r>
              <w:t xml:space="preserve">5.1 Các chỉ báo thành phần; 5.2 Chỉ số của HNX so với HOSE và kiểm định H</w:t>
            </w:r>
            <w:r>
              <w:rPr>
                <w:vertAlign w:val="subscript"/>
              </w:rPr>
              <w:t xml:space="preserve">2</w:t>
            </w:r>
            <w:r>
              <w:t xml:space="preserve">; 5.3 Giai đoạn căng thẳng; 5.4 Thảo luận</w:t>
            </w:r>
          </w:p>
        </w:tc>
      </w:tr>
      <w:tr w:rsidR="005D3DB2" w14:paraId="0FC30B1D" w14:textId="77777777">
        <w:trPr>
          <w:cantSplit/>
        </w:trPr>
        <w:tc>
          <w:tcPr>
            <w:tcW w:w="0" w:type="auto"/>
          </w:tcPr>
          <w:p w14:paraId="177C7BB2" w14:textId="77777777" w:rsidR="005D3DB2" w:rsidRDefault="00000000">
            <w:pPr>
              <w:pStyle w:val="Compact"/>
            </w:pPr>
            <w:r>
              <w:t>Chương 6</w:t>
            </w:r>
          </w:p>
        </w:tc>
        <w:tc>
          <w:tcPr>
            <w:tcW w:w="0" w:type="auto"/>
          </w:tcPr>
          <w:p w14:paraId="1DA21297" w14:textId="77777777" w:rsidR="005D3DB2" w:rsidRDefault="00000000">
            <w:pPr>
              <w:pStyle w:val="Compact"/>
            </w:pPr>
            <w:r>
              <w:t xml:space="preserve">Khoảng cách khả năng đầu tư và hàm ý cho Hà Nội</w:t>
            </w:r>
          </w:p>
        </w:tc>
        <w:tc>
          <w:tcPr>
            <w:tcW w:w="0" w:type="auto"/>
          </w:tcPr>
          <w:p w14:paraId="6DAFE3CC" w14:textId="77777777" w:rsidR="005D3DB2" w:rsidRDefault="00000000">
            <w:pPr>
              <w:pStyle w:val="Compact"/>
            </w:pPr>
            <w:r>
              <w:t xml:space="preserve">6.1 Chỉ số khả năng đầu tư và kiểm định H</w:t>
            </w:r>
            <w:r>
              <w:rPr>
                <w:vertAlign w:val="subscript"/>
              </w:rPr>
              <w:t xml:space="preserve">3</w:t>
            </w:r>
            <w:r>
              <w:t xml:space="preserve">; 6.2 Phân rã theo kênh và kiểm định H</w:t>
            </w:r>
            <w:r>
              <w:rPr>
                <w:vertAlign w:val="subscript"/>
              </w:rPr>
              <w:t xml:space="preserve">4</w:t>
            </w:r>
            <w:r>
              <w:t xml:space="preserve">; 6.3 Thứ tự ưu tiên cải thiện; 6.4 Đề xuất chính sách và hạ tầng dữ liệu</w:t>
            </w:r>
          </w:p>
        </w:tc>
      </w:tr>
      <w:tr w:rsidR="005D3DB2" w14:paraId="6BAE9A11" w14:textId="77777777">
        <w:trPr>
          <w:cantSplit/>
        </w:trPr>
        <w:tc>
          <w:tcPr>
            <w:tcW w:w="0" w:type="auto"/>
          </w:tcPr>
          <w:p w14:paraId="488E10B5" w14:textId="77777777" w:rsidR="005D3DB2" w:rsidRDefault="00000000">
            <w:pPr>
              <w:pStyle w:val="Compact"/>
            </w:pPr>
            <w:r>
              <w:t>Kết luận</w:t>
            </w:r>
          </w:p>
        </w:tc>
        <w:tc>
          <w:tcPr>
            <w:tcW w:w="0" w:type="auto"/>
          </w:tcPr>
          <w:p w14:paraId="0D23B9F0" w14:textId="77777777" w:rsidR="005D3DB2" w:rsidRDefault="005D3DB2">
            <w:pPr>
              <w:pStyle w:val="Compact"/>
            </w:pPr>
          </w:p>
        </w:tc>
        <w:tc>
          <w:tcPr>
            <w:tcW w:w="0" w:type="auto"/>
          </w:tcPr>
          <w:p w14:paraId="2EA0D8EC" w14:textId="77777777" w:rsidR="005D3DB2" w:rsidRDefault="00000000">
            <w:pPr>
              <w:pStyle w:val="Compact"/>
            </w:pPr>
            <w:r>
              <w:t xml:space="preserve">Trả lời ba câu hỏi nghiên cứu; hạn chế (số giai đoạn căng thẳng, điều kiện truy cập dữ liệu GFCI và dữ liệu thương mại, kết quả là liên hệ có điều kiện);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Lý do đầu tiên là sự phù hợp về chuyên môn: theo Thông báo tuyển sinh năm 2026, chương trình Tiến sĩ Kinh tế và Quản lý có tính liên ngành và tập trung vào kinh tế hành vi và quản lý trong lĩnh vực kinh tế, </w:t>
      </w:r>
      <w:r>
        <w:t xml:space="preserve">còn đề tài thuộc tài chính định lượng và quản lý, </w:t>
      </w:r>
      <w:r>
        <w:t xml:space="preserve">và giao thoa với quản lý ở phần </w:t>
      </w:r>
      <w:r>
        <w:t xml:space="preserve">xếp thứ tự ưu tiên chính sách cho Hà Nội</w:t>
      </w:r>
      <w:r>
        <w:t xml:space="preserve">.</w:t>
      </w:r>
      <w:r>
        <w:t xml:space="preserve"> Lý do thứ hai là ngôn ngữ đào tạo: </w:t>
      </w:r>
      <w:r>
        <w:t xml:space="preserve">chương trình giảng dạy bằng tiếng Anh hoặc tiếng Việt; </w:t>
      </w:r>
      <w:r>
        <w:t xml:space="preserve">học bằng tiếng Anh thuận lợi</w:t>
      </w:r>
      <w:r>
        <w:t xml:space="preserve"> cho công bố quốc tế, và thí sinh có</w:t>
      </w:r>
      <w:r>
        <w:t xml:space="preserve"> chứng chỉ tiếng Anh Bậc 4 theo Khung năng lực ngoại ngữ 6 bậc dùng cho Việt Nam. Lý do thứ ba là điều kiện dự tuyển: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kiểm định giả thuyết trên chuỗi thời gian tài chính khi mẫu có ít giai đoạn căng thẳng, và báo cáo trung thực </w:t>
      </w:r>
      <w:r>
        <w:t xml:space="preserve">cả những kết quả chưa đủ cơ sở kết luận.</w:t>
      </w:r>
      <w:r>
        <w:t xml:space="preserve">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 xml:space="preserve">Mục tiêu thứ hai là tạo ra bằng chứng có ích cho hai nhóm người dùng: nhà nghiên cứu về trung tâm tài chính và chất lượng thị trường; và Ủy ban nhân dân thành phố Hà Nội, cơ quan quản lý và giám sát thị trường chứng khoán, HNX và các tổ chức đầu tư. Thí sinh mong kết quả của luận án là một đóng góp nhỏ, có kiểm chứng, cho câu hỏi số 1 và số 3 của bài toán số 19 mà Thành phố Hà Nội đặt ra (mục 4.1). Thí sinh mong muốn công bố kết quả trên các tạp chí quốc tế có phản biện, theo quy định công bố của chương trình đào tạo tiến sĩ.</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Trong hai quý đầu năm thứ nhất, thí sinh hoàn thành 9 tín chỉ học bổ sung (học phần Hành vi tổ chức và Lãnh đạo cùng hai học phần tự chọn) và các học phần theo chương trình. Thí sinh ưu tiên học phần tự chọn về kinh tế lượng chuỗi thời gian và phương pháp nghiên cứu định lượng, vì đây là công cụ trực tiếp của luận án.</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chất lượng thị trường vốn và năng lực cạnh tranh của trung tâm tài chính; (ii) phương pháp xây dựng chỉ số chất lượng thị trường vốn cho thị trường do HNX vận hành; (iii) khả năng đầu tư và phân rã khoảng cách theo kênh. Mỗi chuyên đề đứng độc lập được và đồng thời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 xml:space="preserve">Thí sinh dự kiến công bố ba bài báo trên tạp chí khoa học có phản biện và trình bày một đến hai báo cáo tại hội thảo khoa học. Bài báo 1 trình bày bằng chứng quốc tế về chất lượng thị trường vốn và điểm GFCI (H</w:t>
      </w:r>
      <w:r>
        <w:rPr>
          <w:vertAlign w:val="subscript"/>
        </w:rPr>
        <w:t xml:space="preserve">1</w:t>
      </w:r>
      <w:r>
        <w:t xml:space="preserve">); bài báo 2 trình bày Chỉ số chất lượng thị trường vốn Hà Nội (H</w:t>
      </w:r>
      <w:r>
        <w:rPr>
          <w:vertAlign w:val="subscript"/>
        </w:rPr>
        <w:t xml:space="preserve">2</w:t>
      </w:r>
      <w:r>
        <w:t xml:space="preserve">); bài báo 3 trình bày Chỉ số khả năng đầu tư và phân rã theo kênh (H</w:t>
      </w:r>
      <w:r>
        <w:rPr>
          <w:vertAlign w:val="subscript"/>
        </w:rPr>
        <w:t xml:space="preserve">3</w:t>
      </w:r>
      <w:r>
        <w:t xml:space="preserve">, H</w:t>
      </w:r>
      <w:r>
        <w:rPr>
          <w:vertAlign w:val="subscript"/>
        </w:rPr>
        <w:t xml:space="preserve">4</w:t>
      </w:r>
      <w:r>
        <w:t xml:space="preserve">). Cả ba bài phục vụ bài toán số 19. Số bài là mục tiêu; kết quả cụ thể phụ thuộc vào dữ liệu và quy trình phản biện của tạp chí.</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Thời gian đào tạo đối với người có bằng đại học là bốn năm. Bảng 5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Pr>
            <w:noProof/>
          </w:rPr>
          <w:t>5</w:t>
        </w:r>
      </w:fldSimple>
      <w:r>
        <w:t>. Kế hoạch thực hiện luận án theo bốn năm và sản phẩm dự kiến</w:t>
      </w:r>
      <w:bookmarkEnd w:id="53"/>
    </w:p>
    <w:tbl>
      <w:tblPr>
        <w:tblStyle w:val="Table"/>
        <w:tblW w:w="5000" w:type="pct"/>
        <w:tblLook w:val="0020" w:firstRow="1" w:lastRow="0" w:firstColumn="0" w:lastColumn="0" w:noHBand="0" w:noVBand="0"/>
      </w:tblPr>
      <w:tblGrid>
        <w:gridCol w:w="668"/>
        <w:gridCol w:w="6050"/>
        <w:gridCol w:w="2060"/>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D0347E4" w14:textId="77777777" w:rsidR="005D3DB2" w:rsidRDefault="00000000">
            <w:pPr>
              <w:pStyle w:val="Compact"/>
            </w:pPr>
            <w:r>
              <w:t>Năm</w:t>
            </w:r>
          </w:p>
        </w:tc>
        <w:tc>
          <w:tcPr>
            <w:tcW w:w="0" w:type="auto"/>
          </w:tcPr>
          <w:p w14:paraId="21E9C063" w14:textId="77777777" w:rsidR="005D3DB2" w:rsidRDefault="00000000">
            <w:pPr>
              <w:pStyle w:val="Compact"/>
            </w:pPr>
            <w:r>
              <w:t>Nội dung</w:t>
            </w:r>
          </w:p>
        </w:tc>
        <w:tc>
          <w:tcPr>
            <w:tcW w:w="0" w:type="auto"/>
          </w:tcPr>
          <w:p w14:paraId="1F86562E" w14:textId="77777777" w:rsidR="005D3DB2" w:rsidRDefault="00000000">
            <w:pPr>
              <w:pStyle w:val="Compact"/>
            </w:pPr>
            <w:r>
              <w:t>Sản phẩm</w:t>
            </w:r>
          </w:p>
        </w:tc>
      </w:tr>
      <w:tr w:rsidR="005D3DB2" w14:paraId="489CA679" w14:textId="77777777">
        <w:trPr>
          <w:cantSplit/>
        </w:trPr>
        <w:tc>
          <w:tcPr>
            <w:tcW w:w="0" w:type="auto"/>
          </w:tcPr>
          <w:p w14:paraId="758DF502" w14:textId="77777777" w:rsidR="005D3DB2" w:rsidRDefault="00000000">
            <w:pPr>
              <w:pStyle w:val="Compact"/>
            </w:pPr>
            <w:r>
              <w:t>Năm 1</w:t>
            </w:r>
          </w:p>
        </w:tc>
        <w:tc>
          <w:tcPr>
            <w:tcW w:w="0" w:type="auto"/>
          </w:tcPr>
          <w:p w14:paraId="61FD355A" w14:textId="77777777" w:rsidR="005D3DB2" w:rsidRDefault="00000000">
            <w:pPr>
              <w:pStyle w:val="Compact"/>
            </w:pPr>
            <w:r>
              <w:t xml:space="preserve">Quý 1: xác nhận nguồn, độ dài và giấy phép dữ liệu HNX, UPCoM, HOSE, dữ liệu công bố và dữ liệu GFCI. Quý 1–2: học bổ sung 9 tín chỉ và các học phần theo chương trình. Quý 2: ước lượng thử để kiểm tra dữ liệu và thời gian tính, không tính chỉ số hay hệ số; mô phỏng công suất kiểm định. Quý 3: làm sạch dữ liệu, tính các chỉ báo thành phần. Quý 4: đăng ký trước kế hoạch phân tích</w:t>
            </w:r>
          </w:p>
        </w:tc>
        <w:tc>
          <w:tcPr>
            <w:tcW w:w="0" w:type="auto"/>
          </w:tcPr>
          <w:p w14:paraId="49F49FA0" w14:textId="77777777" w:rsidR="005D3DB2" w:rsidRDefault="00000000">
            <w:pPr>
              <w:pStyle w:val="Compact"/>
            </w:pPr>
            <w:r>
              <w:t xml:space="preserve">Tổng quan nghiên cứu; kế hoạch phân tích đăng ký trước; chuyên đề 1</w:t>
            </w:r>
          </w:p>
        </w:tc>
      </w:tr>
      <w:tr w:rsidR="005D3DB2" w14:paraId="475714BB" w14:textId="77777777">
        <w:trPr>
          <w:cantSplit/>
        </w:trPr>
        <w:tc>
          <w:tcPr>
            <w:tcW w:w="0" w:type="auto"/>
          </w:tcPr>
          <w:p w14:paraId="3CAB58A2" w14:textId="77777777" w:rsidR="005D3DB2" w:rsidRDefault="00000000">
            <w:pPr>
              <w:pStyle w:val="Compact"/>
            </w:pPr>
            <w:r>
              <w:t>Năm 2</w:t>
            </w:r>
          </w:p>
        </w:tc>
        <w:tc>
          <w:tcPr>
            <w:tcW w:w="0" w:type="auto"/>
          </w:tcPr>
          <w:p w14:paraId="14740F2D" w14:textId="77777777" w:rsidR="005D3DB2" w:rsidRDefault="00000000">
            <w:pPr>
              <w:pStyle w:val="Compact"/>
            </w:pPr>
            <w:r>
              <w:t xml:space="preserve">Quý 1–2: kiểm định H</w:t>
            </w:r>
            <w:r>
              <w:rPr>
                <w:vertAlign w:val="subscript"/>
              </w:rPr>
              <w:t xml:space="preserve">1</w:t>
            </w:r>
            <w:r>
              <w:t xml:space="preserve"> trên dữ liệu bảng quốc tế, viết bài báo 1. Quý 3–4: xây dựng Chỉ số chất lượng thị trường vốn, kiểm định H</w:t>
            </w:r>
            <w:r>
              <w:rPr>
                <w:vertAlign w:val="subscript"/>
              </w:rPr>
              <w:t xml:space="preserve">2</w:t>
            </w:r>
          </w:p>
        </w:tc>
        <w:tc>
          <w:tcPr>
            <w:tcW w:w="0" w:type="auto"/>
          </w:tcPr>
          <w:p w14:paraId="43770066" w14:textId="77777777" w:rsidR="005D3DB2" w:rsidRDefault="00000000">
            <w:pPr>
              <w:pStyle w:val="Compact"/>
            </w:pPr>
            <w:r>
              <w:t xml:space="preserve">Bài báo 1; chỉ số chất lượng bản đầu; báo cáo hội thảo; chuyên đề 2</w:t>
            </w:r>
          </w:p>
        </w:tc>
      </w:tr>
      <w:tr w:rsidR="005D3DB2" w14:paraId="4FE2EDEA" w14:textId="77777777">
        <w:trPr>
          <w:cantSplit/>
        </w:trPr>
        <w:tc>
          <w:tcPr>
            <w:tcW w:w="0" w:type="auto"/>
          </w:tcPr>
          <w:p w14:paraId="72C3354E" w14:textId="77777777" w:rsidR="005D3DB2" w:rsidRDefault="00000000">
            <w:pPr>
              <w:pStyle w:val="Compact"/>
            </w:pPr>
            <w:r>
              <w:t>Năm 3</w:t>
            </w:r>
          </w:p>
        </w:tc>
        <w:tc>
          <w:tcPr>
            <w:tcW w:w="0" w:type="auto"/>
          </w:tcPr>
          <w:p w14:paraId="45E0D657" w14:textId="77777777" w:rsidR="005D3DB2" w:rsidRDefault="00000000">
            <w:pPr>
              <w:pStyle w:val="Compact"/>
            </w:pPr>
            <w:r>
              <w:t xml:space="preserve">Quý 1–2: viết bài báo 2; ước lượng bảy mô hình trên rổ HNX và rổ HOSE. Quý 3–4: xây dựng Chỉ số khả năng đầu tư, kiểm định H</w:t>
            </w:r>
            <w:r>
              <w:rPr>
                <w:vertAlign w:val="subscript"/>
              </w:rPr>
              <w:t xml:space="preserve">3</w:t>
            </w:r>
            <w:r>
              <w:t xml:space="preserve"> và H</w:t>
            </w:r>
            <w:r>
              <w:rPr>
                <w:vertAlign w:val="subscript"/>
              </w:rPr>
              <w:t xml:space="preserve">4</w:t>
            </w:r>
          </w:p>
        </w:tc>
        <w:tc>
          <w:tcPr>
            <w:tcW w:w="0" w:type="auto"/>
          </w:tcPr>
          <w:p w14:paraId="5D8B9BC0" w14:textId="77777777" w:rsidR="005D3DB2" w:rsidRDefault="00000000">
            <w:pPr>
              <w:pStyle w:val="Compact"/>
            </w:pPr>
            <w:r>
              <w:t xml:space="preserve">Bài báo 2; chỉ số khả năng đầu tư bản đầu; chuyên đề 3</w:t>
            </w:r>
          </w:p>
        </w:tc>
      </w:tr>
      <w:tr w:rsidR="005D3DB2" w14:paraId="315046A8" w14:textId="77777777">
        <w:trPr>
          <w:cantSplit/>
        </w:trPr>
        <w:tc>
          <w:tcPr>
            <w:tcW w:w="0" w:type="auto"/>
          </w:tcPr>
          <w:p w14:paraId="4FCE09B1" w14:textId="77777777" w:rsidR="005D3DB2" w:rsidRDefault="00000000">
            <w:pPr>
              <w:pStyle w:val="Compact"/>
            </w:pPr>
            <w:r>
              <w:t>Năm 4</w:t>
            </w:r>
          </w:p>
        </w:tc>
        <w:tc>
          <w:tcPr>
            <w:tcW w:w="0" w:type="auto"/>
          </w:tcPr>
          <w:p w14:paraId="2E56A36B" w14:textId="77777777" w:rsidR="005D3DB2" w:rsidRDefault="00000000">
            <w:pPr>
              <w:pStyle w:val="Compact"/>
            </w:pPr>
            <w:r>
              <w:t xml:space="preserve">Quý 1–2: xếp thứ tự ưu tiên cải thiện và đề xuất chính sách cho Hà Nội, viết bài báo 3; công bố mã nguồn hai chỉ số. Quý 3–4: hoàn thiện luận án, chỉnh sửa theo góp ý và bảo vệ</w:t>
            </w:r>
          </w:p>
        </w:tc>
        <w:tc>
          <w:tcPr>
            <w:tcW w:w="0" w:type="auto"/>
          </w:tcPr>
          <w:p w14:paraId="4CC80AB9" w14:textId="77777777" w:rsidR="005D3DB2" w:rsidRDefault="00000000">
            <w:pPr>
              <w:pStyle w:val="Compact"/>
            </w:pPr>
            <w:r>
              <w:t xml:space="preserve">Bài báo 3; luận án; hai chỉ số mã nguồn mở</w:t>
            </w:r>
          </w:p>
        </w:tc>
      </w:tr>
    </w:tbl>
    <w:p w14:paraId="6FB360A3" w14:textId="77777777" w:rsidR="005D3DB2" w:rsidRDefault="00000000">
      <w:pPr>
        <w:pStyle w:val="SourceNote"/>
      </w:pPr>
      <w:r>
        <w:t>Nguồn: Thí sinh đề xuất</w:t>
      </w:r>
    </w:p>
    <w:p w14:paraId="4F8F439A" w14:textId="77777777" w:rsidR="005D3DB2" w:rsidRDefault="00000000">
      <w:pPr>
        <w:pStyle w:val="BodyText"/>
      </w:pPr>
      <w:r>
        <w:t xml:space="preserve">Kế hoạch có hai phương án dự phòng (xem mục 4.3.10).</w:t>
      </w:r>
      <w:r>
        <w:t xml:space="preserve"> Nếu dữ liệu không đủ, thí sinh thu hẹp rổ cổ phiếu hoặc giai đoạn mẫu ngay trong quý 1 năm thứ nhất, </w:t>
      </w:r>
      <w:r>
        <w:t xml:space="preserve">trước khi nộp tệp đăng ký trước</w:t>
      </w:r>
      <w:r>
        <w:t xml:space="preserve">. Nếu mẫu có quá ít giai đoạn căng thẳng, thí sinh </w:t>
      </w:r>
      <w:r>
        <w:t xml:space="preserve">áp dụng quy tắc đã đăng ký trước để gọi kết quả là chưa đủ cơ sở kết luận</w:t>
      </w:r>
      <w:r>
        <w:t xml:space="preserve"> và báo cáo kích thước hiệu ứng theo từng giai đoạn.</w:t>
      </w:r>
    </w:p>
    <w:p w14:paraId="4621447C" w14:textId="77777777" w:rsidR="005D3DB2" w:rsidRDefault="00000000">
      <w:pPr>
        <w:pStyle w:val="Heading1"/>
      </w:pPr>
      <w:bookmarkStart w:id="54" w:name="_Toc242353150"/>
      <w:bookmarkStart w:id="55" w:name="Xb9bc081f51ffaef1c7bc0b2210c66ae0c3d0cd6"/>
      <w:bookmarkEnd w:id="44"/>
      <w:bookmarkEnd w:id="52"/>
      <w:r>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Pr>
            <w:noProof/>
          </w:rPr>
          <w:t>6</w:t>
        </w:r>
      </w:fldSimple>
      <w:r>
        <w:t>. Công trình đã công bố hoặc đã được chấp nhận đăng</w:t>
      </w:r>
      <w:bookmarkEnd w:id="58"/>
    </w:p>
    <w:tbl>
      <w:tblPr>
        <w:tblStyle w:val="Table"/>
        <w:tblW w:w="5000" w:type="pct"/>
        <w:tblLook w:val="0020" w:firstRow="1" w:lastRow="0" w:firstColumn="0" w:lastColumn="0" w:noHBand="0" w:noVBand="0"/>
      </w:tblPr>
      <w:tblGrid>
        <w:gridCol w:w="477"/>
        <w:gridCol w:w="3587"/>
        <w:gridCol w:w="2959"/>
        <w:gridCol w:w="1755"/>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F46F851" w14:textId="77777777" w:rsidR="005D3DB2" w:rsidRDefault="00000000">
            <w:pPr>
              <w:pStyle w:val="Compact"/>
            </w:pPr>
            <w:r>
              <w:t>TT</w:t>
            </w:r>
          </w:p>
        </w:tc>
        <w:tc>
          <w:tcPr>
            <w:tcW w:w="0" w:type="auto"/>
          </w:tcPr>
          <w:p w14:paraId="60B13376" w14:textId="77777777" w:rsidR="005D3DB2" w:rsidRDefault="00000000">
            <w:pPr>
              <w:pStyle w:val="Compact"/>
            </w:pPr>
            <w:r>
              <w:t>Công trình</w:t>
            </w:r>
          </w:p>
        </w:tc>
        <w:tc>
          <w:tcPr>
            <w:tcW w:w="0" w:type="auto"/>
          </w:tcPr>
          <w:p w14:paraId="09100F43" w14:textId="77777777" w:rsidR="005D3DB2" w:rsidRDefault="00000000">
            <w:pPr>
              <w:pStyle w:val="Compact"/>
            </w:pPr>
            <w:r>
              <w:t>Tạp chí; ISSN</w:t>
            </w:r>
          </w:p>
        </w:tc>
        <w:tc>
          <w:tcPr>
            <w:tcW w:w="0" w:type="auto"/>
          </w:tcPr>
          <w:p w14:paraId="48262534" w14:textId="77777777" w:rsidR="005D3DB2" w:rsidRDefault="00000000">
            <w:pPr>
              <w:pStyle w:val="Compact"/>
            </w:pPr>
            <w:r>
              <w:t>Trạng thái</w:t>
            </w:r>
          </w:p>
        </w:tc>
      </w:tr>
      <w:tr w:rsidR="005D3DB2" w14:paraId="223C44CB" w14:textId="77777777">
        <w:trPr>
          <w:cantSplit/>
        </w:trPr>
        <w:tc>
          <w:tcPr>
            <w:tcW w:w="0" w:type="auto"/>
          </w:tcPr>
          <w:p w14:paraId="6A2810EB" w14:textId="77777777" w:rsidR="005D3DB2" w:rsidRDefault="00000000">
            <w:pPr>
              <w:pStyle w:val="Compact"/>
            </w:pPr>
            <w:r>
              <w:t>1</w:t>
            </w:r>
          </w:p>
        </w:tc>
        <w:tc>
          <w:tcPr>
            <w:tcW w:w="0" w:type="auto"/>
          </w:tcPr>
          <w:p w14:paraId="1E1DE841" w14:textId="77777777" w:rsidR="005D3DB2" w:rsidRDefault="00000000">
            <w:pPr>
              <w:pStyle w:val="Compact"/>
            </w:pPr>
            <w:r>
              <w:t>Nguyễn Thanh Bình, Nguyễn Văn Trung*, “Tiền gửi không kỳ hạn, hiệu quả hoạt động và ổn định tài chính ngân hàng: Bằng chứng từ mô hình ngưỡng tại Việt Nam” (Nguyễn và Nguyễn, 2026b)</w:t>
            </w:r>
          </w:p>
        </w:tc>
        <w:tc>
          <w:tcPr>
            <w:tcW w:w="0" w:type="auto"/>
          </w:tcPr>
          <w:p w14:paraId="7C63DA21" w14:textId="77777777" w:rsidR="005D3DB2" w:rsidRDefault="00000000">
            <w:pPr>
              <w:pStyle w:val="Compact"/>
            </w:pPr>
            <w:r>
              <w:t>Tạp chí Kinh tế - Luật và Ngân hàng; ISSN 3030-4199; Tập 28, Số 9, tr. 52–64; DOI 10.59276/3030-4199/jelb.bav.895</w:t>
            </w:r>
          </w:p>
        </w:tc>
        <w:tc>
          <w:tcPr>
            <w:tcW w:w="0" w:type="auto"/>
          </w:tcPr>
          <w:p w14:paraId="1DB41FFF" w14:textId="77777777" w:rsidR="005D3DB2" w:rsidRDefault="00000000">
            <w:pPr>
              <w:pStyle w:val="Compact"/>
            </w:pPr>
            <w:r>
              <w:t>Đã công bố</w:t>
            </w:r>
          </w:p>
        </w:tc>
      </w:tr>
      <w:tr w:rsidR="005D3DB2" w14:paraId="136CE50D" w14:textId="77777777">
        <w:trPr>
          <w:cantSplit/>
        </w:trPr>
        <w:tc>
          <w:tcPr>
            <w:tcW w:w="0" w:type="auto"/>
          </w:tcPr>
          <w:p w14:paraId="7D27DA56" w14:textId="77777777" w:rsidR="005D3DB2" w:rsidRDefault="00000000">
            <w:pPr>
              <w:pStyle w:val="Compact"/>
            </w:pPr>
            <w:r>
              <w:t>2</w:t>
            </w:r>
          </w:p>
        </w:tc>
        <w:tc>
          <w:tcPr>
            <w:tcW w:w="0" w:type="auto"/>
          </w:tcPr>
          <w:p w14:paraId="7CF01717" w14:textId="77777777" w:rsidR="005D3DB2" w:rsidRDefault="00000000">
            <w:pPr>
              <w:pStyle w:val="Compact"/>
            </w:pPr>
            <w:r>
              <w:t>Nguyễn Thanh Bình, Nguyễn Văn Trung, “Black-Litterman portfolio optimization using regime switching CAPM and ABC-MCMC: Empirical evidence from the Vietnamese stock market period 2019 - 2025” (Nguyen và Nguyen, 2026a)</w:t>
            </w:r>
          </w:p>
        </w:tc>
        <w:tc>
          <w:tcPr>
            <w:tcW w:w="0" w:type="auto"/>
          </w:tcPr>
          <w:p w14:paraId="21B2C551" w14:textId="77777777" w:rsidR="005D3DB2" w:rsidRDefault="00000000">
            <w:pPr>
              <w:pStyle w:val="Compact"/>
            </w:pPr>
            <w:r>
              <w:t>Tạp chí Nghiên cứu Chính sách và Phát triển; ISSN 3030-4091; Tập 3, Số 1, tr. 81–99; DOI 10.63640/3030-4091/jpd.apd.194</w:t>
            </w:r>
          </w:p>
        </w:tc>
        <w:tc>
          <w:tcPr>
            <w:tcW w:w="0" w:type="auto"/>
          </w:tcPr>
          <w:p w14:paraId="624886EC" w14:textId="77777777" w:rsidR="005D3DB2" w:rsidRDefault="00000000">
            <w:pPr>
              <w:pStyle w:val="Compact"/>
            </w:pPr>
            <w:r>
              <w:t>Đã công bố</w:t>
            </w:r>
          </w:p>
        </w:tc>
      </w:tr>
      <w:tr w:rsidR="005D3DB2" w14:paraId="33E29DC0" w14:textId="77777777">
        <w:trPr>
          <w:cantSplit/>
        </w:trPr>
        <w:tc>
          <w:tcPr>
            <w:tcW w:w="0" w:type="auto"/>
          </w:tcPr>
          <w:p w14:paraId="539BEAFB" w14:textId="77777777" w:rsidR="005D3DB2" w:rsidRDefault="00000000">
            <w:pPr>
              <w:pStyle w:val="Compact"/>
            </w:pPr>
            <w:r>
              <w:t>3</w:t>
            </w:r>
          </w:p>
        </w:tc>
        <w:tc>
          <w:tcPr>
            <w:tcW w:w="0" w:type="auto"/>
          </w:tcPr>
          <w:p w14:paraId="1F926F0F" w14:textId="77777777" w:rsidR="005D3DB2" w:rsidRDefault="00000000">
            <w:pPr>
              <w:pStyle w:val="Compact"/>
            </w:pPr>
            <w:r>
              <w:t>Nguyễn Thanh Bình, Nguyễn Văn Trung*, Nguyễn Anh Tuấn, “GRI adoption and corporate brownwashing: Board governance evidence from ASEAN-5”</w:t>
            </w:r>
          </w:p>
        </w:tc>
        <w:tc>
          <w:tcPr>
            <w:tcW w:w="0" w:type="auto"/>
          </w:tcPr>
          <w:p w14:paraId="4FBB5E0D" w14:textId="77777777" w:rsidR="005D3DB2" w:rsidRDefault="00000000">
            <w:pPr>
              <w:pStyle w:val="Compact"/>
            </w:pPr>
            <w:r>
              <w:t>International Journal of Management and Sustainability (Conscientia Beam); ISSN 2306-9856 (bản in), 2306-0662 (bản trực tuyến); Scopus Q3</w:t>
            </w:r>
          </w:p>
        </w:tc>
        <w:tc>
          <w:tcPr>
            <w:tcW w:w="0" w:type="auto"/>
          </w:tcPr>
          <w:p w14:paraId="6213FD20" w14:textId="77777777" w:rsidR="005D3DB2" w:rsidRDefault="00000000">
            <w:pPr>
              <w:pStyle w:val="Compact"/>
            </w:pPr>
            <w:r>
              <w:t>Đã được chấp nhận đăng năm 2026, chưa xuất bản tại ngày 30/09/2026</w:t>
            </w:r>
          </w:p>
        </w:tc>
      </w:tr>
    </w:tbl>
    <w:p w14:paraId="17CAA286" w14:textId="77777777" w:rsidR="005D3DB2" w:rsidRDefault="00000000">
      <w:pPr>
        <w:pStyle w:val="SourceNote"/>
      </w:pPr>
      <w:r>
        <w:t xml:space="preserve">Ghi chú: (*) Tác giả liên hệ. Tên bài báo bằng tiếng Anh </w:t>
      </w:r>
      <w:r>
        <w:t xml:space="preserve">giữ nguyên như khi công bố. Trạng thái tính đến ngày 30/09/2026.</w:t>
      </w:r>
    </w:p>
    <w:p w14:paraId="53C9A500" w14:textId="77777777" w:rsidR="005D3DB2" w:rsidRDefault="00000000">
      <w:pPr>
        <w:pStyle w:val="BodyText"/>
      </w:pPr>
      <w:r>
        <w:t>Ngoài các công trình trên, thí sinh có chín bản thảo đang ở các bước phản biện hoặc xét duyệt (Bảng 7), trong đó ba bản thảo liên quan trực tiếp đến đề tài.</w:t>
      </w:r>
    </w:p>
    <w:p w14:paraId="79CBE549" w14:textId="77777777" w:rsidR="005D3DB2" w:rsidRDefault="00000000">
      <w:pPr>
        <w:pStyle w:val="TableCaption"/>
      </w:pPr>
      <w:bookmarkStart w:id="59" w:name="_Toc242353162"/>
      <w:r>
        <w:t xml:space="preserve">Bảng </w:t>
      </w:r>
      <w:fldSimple w:instr=" SEQ Bảng \* ARABIC ">
        <w:r>
          <w:rPr>
            <w:noProof/>
          </w:rPr>
          <w:t>7</w:t>
        </w:r>
      </w:fldSimple>
      <w:r>
        <w:t>. Bản thảo đã gửi tạp chí, chưa công bố tại ngày 30/09/2026</w:t>
      </w:r>
      <w:bookmarkEnd w:id="59"/>
    </w:p>
    <w:tbl>
      <w:tblPr>
        <w:tblStyle w:val="Table"/>
        <w:tblW w:w="5000" w:type="pct"/>
        <w:tblLook w:val="0020" w:firstRow="1" w:lastRow="0" w:firstColumn="0" w:lastColumn="0" w:noHBand="0" w:noVBand="0"/>
      </w:tblPr>
      <w:tblGrid>
        <w:gridCol w:w="478"/>
        <w:gridCol w:w="2830"/>
        <w:gridCol w:w="531"/>
        <w:gridCol w:w="2211"/>
        <w:gridCol w:w="1679"/>
        <w:gridCol w:w="1049"/>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E281E21" w14:textId="77777777" w:rsidR="005D3DB2" w:rsidRDefault="00000000">
            <w:pPr>
              <w:pStyle w:val="Compact"/>
            </w:pPr>
            <w:r>
              <w:t>TT</w:t>
            </w:r>
          </w:p>
        </w:tc>
        <w:tc>
          <w:tcPr>
            <w:tcW w:w="0" w:type="auto"/>
          </w:tcPr>
          <w:p w14:paraId="04188E2A" w14:textId="77777777" w:rsidR="005D3DB2" w:rsidRDefault="00000000">
            <w:pPr>
              <w:pStyle w:val="Compact"/>
            </w:pPr>
            <w:r>
              <w:t>Tên bài báo</w:t>
            </w:r>
          </w:p>
        </w:tc>
        <w:tc>
          <w:tcPr>
            <w:tcW w:w="0" w:type="auto"/>
          </w:tcPr>
          <w:p w14:paraId="3D12A13F" w14:textId="77777777" w:rsidR="005D3DB2" w:rsidRDefault="00000000">
            <w:pPr>
              <w:pStyle w:val="Compact"/>
            </w:pPr>
            <w:r>
              <w:t>Số tác giả</w:t>
            </w:r>
          </w:p>
        </w:tc>
        <w:tc>
          <w:tcPr>
            <w:tcW w:w="0" w:type="auto"/>
          </w:tcPr>
          <w:p w14:paraId="0EC0CC60" w14:textId="77777777" w:rsidR="005D3DB2" w:rsidRDefault="00000000">
            <w:pPr>
              <w:pStyle w:val="Compact"/>
            </w:pPr>
            <w:r>
              <w:t>Tạp chí; ISSN</w:t>
            </w:r>
          </w:p>
        </w:tc>
        <w:tc>
          <w:tcPr>
            <w:tcW w:w="0" w:type="auto"/>
          </w:tcPr>
          <w:p w14:paraId="156D343A" w14:textId="77777777" w:rsidR="005D3DB2" w:rsidRDefault="00000000">
            <w:pPr>
              <w:pStyle w:val="Compact"/>
            </w:pPr>
            <w:r>
              <w:t>Trạng thái (mã bài)</w:t>
            </w:r>
          </w:p>
        </w:tc>
        <w:tc>
          <w:tcPr>
            <w:tcW w:w="0" w:type="auto"/>
          </w:tcPr>
          <w:p w14:paraId="19795523" w14:textId="77777777" w:rsidR="005D3DB2" w:rsidRDefault="00000000">
            <w:pPr>
              <w:pStyle w:val="Compact"/>
            </w:pPr>
            <w:r>
              <w:t>Liên quan đến đề tài</w:t>
            </w:r>
          </w:p>
        </w:tc>
      </w:tr>
      <w:tr w:rsidR="005D3DB2" w14:paraId="722A5281" w14:textId="77777777">
        <w:trPr>
          <w:cantSplit/>
        </w:trPr>
        <w:tc>
          <w:tcPr>
            <w:tcW w:w="0" w:type="auto"/>
          </w:tcPr>
          <w:p w14:paraId="1B475C6E" w14:textId="77777777" w:rsidR="005D3DB2" w:rsidRDefault="00000000">
            <w:pPr>
              <w:pStyle w:val="Compact"/>
            </w:pPr>
            <w:r>
              <w:t>1</w:t>
            </w:r>
          </w:p>
        </w:tc>
        <w:tc>
          <w:tcPr>
            <w:tcW w:w="0" w:type="auto"/>
          </w:tcPr>
          <w:p w14:paraId="1BB1A867" w14:textId="77777777" w:rsidR="005D3DB2" w:rsidRDefault="00000000">
            <w:pPr>
              <w:pStyle w:val="Compact"/>
            </w:pPr>
            <w:r>
              <w:t>Portfolio optimization with the inverse Black-Litterman framework and clustering machine-learning models: Evidence from Vietnamese bank stocks</w:t>
            </w:r>
          </w:p>
        </w:tc>
        <w:tc>
          <w:tcPr>
            <w:tcW w:w="0" w:type="auto"/>
          </w:tcPr>
          <w:p w14:paraId="099632FD" w14:textId="77777777" w:rsidR="005D3DB2" w:rsidRDefault="00000000">
            <w:pPr>
              <w:pStyle w:val="Compact"/>
            </w:pPr>
            <w:r>
              <w:t>5</w:t>
            </w:r>
          </w:p>
        </w:tc>
        <w:tc>
          <w:tcPr>
            <w:tcW w:w="0" w:type="auto"/>
          </w:tcPr>
          <w:p w14:paraId="622ED6E5" w14:textId="77777777" w:rsidR="005D3DB2" w:rsidRDefault="00000000">
            <w:pPr>
              <w:pStyle w:val="Compact"/>
            </w:pPr>
            <w:r>
              <w:t>Multidisciplinary Science Journal; ISSN 2675-1240; Scopus Q3</w:t>
            </w:r>
          </w:p>
        </w:tc>
        <w:tc>
          <w:tcPr>
            <w:tcW w:w="0" w:type="auto"/>
          </w:tcPr>
          <w:p w14:paraId="39F6F7DE" w14:textId="77777777" w:rsidR="005D3DB2" w:rsidRDefault="00000000">
            <w:pPr>
              <w:pStyle w:val="Compact"/>
            </w:pPr>
            <w:r>
              <w:t>Đã sửa xong vòng 2 (mã 19322)</w:t>
            </w:r>
          </w:p>
        </w:tc>
        <w:tc>
          <w:tcPr>
            <w:tcW w:w="0" w:type="auto"/>
          </w:tcPr>
          <w:p w14:paraId="528FCFF9" w14:textId="77777777" w:rsidR="005D3DB2" w:rsidRDefault="00000000">
            <w:pPr>
              <w:pStyle w:val="Compact"/>
            </w:pPr>
            <w:r>
              <w:t>Có (mô hình danh mục)</w:t>
            </w:r>
          </w:p>
        </w:tc>
      </w:tr>
      <w:tr w:rsidR="005D3DB2" w14:paraId="636303B6" w14:textId="77777777">
        <w:trPr>
          <w:cantSplit/>
        </w:trPr>
        <w:tc>
          <w:tcPr>
            <w:tcW w:w="0" w:type="auto"/>
          </w:tcPr>
          <w:p w14:paraId="5CAC10E7" w14:textId="77777777" w:rsidR="005D3DB2" w:rsidRDefault="00000000">
            <w:pPr>
              <w:pStyle w:val="Compact"/>
            </w:pPr>
            <w:r>
              <w:t>2</w:t>
            </w:r>
          </w:p>
        </w:tc>
        <w:tc>
          <w:tcPr>
            <w:tcW w:w="0" w:type="auto"/>
          </w:tcPr>
          <w:p w14:paraId="5011594A" w14:textId="77777777" w:rsidR="005D3DB2" w:rsidRDefault="00000000">
            <w:pPr>
              <w:pStyle w:val="Compact"/>
            </w:pPr>
            <w:r>
              <w:t>Tác động của cấu trúc sở hữu lên ổn định tài chính của các ngân hàng thương mại Việt Nam</w:t>
            </w:r>
          </w:p>
        </w:tc>
        <w:tc>
          <w:tcPr>
            <w:tcW w:w="0" w:type="auto"/>
          </w:tcPr>
          <w:p w14:paraId="449B50E3" w14:textId="77777777" w:rsidR="005D3DB2" w:rsidRDefault="00000000">
            <w:pPr>
              <w:pStyle w:val="Compact"/>
            </w:pPr>
            <w:r>
              <w:t>2</w:t>
            </w:r>
          </w:p>
        </w:tc>
        <w:tc>
          <w:tcPr>
            <w:tcW w:w="0" w:type="auto"/>
          </w:tcPr>
          <w:p w14:paraId="157AE89D" w14:textId="77777777" w:rsidR="005D3DB2" w:rsidRDefault="00000000">
            <w:pPr>
              <w:pStyle w:val="Compact"/>
            </w:pPr>
            <w:r>
              <w:t>Tạp chí Kinh tế - Luật và Ngân hàng; ISSN 3030-4199</w:t>
            </w:r>
          </w:p>
        </w:tc>
        <w:tc>
          <w:tcPr>
            <w:tcW w:w="0" w:type="auto"/>
          </w:tcPr>
          <w:p w14:paraId="273A81D7" w14:textId="77777777" w:rsidR="005D3DB2" w:rsidRDefault="00000000">
            <w:pPr>
              <w:pStyle w:val="Compact"/>
            </w:pPr>
            <w:r>
              <w:t>Qua 2 vòng phản biện, đang chỉnh sửa (mã 3129)</w:t>
            </w:r>
          </w:p>
        </w:tc>
        <w:tc>
          <w:tcPr>
            <w:tcW w:w="0" w:type="auto"/>
          </w:tcPr>
          <w:p w14:paraId="0A93CE6E" w14:textId="77777777" w:rsidR="005D3DB2" w:rsidRDefault="00000000">
            <w:pPr>
              <w:pStyle w:val="Compact"/>
            </w:pPr>
            <w:r>
              <w:t>Không</w:t>
            </w:r>
          </w:p>
        </w:tc>
      </w:tr>
      <w:tr w:rsidR="005D3DB2" w14:paraId="7954A65C" w14:textId="77777777">
        <w:trPr>
          <w:cantSplit/>
        </w:trPr>
        <w:tc>
          <w:tcPr>
            <w:tcW w:w="0" w:type="auto"/>
          </w:tcPr>
          <w:p w14:paraId="68924E55" w14:textId="77777777" w:rsidR="005D3DB2" w:rsidRDefault="00000000">
            <w:pPr>
              <w:pStyle w:val="Compact"/>
            </w:pPr>
            <w:r>
              <w:t>3</w:t>
            </w:r>
          </w:p>
        </w:tc>
        <w:tc>
          <w:tcPr>
            <w:tcW w:w="0" w:type="auto"/>
          </w:tcPr>
          <w:p w14:paraId="4FD3FE53" w14:textId="77777777" w:rsidR="005D3DB2" w:rsidRDefault="00000000">
            <w:pPr>
              <w:pStyle w:val="Compact"/>
            </w:pPr>
            <w:r>
              <w:t>Limits to arbitrage in the Vietnamese physical gold market: The failure of short-term momentum</w:t>
            </w:r>
          </w:p>
        </w:tc>
        <w:tc>
          <w:tcPr>
            <w:tcW w:w="0" w:type="auto"/>
          </w:tcPr>
          <w:p w14:paraId="12D0A221" w14:textId="77777777" w:rsidR="005D3DB2" w:rsidRDefault="00000000">
            <w:pPr>
              <w:pStyle w:val="Compact"/>
            </w:pPr>
            <w:r>
              <w:t>3</w:t>
            </w:r>
          </w:p>
        </w:tc>
        <w:tc>
          <w:tcPr>
            <w:tcW w:w="0" w:type="auto"/>
          </w:tcPr>
          <w:p w14:paraId="68E875A5" w14:textId="77777777" w:rsidR="005D3DB2" w:rsidRDefault="00000000">
            <w:pPr>
              <w:pStyle w:val="Compact"/>
            </w:pPr>
            <w:r>
              <w:t>Journal of Economic and Banking Studies; ISSN 2734-9853</w:t>
            </w:r>
          </w:p>
        </w:tc>
        <w:tc>
          <w:tcPr>
            <w:tcW w:w="0" w:type="auto"/>
          </w:tcPr>
          <w:p w14:paraId="38F63AD8" w14:textId="77777777" w:rsidR="005D3DB2" w:rsidRDefault="00000000">
            <w:pPr>
              <w:pStyle w:val="Compact"/>
            </w:pPr>
            <w:r>
              <w:t>Đang sửa vòng 1 (mã JEBS.1563)</w:t>
            </w:r>
          </w:p>
        </w:tc>
        <w:tc>
          <w:tcPr>
            <w:tcW w:w="0" w:type="auto"/>
          </w:tcPr>
          <w:p w14:paraId="593C4CA1" w14:textId="77777777" w:rsidR="005D3DB2" w:rsidRDefault="00000000">
            <w:pPr>
              <w:pStyle w:val="Compact"/>
            </w:pPr>
            <w:r>
              <w:t>Không</w:t>
            </w:r>
          </w:p>
        </w:tc>
      </w:tr>
      <w:tr w:rsidR="005D3DB2" w14:paraId="455EFBD7" w14:textId="77777777">
        <w:trPr>
          <w:cantSplit/>
        </w:trPr>
        <w:tc>
          <w:tcPr>
            <w:tcW w:w="0" w:type="auto"/>
          </w:tcPr>
          <w:p w14:paraId="3F7F0A83" w14:textId="77777777" w:rsidR="005D3DB2" w:rsidRDefault="00000000">
            <w:pPr>
              <w:pStyle w:val="Compact"/>
            </w:pPr>
            <w:r>
              <w:t>4</w:t>
            </w:r>
          </w:p>
        </w:tc>
        <w:tc>
          <w:tcPr>
            <w:tcW w:w="0" w:type="auto"/>
          </w:tcPr>
          <w:p w14:paraId="07C31D6F" w14:textId="77777777" w:rsidR="005D3DB2" w:rsidRDefault="00000000">
            <w:pPr>
              <w:pStyle w:val="Compact"/>
            </w:pPr>
            <w:r>
              <w:t>Corporate Brownwashing and Firm Valuation in ASEAN-5 Disclosure Regimes</w:t>
            </w:r>
          </w:p>
        </w:tc>
        <w:tc>
          <w:tcPr>
            <w:tcW w:w="0" w:type="auto"/>
          </w:tcPr>
          <w:p w14:paraId="634CD6A2" w14:textId="77777777" w:rsidR="005D3DB2" w:rsidRDefault="00000000">
            <w:pPr>
              <w:pStyle w:val="Compact"/>
            </w:pPr>
            <w:r>
              <w:t>2</w:t>
            </w:r>
          </w:p>
        </w:tc>
        <w:tc>
          <w:tcPr>
            <w:tcW w:w="0" w:type="auto"/>
          </w:tcPr>
          <w:p w14:paraId="15D2DE3E" w14:textId="77777777" w:rsidR="005D3DB2" w:rsidRDefault="00000000">
            <w:pPr>
              <w:pStyle w:val="Compact"/>
            </w:pPr>
            <w:r>
              <w:t>Cogent Business &amp; Management; ISSN 2331-1975; Scopus Q2</w:t>
            </w:r>
          </w:p>
        </w:tc>
        <w:tc>
          <w:tcPr>
            <w:tcW w:w="0" w:type="auto"/>
          </w:tcPr>
          <w:p w14:paraId="55A4BEBF" w14:textId="77777777" w:rsidR="005D3DB2" w:rsidRDefault="00000000">
            <w:pPr>
              <w:pStyle w:val="Compact"/>
            </w:pPr>
            <w:r>
              <w:t>Đang phản biện vòng 1 (mã 260865765)</w:t>
            </w:r>
          </w:p>
        </w:tc>
        <w:tc>
          <w:tcPr>
            <w:tcW w:w="0" w:type="auto"/>
          </w:tcPr>
          <w:p w14:paraId="2C369781" w14:textId="77777777" w:rsidR="005D3DB2" w:rsidRDefault="00000000">
            <w:pPr>
              <w:pStyle w:val="Compact"/>
            </w:pPr>
            <w:r>
              <w:t>Không</w:t>
            </w:r>
          </w:p>
        </w:tc>
      </w:tr>
      <w:tr w:rsidR="005D3DB2" w14:paraId="4E668E66" w14:textId="77777777">
        <w:trPr>
          <w:cantSplit/>
        </w:trPr>
        <w:tc>
          <w:tcPr>
            <w:tcW w:w="0" w:type="auto"/>
          </w:tcPr>
          <w:p w14:paraId="67F047FC" w14:textId="77777777" w:rsidR="005D3DB2" w:rsidRDefault="00000000">
            <w:pPr>
              <w:pStyle w:val="Compact"/>
            </w:pPr>
            <w:r>
              <w:t>5</w:t>
            </w:r>
          </w:p>
        </w:tc>
        <w:tc>
          <w:tcPr>
            <w:tcW w:w="0" w:type="auto"/>
          </w:tcPr>
          <w:p w14:paraId="0806896F" w14:textId="77777777" w:rsidR="005D3DB2" w:rsidRDefault="00000000">
            <w:pPr>
              <w:pStyle w:val="Compact"/>
            </w:pPr>
            <w:r>
              <w:t>Structural breaks in Vietnamese stock market liquidity: Evidence from the Amihud illiquidity measure and Bai-Perron regime-shift detection</w:t>
            </w:r>
          </w:p>
        </w:tc>
        <w:tc>
          <w:tcPr>
            <w:tcW w:w="0" w:type="auto"/>
          </w:tcPr>
          <w:p w14:paraId="7DD3169A" w14:textId="77777777" w:rsidR="005D3DB2" w:rsidRDefault="00000000">
            <w:pPr>
              <w:pStyle w:val="Compact"/>
            </w:pPr>
            <w:r>
              <w:t>6</w:t>
            </w:r>
          </w:p>
        </w:tc>
        <w:tc>
          <w:tcPr>
            <w:tcW w:w="0" w:type="auto"/>
          </w:tcPr>
          <w:p w14:paraId="26170363" w14:textId="77777777" w:rsidR="005D3DB2" w:rsidRDefault="00000000">
            <w:pPr>
              <w:pStyle w:val="Compact"/>
            </w:pPr>
            <w:r>
              <w:t>Asian Journal of Economics and Banking; ISSN 2615-9821</w:t>
            </w:r>
          </w:p>
        </w:tc>
        <w:tc>
          <w:tcPr>
            <w:tcW w:w="0" w:type="auto"/>
          </w:tcPr>
          <w:p w14:paraId="5BE9C6F4" w14:textId="77777777" w:rsidR="005D3DB2" w:rsidRDefault="00000000">
            <w:pPr>
              <w:pStyle w:val="Compact"/>
            </w:pPr>
            <w:r>
              <w:t>Chờ phân công phản biện (mã AJEB-08-2026-0208)</w:t>
            </w:r>
          </w:p>
        </w:tc>
        <w:tc>
          <w:tcPr>
            <w:tcW w:w="0" w:type="auto"/>
          </w:tcPr>
          <w:p w14:paraId="32825E40" w14:textId="77777777" w:rsidR="005D3DB2" w:rsidRDefault="00000000">
            <w:pPr>
              <w:pStyle w:val="Compact"/>
            </w:pPr>
            <w:r>
              <w:t xml:space="preserve">Có (chỉ báo thanh khoản, điểm gãy)</w:t>
            </w:r>
          </w:p>
        </w:tc>
      </w:tr>
      <w:tr w:rsidR="005D3DB2" w14:paraId="28605037" w14:textId="77777777">
        <w:trPr>
          <w:cantSplit/>
        </w:trPr>
        <w:tc>
          <w:tcPr>
            <w:tcW w:w="0" w:type="auto"/>
          </w:tcPr>
          <w:p w14:paraId="4F71AE07" w14:textId="77777777" w:rsidR="005D3DB2" w:rsidRDefault="00000000">
            <w:pPr>
              <w:pStyle w:val="Compact"/>
            </w:pPr>
            <w:r>
              <w:t>6</w:t>
            </w:r>
          </w:p>
        </w:tc>
        <w:tc>
          <w:tcPr>
            <w:tcW w:w="0" w:type="auto"/>
          </w:tcPr>
          <w:p w14:paraId="572E2D9D" w14:textId="77777777" w:rsidR="005D3DB2" w:rsidRDefault="00000000">
            <w:pPr>
              <w:pStyle w:val="Compact"/>
            </w:pPr>
            <w:r>
              <w:t>Nested equity index correlations overstate true co-movement: Evidence from Vietnam</w:t>
            </w:r>
          </w:p>
        </w:tc>
        <w:tc>
          <w:tcPr>
            <w:tcW w:w="0" w:type="auto"/>
          </w:tcPr>
          <w:p w14:paraId="2198CF88" w14:textId="77777777" w:rsidR="005D3DB2" w:rsidRDefault="00000000">
            <w:pPr>
              <w:pStyle w:val="Compact"/>
            </w:pPr>
            <w:r>
              <w:t>4</w:t>
            </w:r>
          </w:p>
        </w:tc>
        <w:tc>
          <w:tcPr>
            <w:tcW w:w="0" w:type="auto"/>
          </w:tcPr>
          <w:p w14:paraId="7E5E52AB" w14:textId="77777777" w:rsidR="005D3DB2" w:rsidRDefault="00000000">
            <w:pPr>
              <w:pStyle w:val="Compact"/>
            </w:pPr>
            <w:r>
              <w:t>Asia-Pacific Financial Markets; ISSN 1387-2834; Scopus Q2</w:t>
            </w:r>
          </w:p>
        </w:tc>
        <w:tc>
          <w:tcPr>
            <w:tcW w:w="0" w:type="auto"/>
          </w:tcPr>
          <w:p w14:paraId="03966828" w14:textId="77777777" w:rsidR="005D3DB2" w:rsidRDefault="00000000">
            <w:pPr>
              <w:pStyle w:val="Compact"/>
            </w:pPr>
            <w:r>
              <w:t>Ban biên tập đang xem xét (mã FEJM-D-26-00726)</w:t>
            </w:r>
          </w:p>
        </w:tc>
        <w:tc>
          <w:tcPr>
            <w:tcW w:w="0" w:type="auto"/>
          </w:tcPr>
          <w:p w14:paraId="3C266793" w14:textId="77777777" w:rsidR="005D3DB2" w:rsidRDefault="00000000">
            <w:pPr>
              <w:pStyle w:val="Compact"/>
            </w:pPr>
            <w:r>
              <w:t xml:space="preserve">Không</w:t>
            </w:r>
          </w:p>
        </w:tc>
      </w:tr>
      <w:tr w:rsidR="005D3DB2" w14:paraId="789C5D6A" w14:textId="77777777">
        <w:trPr>
          <w:cantSplit/>
        </w:trPr>
        <w:tc>
          <w:tcPr>
            <w:tcW w:w="0" w:type="auto"/>
          </w:tcPr>
          <w:p w14:paraId="11F21158" w14:textId="77777777" w:rsidR="005D3DB2" w:rsidRDefault="00000000">
            <w:pPr>
              <w:pStyle w:val="Compact"/>
            </w:pPr>
            <w:r>
              <w:t>7</w:t>
            </w:r>
          </w:p>
        </w:tc>
        <w:tc>
          <w:tcPr>
            <w:tcW w:w="0" w:type="auto"/>
          </w:tcPr>
          <w:p w14:paraId="0E901BC3" w14:textId="77777777" w:rsidR="005D3DB2" w:rsidRDefault="00000000">
            <w:pPr>
              <w:pStyle w:val="Compact"/>
            </w:pPr>
            <w:r>
              <w:t>Who gains from a market upgrade? Stock liquidity and prices around Vietnam’s FTSE Russell reclassification</w:t>
            </w:r>
          </w:p>
        </w:tc>
        <w:tc>
          <w:tcPr>
            <w:tcW w:w="0" w:type="auto"/>
          </w:tcPr>
          <w:p w14:paraId="4985C38F" w14:textId="77777777" w:rsidR="005D3DB2" w:rsidRDefault="00000000">
            <w:pPr>
              <w:pStyle w:val="Compact"/>
            </w:pPr>
            <w:r>
              <w:t>4</w:t>
            </w:r>
          </w:p>
        </w:tc>
        <w:tc>
          <w:tcPr>
            <w:tcW w:w="0" w:type="auto"/>
          </w:tcPr>
          <w:p w14:paraId="2BAC15E0" w14:textId="77777777" w:rsidR="005D3DB2" w:rsidRDefault="00000000">
            <w:pPr>
              <w:pStyle w:val="Compact"/>
            </w:pPr>
            <w:r>
              <w:t>Finance Research Open; ISSN 3050-7006</w:t>
            </w:r>
          </w:p>
        </w:tc>
        <w:tc>
          <w:tcPr>
            <w:tcW w:w="0" w:type="auto"/>
          </w:tcPr>
          <w:p w14:paraId="03CFEC73" w14:textId="77777777" w:rsidR="005D3DB2" w:rsidRDefault="00000000">
            <w:pPr>
              <w:pStyle w:val="Compact"/>
            </w:pPr>
            <w:r>
              <w:t>Ban biên tập đang xem xét (mã FINR-D-26-00823)</w:t>
            </w:r>
          </w:p>
        </w:tc>
        <w:tc>
          <w:tcPr>
            <w:tcW w:w="0" w:type="auto"/>
          </w:tcPr>
          <w:p w14:paraId="5AAEA27C" w14:textId="77777777" w:rsidR="005D3DB2" w:rsidRDefault="00000000">
            <w:pPr>
              <w:pStyle w:val="Compact"/>
            </w:pPr>
            <w:r>
              <w:t xml:space="preserve">Có (thanh khoản thị trường)</w:t>
            </w:r>
          </w:p>
        </w:tc>
      </w:tr>
      <w:tr w:rsidR="005D3DB2" w14:paraId="1C874A09" w14:textId="77777777">
        <w:trPr>
          <w:cantSplit/>
        </w:trPr>
        <w:tc>
          <w:tcPr>
            <w:tcW w:w="0" w:type="auto"/>
          </w:tcPr>
          <w:p w14:paraId="21B89AB4" w14:textId="77777777" w:rsidR="005D3DB2" w:rsidRDefault="00000000">
            <w:pPr>
              <w:pStyle w:val="Compact"/>
            </w:pPr>
            <w:r>
              <w:t>8</w:t>
            </w:r>
          </w:p>
        </w:tc>
        <w:tc>
          <w:tcPr>
            <w:tcW w:w="0" w:type="auto"/>
          </w:tcPr>
          <w:p w14:paraId="4213B425" w14:textId="77777777" w:rsidR="005D3DB2" w:rsidRDefault="00000000">
            <w:pPr>
              <w:pStyle w:val="Compact"/>
            </w:pPr>
            <w:r>
              <w:t>Rated at the peak? Firm valuation around the first LSEG ESG score in five Southeast Asian markets</w:t>
            </w:r>
          </w:p>
        </w:tc>
        <w:tc>
          <w:tcPr>
            <w:tcW w:w="0" w:type="auto"/>
          </w:tcPr>
          <w:p w14:paraId="08F2D798" w14:textId="77777777" w:rsidR="005D3DB2" w:rsidRDefault="00000000">
            <w:pPr>
              <w:pStyle w:val="Compact"/>
            </w:pPr>
            <w:r>
              <w:t>4</w:t>
            </w:r>
          </w:p>
        </w:tc>
        <w:tc>
          <w:tcPr>
            <w:tcW w:w="0" w:type="auto"/>
          </w:tcPr>
          <w:p w14:paraId="6745A820" w14:textId="77777777" w:rsidR="005D3DB2" w:rsidRDefault="00000000">
            <w:pPr>
              <w:pStyle w:val="Compact"/>
            </w:pPr>
            <w:r>
              <w:t>Sustainable Finance Review; ISSN 2977-7542</w:t>
            </w:r>
          </w:p>
        </w:tc>
        <w:tc>
          <w:tcPr>
            <w:tcW w:w="0" w:type="auto"/>
          </w:tcPr>
          <w:p w14:paraId="764FBF85" w14:textId="77777777" w:rsidR="005D3DB2" w:rsidRDefault="00000000">
            <w:pPr>
              <w:pStyle w:val="Compact"/>
            </w:pPr>
            <w:r>
              <w:t>Chờ xử lý tại tòa soạn (mã SFR-09-2026-0113)</w:t>
            </w:r>
          </w:p>
        </w:tc>
        <w:tc>
          <w:tcPr>
            <w:tcW w:w="0" w:type="auto"/>
          </w:tcPr>
          <w:p w14:paraId="6C7340BB" w14:textId="77777777" w:rsidR="005D3DB2" w:rsidRDefault="00000000">
            <w:pPr>
              <w:pStyle w:val="Compact"/>
            </w:pPr>
            <w:r>
              <w:t>Không</w:t>
            </w:r>
          </w:p>
        </w:tc>
      </w:tr>
      <w:tr w:rsidR="005D3DB2" w14:paraId="56719B6F" w14:textId="77777777">
        <w:trPr>
          <w:cantSplit/>
        </w:trPr>
        <w:tc>
          <w:tcPr>
            <w:tcW w:w="0" w:type="auto"/>
          </w:tcPr>
          <w:p w14:paraId="0D2FF7BD" w14:textId="77777777" w:rsidR="005D3DB2" w:rsidRDefault="00000000">
            <w:pPr>
              <w:pStyle w:val="Compact"/>
            </w:pPr>
            <w:r>
              <w:t>9</w:t>
            </w:r>
          </w:p>
        </w:tc>
        <w:tc>
          <w:tcPr>
            <w:tcW w:w="0" w:type="auto"/>
          </w:tcPr>
          <w:p w14:paraId="043FD78B" w14:textId="77777777" w:rsidR="005D3DB2" w:rsidRDefault="00000000">
            <w:pPr>
              <w:pStyle w:val="Compact"/>
            </w:pPr>
            <w:r>
              <w:t>Sales-based real earnings management and the cost of debt: Evidence from five ASEAN markets</w:t>
            </w:r>
          </w:p>
        </w:tc>
        <w:tc>
          <w:tcPr>
            <w:tcW w:w="0" w:type="auto"/>
          </w:tcPr>
          <w:p w14:paraId="203CA6B8" w14:textId="77777777" w:rsidR="005D3DB2" w:rsidRDefault="00000000">
            <w:pPr>
              <w:pStyle w:val="Compact"/>
            </w:pPr>
            <w:r>
              <w:t>5</w:t>
            </w:r>
          </w:p>
        </w:tc>
        <w:tc>
          <w:tcPr>
            <w:tcW w:w="0" w:type="auto"/>
          </w:tcPr>
          <w:p w14:paraId="51D4B5A9" w14:textId="77777777" w:rsidR="005D3DB2" w:rsidRDefault="00000000">
            <w:pPr>
              <w:pStyle w:val="Compact"/>
            </w:pPr>
            <w:r>
              <w:t>Accounting Open; ISSN 3050-5461</w:t>
            </w:r>
          </w:p>
        </w:tc>
        <w:tc>
          <w:tcPr>
            <w:tcW w:w="0" w:type="auto"/>
          </w:tcPr>
          <w:p w14:paraId="684A05E9" w14:textId="77777777" w:rsidR="005D3DB2" w:rsidRDefault="00000000">
            <w:pPr>
              <w:pStyle w:val="Compact"/>
            </w:pPr>
            <w:r>
              <w:t>Ban biên tập đang xem xét (mã ACCOP-D-26-00232)</w:t>
            </w:r>
          </w:p>
        </w:tc>
        <w:tc>
          <w:tcPr>
            <w:tcW w:w="0" w:type="auto"/>
          </w:tcPr>
          <w:p w14:paraId="7AD19C99" w14:textId="77777777" w:rsidR="005D3DB2" w:rsidRDefault="00000000">
            <w:pPr>
              <w:pStyle w:val="Compact"/>
            </w:pPr>
            <w:r>
              <w:t>Không</w:t>
            </w:r>
          </w:p>
        </w:tc>
      </w:tr>
    </w:tbl>
    <w:p w14:paraId="5F64C2EB" w14:textId="77777777" w:rsidR="005D3DB2" w:rsidRDefault="00000000">
      <w:pPr>
        <w:pStyle w:val="SourceNote"/>
      </w:pPr>
      <w:r>
        <w:t xml:space="preserve">Ghi chú: Thí sinh là tác giả liên hệ của </w:t>
      </w:r>
      <w:r>
        <w:t xml:space="preserve">cả chín bản thảo</w:t>
      </w:r>
      <w:r>
        <w:t xml:space="preserve">.</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 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07/2026. Về ngoại ngữ, thí sinh có </w:t>
      </w:r>
      <w:r>
        <w:t xml:space="preserve">chứng chỉ tiếng Anh Bậc 4 (VSTEP, Vietnamese Standardized Test of English Proficiency)</w:t>
      </w:r>
      <w:r>
        <w:t xml:space="preserve">, điểm tổng 6,5, do Đại học Phenikaa cấp ngày 26/01/2026.</w:t>
      </w:r>
    </w:p>
    <w:p w14:paraId="72B18D1D" w14:textId="77777777" w:rsidR="005D3DB2" w:rsidRDefault="00000000">
      <w:pPr>
        <w:pStyle w:val="BodyText"/>
      </w:pPr>
      <w:r>
        <w:t xml:space="preserve">Thí sinh chuẩn bị cho đề tài qua các công việc nghiên cứu đã làm. Bài báo Nguyen và Nguyen (2026a) cho thí sinh kinh nghiệm với mô hình Black–Litterman, mô hình định giá tài sản vốn có chuyển chế độ và phương pháp tính toán Bayes xấp xỉ; đây là nền của mô hình M5. Bản thảo về điểm gãy cấu trúc của thanh khoản (bản thảo số 5 ở Bảng 7) cho thí sinh kinh nghiệm với độ phi thanh khoản Amihud và phương pháp Bai–Perron, hai công cụ của Chỉ số chất lượng thị trường vốn. Bản thảo về thanh khoản cổ phiếu quanh đợt nâng hạng thị trường của FTSE Russell (bản thảo số 7) cho thí sinh kinh nghiệm đo thanh khoản ở cấp cổ phiếu. Bản thảo về mô hình Black–Litterman nghịch đảo kết hợp học máy phân cụm (bản thảo số 1) giúp thí sinh làm quen với việc so sánh nhiều mô hình danh mục trên cùng dữ liệu. Luận án chuyển các công cụ này từ đánh giá mô hình sang đo chất lượng và khả năng đầu tư của một thị trường.</w:t>
      </w:r>
    </w:p>
    <w:p w14:paraId="207F8766" w14:textId="77777777" w:rsidR="005D3DB2" w:rsidRDefault="00000000">
      <w:pPr>
        <w:pStyle w:val="Heading1"/>
      </w:pPr>
      <w:bookmarkStart w:id="62" w:name="_Toc242353153"/>
      <w:bookmarkStart w:id="63" w:name="X49f21f7d9d867661168a79b1a8d1b70fdbb6a4d"/>
      <w:bookmarkEnd w:id="55"/>
      <w:bookmarkEnd w:id="61"/>
      <w:r>
        <w:t>9. Dự kiến việc làm và các hướng nghiên cứu sau khi tốt nghiệp</w:t>
      </w:r>
      <w:bookmarkEnd w:id="62"/>
    </w:p>
    <w:p w14:paraId="577A2341" w14:textId="77777777" w:rsidR="005D3DB2" w:rsidRDefault="00000000">
      <w:pPr>
        <w:pStyle w:val="FirstParagraph"/>
      </w:pPr>
      <w:r>
        <w:t xml:space="preserve">Sau khi tốt nghiệp, thí sinh dự kiến làm nghiên cứu và giảng dạy tài chính tại trường đại học hoặc viện nghiên cứu, hoặc làm việc ở bộ phận dữ liệu và phân tích thị trường của sở giao dịch, cơ quan quản lý hoặc tổ chức tài chính. Ở cả hai hướng, thí sinh có thể duy trì hai chỉ số của luận án cùng người dùng thực tế.</w:t>
      </w:r>
    </w:p>
    <w:p w14:paraId="03A74E3B" w14:textId="77777777" w:rsidR="005D3DB2" w:rsidRDefault="00000000">
      <w:pPr>
        <w:pStyle w:val="BodyText"/>
      </w:pPr>
      <w:r>
        <w:t xml:space="preserve">Về nghiên cứu, thí sinh dự kiến mở rộng đề tài theo ba hướng: mở rộng Chỉ số chất lượng thị trường vốn sang thị trường trái phiếu chính phủ và phái sinh do HNX vận hành; đánh giá thay đổi của hai chỉ số quanh các thay đổi chính sách thị trường; và so sánh thị trường vốn Hà Nội với các thành phố khác trong khu vực.</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 xml:space="preserve">Thí sinh đề xuất hai người hướng dẫn. Người hướng dẫn chính thuộc định hướng nghiên cứu </w:t>
      </w:r>
      <w:r>
        <w:t xml:space="preserve">“chính sách tài khóa, tài chính tiền tệ, phát triển thị trường tài chính, tái cấu trúc hệ thống ngân hàng, quản trị tài chính, quản trị ngân hàng”</w:t>
      </w:r>
      <w:r>
        <w:t xml:space="preserve"> trong danh mục của Nhà trường năm 2026; người hướng dẫn thứ hai là nhà khoa học ngoài Trường.</w:t>
      </w:r>
    </w:p>
    <w:p w14:paraId="3E69A737" w14:textId="77777777" w:rsidR="00F612F2" w:rsidRDefault="00F612F2" w:rsidP="00194512">
      <w:pPr>
        <w:pStyle w:val="FirstParagraph"/>
      </w:pPr>
      <w:r>
        <w:t xml:space="preserve">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w:t>
      </w:r>
      <w:r>
        <w:t xml:space="preserve">chất lượng thị trường vốn, biến động trong giai đoạn căng thẳng và quyết định danh mục ở một thị trường mới nổi</w:t>
      </w:r>
      <w:r>
        <w:t xml:space="preserve">.</w:t>
      </w:r>
    </w:p>
    <w:p w14:paraId="26F0D74C" w14:textId="29A52359" w:rsidR="00F612F2" w:rsidRPr="00F612F2" w:rsidRDefault="00F612F2" w:rsidP="00194512">
      <w:pPr>
        <w:pStyle w:val="FirstParagraph"/>
      </w:pPr>
      <w:r>
        <w:t xml:space="preserve">Người hướng dẫn thứ hai (dự kiến): PGS.TS. Hà Hồng Hạnh, Trường Đại học Kinh tế Quốc dân. Người hướng dẫn hỗ trợ </w:t>
      </w:r>
      <w:r>
        <w:t xml:space="preserve">phần hàm ý chính sách và quản trị của đề tài</w:t>
      </w:r>
      <w:r>
        <w:t xml:space="preserve">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14:paraId="6DB249FB" w14:textId="77777777" w:rsidR="005D3DB2" w:rsidRDefault="00000000">
      <w:pPr>
        <w:pStyle w:val="Reference"/>
      </w:pPr>
      <w:r>
        <w:t xml:space="preserve">Nguyễn Thanh Bình, Nguyễn Văn Trung (2026b), “Tiền gửi không kỳ hạn, hiệu quả hoạt động và ổn định tài chính ngân hàng: Bằng chứng từ mô hình ngưỡng tại Việt Nam”, </w:t>
      </w:r>
      <w:r>
        <w:rPr>
          <w:i/>
          <w:iCs/>
        </w:rPr>
        <w:t>Tạp chí Kinh tế - Luật và Ngân hàng</w:t>
      </w:r>
      <w:r>
        <w:t>, 28(9), tr. 52–64, DOI: 10.59276/3030-4199/jelb.bav.895.</w:t>
      </w:r>
    </w:p>
    <w:p>
      <w:pPr>
        <w:pStyle w:val="Reference"/>
      </w:pPr>
      <w:r>
        <w:t xml:space="preserve">Ủy ban nhân dân thành phố Hà Nội (2026), </w:t>
      </w:r>
      <w:r>
        <w:rPr>
          <w:i/>
          <w:iCs/>
        </w:rPr>
        <w:t xml:space="preserve">Quyết định số 1193/QĐ-UBND ngày 18/03/2026 công bố Danh mục các bài toán lớn của thành phố Hà Nội giai đoạn 2026–2030 (đợt 1)</w:t>
      </w:r>
      <w:r>
        <w:t xml:space="preserve">, Hà Nội [CẦN ĐỐI CHIẾU bản chính thức].</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Journal of Financial Markets</w:t>
      </w:r>
      <w:r>
        <w:t>, 5(1), pp. 31–56.</w:t>
      </w:r>
    </w:p>
    <w:p w14:paraId="63C4F7D7" w14:textId="77777777" w:rsidR="005D3DB2" w:rsidRDefault="00000000">
      <w:pPr>
        <w:pStyle w:val="Reference"/>
      </w:pPr>
      <w:r>
        <w:t xml:space="preserve">Bai, J., Perron, P. (1998), “Estimating and testing linear models with multiple structural changes”, </w:t>
      </w:r>
      <w:r>
        <w:rPr>
          <w:i/>
          <w:iCs/>
        </w:rPr>
        <w:t>Econometrica</w:t>
      </w:r>
      <w:r>
        <w:t>, 66(1), pp. 47–78.</w:t>
      </w:r>
    </w:p>
    <w:p w14:paraId="1664E4ED" w14:textId="77777777" w:rsidR="005D3DB2" w:rsidRDefault="00000000">
      <w:pPr>
        <w:pStyle w:val="Reference"/>
      </w:pPr>
      <w:r>
        <w:t xml:space="preserve">Bailey, D. H., López de Prado, M. (2014), “The deflated Sharpe ratio: Correcting for selection bias, backtest overfitting and non-normality”, </w:t>
      </w:r>
      <w:r>
        <w:rPr>
          <w:i/>
          <w:iCs/>
        </w:rPr>
        <w:t>Journal of Portfolio Management</w:t>
      </w:r>
      <w:r>
        <w:t>, 40(5), pp. 94–107.</w:t>
      </w:r>
    </w:p>
    <w:p>
      <w:pPr>
        <w:pStyle w:val="Reference"/>
      </w:pPr>
      <w:r>
        <w:t xml:space="preserve">Báo Điện tử Chính phủ (2025), “Ho Chi Minh City jumps 7 places in Global Financial Centers Index”, ngày 22/03/2025, https://en.baochinhphu.vn/ho-chi-minh-city-jumps-7-places-in-global-financial-centers-index-111250322155541644.htm.</w:t>
      </w:r>
    </w:p>
    <w:p w14:paraId="50DA7DE5" w14:textId="77777777" w:rsidR="005D3DB2" w:rsidRDefault="00000000">
      <w:pPr>
        <w:pStyle w:val="Reference"/>
      </w:pPr>
      <w:r>
        <w:t xml:space="preserve">Bessler, W., Opfer, H., Wolff, D. (2017), “Multi-asset portfolio optimization and out-of-sample performance: An evaluation of Black-Litterman, mean-variance, and naïve diversification approaches”, </w:t>
      </w:r>
      <w:r>
        <w:rPr>
          <w:i/>
          <w:iCs/>
        </w:rPr>
        <w:t>European Journal of Finance</w:t>
      </w:r>
      <w:r>
        <w:t>, 23(1), pp. 1–30.</w:t>
      </w:r>
    </w:p>
    <w:p w14:paraId="691C8D36" w14:textId="77777777" w:rsidR="005D3DB2" w:rsidRDefault="00000000">
      <w:pPr>
        <w:pStyle w:val="Reference"/>
      </w:pPr>
      <w:r>
        <w:t xml:space="preserve">Black, F., Litterman, R. (1992), “Global portfolio optimization”, </w:t>
      </w:r>
      <w:r>
        <w:rPr>
          <w:i/>
          <w:iCs/>
        </w:rPr>
        <w:t>Financial Analysts Journal</w:t>
      </w:r>
      <w:r>
        <w:t>, 48(5), pp. 28–43.</w:t>
      </w:r>
    </w:p>
    <w:p>
      <w:pPr>
        <w:pStyle w:val="Reference"/>
      </w:pPr>
      <w:r>
        <w:t xml:space="preserve">Cetorelli, N., Peristiani, S. (2013), “Prestigious stock exchanges: A network analysis of international financial centers”, </w:t>
      </w:r>
      <w:r>
        <w:rPr>
          <w:i/>
          <w:iCs/>
        </w:rPr>
        <w:t xml:space="preserve">Journal of Banking &amp; Finance</w:t>
      </w:r>
      <w:r>
        <w:t xml:space="preserve">, 37(5), pp. 1543–1551.</w:t>
      </w:r>
    </w:p>
    <w:p>
      <w:pPr>
        <w:pStyle w:val="Reference"/>
      </w:pPr>
      <w:r>
        <w:t xml:space="preserve">Čihák, M., Demirgüç-Kunt, A., Feyen, E., Levine, R. (2012), “Benchmarking financial systems around the world”, </w:t>
      </w:r>
      <w:r>
        <w:rPr>
          <w:i/>
          <w:iCs/>
        </w:rPr>
        <w:t xml:space="preserve">Policy Research Working Paper</w:t>
      </w:r>
      <w:r>
        <w:t xml:space="preserve"> 6175, World Bank, Washington, DC.</w:t>
      </w:r>
    </w:p>
    <w:p>
      <w:pPr>
        <w:pStyle w:val="Reference"/>
      </w:pPr>
      <w:r>
        <w:t xml:space="preserve">Corwin, S. A., Schultz, P. (2012), “A simple way to estimate bid-ask spreads from daily high and low prices”, </w:t>
      </w:r>
      <w:r>
        <w:rPr>
          <w:i/>
          <w:iCs/>
        </w:rPr>
        <w:t xml:space="preserve">Journal of Finance</w:t>
      </w:r>
      <w:r>
        <w:t xml:space="preserve">, 67(2), pp. 719–760.</w:t>
      </w:r>
    </w:p>
    <w:p w14:paraId="6BACEDDA" w14:textId="77777777" w:rsidR="005D3DB2" w:rsidRDefault="00000000">
      <w:pPr>
        <w:pStyle w:val="Reference"/>
      </w:pPr>
      <w:r>
        <w:t xml:space="preserve">Dao, V. H., Nguyen, T. M. H., Vu, T. D. (2021), “The impact of COVID-19 on stock market returns in Vietnam”, </w:t>
      </w:r>
      <w:r>
        <w:rPr>
          <w:i/>
          <w:iCs/>
        </w:rPr>
        <w:t>Journal of Risk and Financial Management</w:t>
      </w:r>
      <w:r>
        <w:t>, 14(9), Article 441, DOI: 10.3390/jrfm14090441.</w:t>
      </w:r>
    </w:p>
    <w:p w14:paraId="642DAD51" w14:textId="77777777" w:rsidR="005D3DB2" w:rsidRDefault="00000000">
      <w:pPr>
        <w:pStyle w:val="Reference"/>
      </w:pPr>
      <w:r>
        <w:t xml:space="preserve">DeMiguel, V., Garlappi, L., Uppal, R. (2009), “Optimal versus naive diversification: How inefficient is the 1/N portfolio strategy?”, </w:t>
      </w:r>
      <w:r>
        <w:rPr>
          <w:i/>
          <w:iCs/>
        </w:rPr>
        <w:t>Review of Financial Studies</w:t>
      </w:r>
      <w:r>
        <w:t>, 22(5), pp. 1915–1953.</w:t>
      </w:r>
    </w:p>
    <w:p w14:paraId="2B09AD08" w14:textId="77777777" w:rsidR="005D3DB2" w:rsidRDefault="00000000">
      <w:pPr>
        <w:pStyle w:val="Reference"/>
      </w:pPr>
      <w:r>
        <w:t xml:space="preserve">Garlappi, L., Uppal, R., Wang, T. (2007), “Portfolio selection with parameter and model uncertainty: A multi-prior approach”, </w:t>
      </w:r>
      <w:r>
        <w:rPr>
          <w:i/>
          <w:iCs/>
        </w:rPr>
        <w:t>Review of Financial Studies</w:t>
      </w:r>
      <w:r>
        <w:t>, 20(1), pp. 41–81.</w:t>
      </w:r>
    </w:p>
    <w:p w14:paraId="06E207A0" w14:textId="77777777" w:rsidR="005D3DB2" w:rsidRDefault="00000000">
      <w:pPr>
        <w:pStyle w:val="Reference"/>
      </w:pPr>
      <w:r>
        <w:t xml:space="preserve">Goutte, S., Le, H.-V., Liu, F., von Mettenheim, H.-J. (2025), “MCDA strategies for portfolio optimization: A case study on Vietnamese stock market dynamics”, </w:t>
      </w:r>
      <w:r>
        <w:rPr>
          <w:i/>
          <w:iCs/>
        </w:rPr>
        <w:t>Annals of Operations Research</w:t>
      </w:r>
      <w:r>
        <w:t>, 353(1), pp. 321–351.</w:t>
      </w:r>
    </w:p>
    <w:p w14:paraId="6685779C" w14:textId="77777777" w:rsidR="005D3DB2" w:rsidRDefault="00000000">
      <w:pPr>
        <w:pStyle w:val="Reference"/>
      </w:pPr>
      <w:r>
        <w:t xml:space="preserve">Hamilton, J. D. (1989), “A new approach to the economic analysis of nonstationary time series and the business cycle”, </w:t>
      </w:r>
      <w:r>
        <w:rPr>
          <w:i/>
          <w:iCs/>
        </w:rPr>
        <w:t>Econometrica</w:t>
      </w:r>
      <w:r>
        <w:t>, 57(2), pp. 357–384.</w:t>
      </w:r>
    </w:p>
    <w:p w14:paraId="657A6141" w14:textId="77777777" w:rsidR="005D3DB2" w:rsidRDefault="00000000">
      <w:pPr>
        <w:pStyle w:val="Reference"/>
      </w:pPr>
      <w:r>
        <w:t>Hoang, V.-M. D., Luu, D. T. (2024), “Modelling volatility dynamics and identifying regime switching in a frontier stock market: The case of Vietnam”, SSRN Working Paper No. 4867203, đăng 25/06/2024, sửa 17/09/2025.</w:t>
      </w:r>
    </w:p>
    <w:p w14:paraId="35DFD03D" w14:textId="77777777" w:rsidR="005D3DB2" w:rsidRDefault="00000000">
      <w:pPr>
        <w:pStyle w:val="Reference"/>
      </w:pPr>
      <w:r>
        <w:t xml:space="preserve">Holm, S. (1979), “A simple sequentially rejective multiple test procedure”, </w:t>
      </w:r>
      <w:r>
        <w:rPr>
          <w:i/>
          <w:iCs/>
        </w:rPr>
        <w:t>Scandinavian Journal of Statistics</w:t>
      </w:r>
      <w:r>
        <w:t>, 6(2), pp. 65–70.</w:t>
      </w:r>
    </w:p>
    <w:p>
      <w:pPr>
        <w:pStyle w:val="Reference"/>
      </w:pPr>
      <w:r>
        <w:t xml:space="preserve">Hou, K., Moskowitz, T. J. (2005), “Market frictions, price delay, and the cross-section of expected returns”, </w:t>
      </w:r>
      <w:r>
        <w:rPr>
          <w:i/>
          <w:iCs/>
        </w:rPr>
        <w:t xml:space="preserve">Review of Financial Studies</w:t>
      </w:r>
      <w:r>
        <w:t xml:space="preserve">, 18(3), pp. 981–1020.</w:t>
      </w:r>
    </w:p>
    <w:p w14:paraId="6644927E" w14:textId="77777777" w:rsidR="005D3DB2" w:rsidRDefault="00000000">
      <w:pPr>
        <w:pStyle w:val="Reference"/>
      </w:pPr>
      <w:r>
        <w:t xml:space="preserve">International Monetary Fund (2023), </w:t>
      </w:r>
      <w:r>
        <w:rPr>
          <w:i/>
          <w:iCs/>
        </w:rPr>
        <w:t>Vietnam: 2023 Article IV Consultation</w:t>
      </w:r>
      <w:r>
        <w:t>, IMF Country Report No. 23/338, Washington, DC, https://www.elibrary.imf.org/view/journals/002/2023/338/article-A001-en.xml (truy cập 30/09/2026).</w:t>
      </w:r>
    </w:p>
    <w:p w14:paraId="08FEDC51" w14:textId="77777777" w:rsidR="005D3DB2" w:rsidRDefault="00000000">
      <w:pPr>
        <w:pStyle w:val="Reference"/>
      </w:pPr>
      <w:r>
        <w:t xml:space="preserve">Kan, R., Zhou, G. (2007), “Optimal portfolio choice with parameter uncertainty”, </w:t>
      </w:r>
      <w:r>
        <w:rPr>
          <w:i/>
          <w:iCs/>
        </w:rPr>
        <w:t>Journal of Financial and Quantitative Analysis</w:t>
      </w:r>
      <w:r>
        <w:t>, 42(3), pp. 621–656.</w:t>
      </w:r>
    </w:p>
    <w:p>
      <w:pPr>
        <w:pStyle w:val="Reference"/>
      </w:pPr>
      <w:r>
        <w:t xml:space="preserve">Kaufmann, D., Kraay, A., Mastruzzi, M. (2011), “The Worldwide Governance Indicators: Methodology and analytical issues”, </w:t>
      </w:r>
      <w:r>
        <w:rPr>
          <w:i/>
          <w:iCs/>
        </w:rPr>
        <w:t xml:space="preserve">Hague Journal on the Rule of Law</w:t>
      </w:r>
      <w:r>
        <w:t xml:space="preserve">, 3(2), pp. 220–246.</w:t>
      </w:r>
    </w:p>
    <w:p w14:paraId="012396B6" w14:textId="77777777" w:rsidR="005D3DB2" w:rsidRDefault="00000000">
      <w:pPr>
        <w:pStyle w:val="Reference"/>
      </w:pPr>
      <w:r>
        <w:t xml:space="preserve">Kritzman, M., Page, S., Turkington, D. (2012), “Regime shifts: Implications for dynamic strategies”, </w:t>
      </w:r>
      <w:r>
        <w:rPr>
          <w:i/>
          <w:iCs/>
        </w:rPr>
        <w:t>Financial Analysts Journal</w:t>
      </w:r>
      <w:r>
        <w:t>, 68(3), pp. 22–39.</w:t>
      </w:r>
    </w:p>
    <w:p w14:paraId="4D598348" w14:textId="77777777" w:rsidR="005D3DB2" w:rsidRDefault="00000000">
      <w:pPr>
        <w:pStyle w:val="Reference"/>
      </w:pPr>
      <w:r>
        <w:t xml:space="preserve">Laeven, L., Valencia, F. (2020), “Systemic banking crises database II”, </w:t>
      </w:r>
      <w:r>
        <w:rPr>
          <w:i/>
          <w:iCs/>
        </w:rPr>
        <w:t>IMF Economic Review</w:t>
      </w:r>
      <w:r>
        <w:t>, 68(2), pp. 307–361.</w:t>
      </w:r>
    </w:p>
    <w:p>
      <w:pPr>
        <w:pStyle w:val="Reference"/>
      </w:pPr>
      <w:r>
        <w:t xml:space="preserve">Lang, M., Lins, K. V., Maffett, M. (2012), “Transparency, liquidity, and valuation: International evidence on when transparency matters most”, </w:t>
      </w:r>
      <w:r>
        <w:rPr>
          <w:i/>
          <w:iCs/>
        </w:rPr>
        <w:t xml:space="preserve">Journal of Accounting Research</w:t>
      </w:r>
      <w:r>
        <w:t xml:space="preserve">, 50(3), pp. 729–774.</w:t>
      </w:r>
    </w:p>
    <w:p w14:paraId="7E0E3FB7" w14:textId="77777777" w:rsidR="005D3DB2" w:rsidRDefault="00000000">
      <w:pPr>
        <w:pStyle w:val="Reference"/>
      </w:pPr>
      <w:r>
        <w:t xml:space="preserve">Ledoit, O., Wolf, M. (2004), “A well-conditioned estimator for large-dimensional covariance matrices”, </w:t>
      </w:r>
      <w:r>
        <w:rPr>
          <w:i/>
          <w:iCs/>
        </w:rPr>
        <w:t>Journal of Multivariate Analysis</w:t>
      </w:r>
      <w:r>
        <w:t>, 88(2), pp. 365–411.</w:t>
      </w:r>
    </w:p>
    <w:p w14:paraId="03AF3DA1" w14:textId="77777777" w:rsidR="005D3DB2" w:rsidRDefault="00000000">
      <w:pPr>
        <w:pStyle w:val="Reference"/>
      </w:pPr>
      <w:r>
        <w:t xml:space="preserve">Ledoit, O., Wolf, M. (2008), “Robust performance hypothesis testing with the Sharpe ratio”, </w:t>
      </w:r>
      <w:r>
        <w:rPr>
          <w:i/>
          <w:iCs/>
        </w:rPr>
        <w:t>Journal of Empirical Finance</w:t>
      </w:r>
      <w:r>
        <w:t>, 15(5), pp. 850–859.</w:t>
      </w:r>
    </w:p>
    <w:p>
      <w:pPr>
        <w:pStyle w:val="Reference"/>
      </w:pPr>
      <w:r>
        <w:t xml:space="preserve">Lesmond, D. A., Ogden, J. P., Trzcinka, C. A. (1999), “A new estimate of transaction costs”, </w:t>
      </w:r>
      <w:r>
        <w:rPr>
          <w:i/>
          <w:iCs/>
        </w:rPr>
        <w:t xml:space="preserve">Review of Financial Studies</w:t>
      </w:r>
      <w:r>
        <w:t xml:space="preserve">, 12(5), pp. 1113–1141.</w:t>
      </w:r>
    </w:p>
    <w:p>
      <w:pPr>
        <w:pStyle w:val="Reference"/>
      </w:pPr>
      <w:r>
        <w:t xml:space="preserve">Lo, A. W., MacKinlay, A. C. (1988), “Stock market prices do not follow random walks: Evidence from a simple specification test”, </w:t>
      </w:r>
      <w:r>
        <w:rPr>
          <w:i/>
          <w:iCs/>
        </w:rPr>
        <w:t xml:space="preserve">Review of Financial Studies</w:t>
      </w:r>
      <w:r>
        <w:t xml:space="preserve">, 1(1), pp. 41–66.</w:t>
      </w:r>
    </w:p>
    <w:p w14:paraId="25400127" w14:textId="77777777" w:rsidR="005D3DB2" w:rsidRDefault="00000000">
      <w:pPr>
        <w:pStyle w:val="Reference"/>
      </w:pPr>
      <w:r>
        <w:t xml:space="preserve">Markowitz, H. (1952), “Portfolio selection”, </w:t>
      </w:r>
      <w:r>
        <w:rPr>
          <w:i/>
          <w:iCs/>
        </w:rPr>
        <w:t>Journal of Finance</w:t>
      </w:r>
      <w:r>
        <w:t>, 7(1), pp. 77–91.</w:t>
      </w:r>
    </w:p>
    <w:p w14:paraId="237905A5" w14:textId="77777777" w:rsidR="005D3DB2" w:rsidRDefault="00000000">
      <w:pPr>
        <w:pStyle w:val="Reference"/>
      </w:pPr>
      <w:r>
        <w:t xml:space="preserve">Michaud, R. O. (1989), “The Markowitz optimization enigma: Is ‘optimized’ optimal?”, </w:t>
      </w:r>
      <w:r>
        <w:rPr>
          <w:i/>
          <w:iCs/>
        </w:rPr>
        <w:t>Financial Analysts Journal</w:t>
      </w:r>
      <w:r>
        <w:t>, 45(1), pp. 31–42.</w:t>
      </w:r>
    </w:p>
    <w:p>
      <w:pPr>
        <w:pStyle w:val="Reference"/>
      </w:pPr>
      <w:r>
        <w:t xml:space="preserve">Naeem, M. M. F. (2023), </w:t>
      </w:r>
      <w:r>
        <w:rPr>
          <w:i/>
          <w:iCs/>
        </w:rPr>
        <w:t xml:space="preserve">What makes an International Financial Centre (IFC) Competitive?</w:t>
      </w:r>
      <w:r>
        <w:t xml:space="preserve">, Luận án tiến sĩ, Durham University, https://etheses.durham.ac.uk/id/eprint/15102/.</w:t>
      </w:r>
    </w:p>
    <w:p w14:paraId="74DA4190" w14:textId="77777777" w:rsidR="005D3DB2" w:rsidRDefault="00000000">
      <w:pPr>
        <w:pStyle w:val="Reference"/>
      </w:pPr>
      <w:r>
        <w:t xml:space="preserve">Nguyen, N., Nguyen, T., Tran, T., Mai, A. (2020), “Shrinkage model selection for portfolio optimization on Vietnam stock market”, </w:t>
      </w:r>
      <w:r>
        <w:rPr>
          <w:i/>
          <w:iCs/>
        </w:rPr>
        <w:t>Journal of Asian Finance, Economics and Business</w:t>
      </w:r>
      <w:r>
        <w:t>, 7(9), pp. 135–145.</w:t>
      </w:r>
    </w:p>
    <w:p w14:paraId="74121B1C" w14:textId="77777777" w:rsidR="005D3DB2" w:rsidRDefault="00000000">
      <w:pPr>
        <w:pStyle w:val="Reference"/>
      </w:pPr>
      <w:r>
        <w:t xml:space="preserve">Nguyen, T. B., Nguyen, V. T. (2026a), “Black-Litterman portfolio optimization using regime switching CAPM and ABC-MCMC: Empirical evidence from the Vietnamese stock market period 2019 - 2025”, </w:t>
      </w:r>
      <w:r>
        <w:rPr>
          <w:i/>
          <w:iCs/>
        </w:rPr>
        <w:t>Tạp chí Nghiên cứu Chính sách và Phát triển (Journal of Policy and Development Research)</w:t>
      </w:r>
      <w:r>
        <w:t>, 3(1), pp. 81–99, DOI: 10.63640/3030-4091/jpd.apd.194.</w:t>
      </w:r>
    </w:p>
    <w:p>
      <w:pPr>
        <w:pStyle w:val="Reference"/>
      </w:pPr>
      <w:r>
        <w:t xml:space="preserve">OECD (2008), </w:t>
      </w:r>
      <w:r>
        <w:rPr>
          <w:i/>
          <w:iCs/>
        </w:rPr>
        <w:t xml:space="preserve">Handbook on Constructing Composite Indicators: Methodology and User Guide</w:t>
      </w:r>
      <w:r>
        <w:t xml:space="preserve">, OECD Publishing, Paris.</w:t>
      </w:r>
    </w:p>
    <w:p w14:paraId="75A6ED4A" w14:textId="77777777" w:rsidR="005D3DB2" w:rsidRDefault="00000000">
      <w:pPr>
        <w:pStyle w:val="Reference"/>
      </w:pPr>
      <w:r>
        <w:t xml:space="preserve">Pflug, G. C., Pichler, A., Wozabal, D. (2012), “The 1/N investment strategy is optimal under high model ambiguity”, </w:t>
      </w:r>
      <w:r>
        <w:rPr>
          <w:i/>
          <w:iCs/>
        </w:rPr>
        <w:t>Journal of Banking &amp; Finance</w:t>
      </w:r>
      <w:r>
        <w:t>, 36(2), pp. 410–417.</w:t>
      </w:r>
    </w:p>
    <w:p w14:paraId="1FEA3449" w14:textId="77777777" w:rsidR="005D3DB2" w:rsidRDefault="00000000">
      <w:pPr>
        <w:pStyle w:val="Reference"/>
      </w:pPr>
      <w:r>
        <w:t xml:space="preserve">Politis, D. N., Romano, J. P. (1994), “The stationary bootstrap”, </w:t>
      </w:r>
      <w:r>
        <w:rPr>
          <w:i/>
          <w:iCs/>
        </w:rPr>
        <w:t>Journal of the American Statistical Association</w:t>
      </w:r>
      <w:r>
        <w:t>, 89(428), pp. 1303–1313.</w:t>
      </w:r>
    </w:p>
    <w:p w14:paraId="380895E5" w14:textId="77777777" w:rsidR="005D3DB2" w:rsidRDefault="00000000">
      <w:pPr>
        <w:pStyle w:val="Reference"/>
      </w:pPr>
      <w:r>
        <w:t xml:space="preserve">Reinhart, C. M., Rogoff, K. S. (2009), </w:t>
      </w:r>
      <w:r>
        <w:rPr>
          <w:i/>
          <w:iCs/>
        </w:rPr>
        <w:t>This Time Is Different: Eight Centuries of Financial Folly</w:t>
      </w:r>
      <w:r>
        <w:t>, Princeton University Press, Princeton.</w:t>
      </w:r>
    </w:p>
    <w:p w14:paraId="3C6B5147" w14:textId="77777777" w:rsidR="005D3DB2" w:rsidRDefault="00000000">
      <w:pPr>
        <w:pStyle w:val="Reference"/>
      </w:pPr>
      <w:r>
        <w:t xml:space="preserve">Ta, B. Q., Vuong, T. (2020), “The Black-Litterman model for portfolio optimization on Vietnam stock market”, </w:t>
      </w:r>
      <w:r>
        <w:rPr>
          <w:i/>
          <w:iCs/>
        </w:rPr>
        <w:t>International Journal of Uncertainty, Fuzziness and Knowledge-Based Systems</w:t>
      </w:r>
      <w:r>
        <w:t>, 28(Supp01), pp. 99–111.</w:t>
      </w:r>
    </w:p>
    <w:p>
      <w:pPr>
        <w:pStyle w:val="Reference"/>
      </w:pPr>
      <w:r>
        <w:t xml:space="preserve">Tuổi Trẻ (2025), “Ho Chi Minh City surpasses Bangkok in Global Financial Centre rankings”, ngày 30/09/2025, https://news.tuoitre.vn/ho-chi-minh-city-surpasses-bangkok-in-global-financial-centre-rankings-103250930123941768.htm.</w:t>
      </w:r>
    </w:p>
    <w:p w14:paraId="34825CEE" w14:textId="77777777" w:rsidR="005D3DB2" w:rsidRDefault="00000000">
      <w:pPr>
        <w:pStyle w:val="Reference"/>
      </w:pPr>
      <w:r>
        <w:t xml:space="preserve">Vo, X. V., Phan, D. B. A. (2017), “Further evidence on the herd behavior in Vietnam stock market”, </w:t>
      </w:r>
      <w:r>
        <w:rPr>
          <w:i/>
          <w:iCs/>
        </w:rPr>
        <w:t>Journal of Behavioral and Experimental Finance</w:t>
      </w:r>
      <w:r>
        <w:t>, 13, pp. 33–41.</w:t>
      </w:r>
    </w:p>
    <w:p w14:paraId="0833EDC2" w14:textId="77777777" w:rsidR="005D3DB2" w:rsidRDefault="00000000">
      <w:pPr>
        <w:pStyle w:val="Reference"/>
      </w:pPr>
      <w:r>
        <w:t xml:space="preserve">Vu, T. L., Luong, N. H., Nguyen, P. N. (2024), “Stock crash and how it spreads over the Vietnamese stock market”, </w:t>
      </w:r>
      <w:r>
        <w:rPr>
          <w:i/>
          <w:iCs/>
        </w:rPr>
        <w:t>VNU Journal of Economics and Business</w:t>
      </w:r>
      <w:r>
        <w:t>, 4(3), pp. 107–116, DOI: 10.57110/vnu-jeb.v4i3.339.</w:t>
      </w:r>
    </w:p>
    <w:p>
      <w:pPr>
        <w:pStyle w:val="Reference"/>
      </w:pPr>
      <w:r>
        <w:t xml:space="preserve">Yao, J.-M. (2012), </w:t>
      </w:r>
      <w:r>
        <w:rPr>
          <w:i/>
          <w:iCs/>
        </w:rPr>
        <w:t xml:space="preserve">Compétitivité et attractivité des places financières internationales: Application à l’industrie des fonds d’investissement au Luxembourg</w:t>
      </w:r>
      <w:r>
        <w:t xml:space="preserve">, Luận án tiến sĩ Kinh tế học, Université de Strasbourg, Strasbourg.</w:t>
      </w:r>
    </w:p>
    <w:p w14:paraId="4B34D00B" w14:textId="77777777" w:rsidR="005D3DB2" w:rsidRDefault="005D3DB2">
      <w:pPr>
        <w:spacing w:after="240"/>
        <w:jc w:val="center"/>
      </w:pPr>
    </w:p>
    <w:p w14:paraId="441E020C" w14:textId="77777777" w:rsidR="005D3DB2" w:rsidRDefault="00000000">
      <w:pPr>
        <w:spacing w:after="60"/>
        <w:jc w:val="right"/>
      </w:pPr>
      <w:r>
        <w:rPr>
          <w:i/>
          <w:iCs/>
        </w:rPr>
        <w:t>Hà Nội, ngày 30 tháng 9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85" w:type="dxa"/>
        <w:bottom w:w="28" w:type="dxa"/>
        <w:right w:w="85" w:type="dxa"/>
      </w:tblCellMar>
    </w:tblPr>
    <w:tblStylePr w:type="firstRow">
      <w:rPr>
        <w:b/>
        <w:bCs/>
      </w:r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Điểm GFCI, dữ liệu Ngân hàng Thế giới</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Giá, khối lượng, công bố của HNX, UPCoM, HOSE</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Bằng chứng quốc tế</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Hồi quy dữ liệu bảng điểm GFCI</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Kiểm định H1</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Chỉ số chất lượng thị trường</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Thanh khoản, hiệu quả, minh bạch, độ sâu</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HNX so với HOSE: H2</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Chỉ số khả năng đầu tư</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Bảy mô hình trên rổ HNX và HOSE: H3</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Phân rã theo kênh bằng đối sánh: H4</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Hàm ý cho Hà Nội</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Thứ tự ưu tiên cải thiện</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Đề xuất chính sách, hạ tầng dữ liệu</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Điểm GFCI, dữ liệu Ngân hàng Thế giới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Giá, khối lượng, công bố của HNX, UPCoM, HOSE</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Hồi quy dữ liệu bảng điểm GFCI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Kiểm định H1</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Bằng chứng quốc tế</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Thanh khoản, hiệu quả, minh bạch, độ sâu</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HNX so với HOSE: H2</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Chỉ số chất lượng thị trường</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Bảy mô hình trên rổ HNX và HOSE: H3</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Phân rã theo kênh bằng đối sánh: H4</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Chỉ số khả năng đầu tư</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Thứ tự ưu tiên cải thiện</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Đề xuất chính sách, hạ tầng dữ liệu</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Hàm ý cho Hà Nội</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