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TRUNG TÂM TÀI CHÍNH HÀ NỘI: CHẤT LƯỢNG THỊ TRƯỜNG VÀ KHẢ NĂNG ĐẦU TƯ QUANH VIỆC CHUYỂN CỔ PHIẾU HNX SANG HOSE</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w:t>
      </w:r>
      <w:r>
        <w:rPr>
          <w:b/>
          <w:bCs/>
        </w:rPr>
        <w:t xml:space="preserve">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w:t>
      </w:r>
      <w:r>
        <w:t xml:space="preserve">Hợp nhất sàn chứng khoán và trung tâm tài chính Hà Nội: Chất lượng thị trường và khả năng đầu tư quanh việc chuyển cổ phiếu HNX sang HOSE</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w:t>
        </w:r>
        <w:r>
          <w:rPr>
            <w:rStyle w:val="Hyperlink"/>
            <w:noProof/>
          </w:rPr>
          <w:t xml:space="preserve">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w:t>
        </w:r>
        <w:r>
          <w:rPr>
            <w:rStyle w:val="Hyperlink"/>
            <w:noProof/>
          </w:rPr>
          <w:t xml:space="preserve">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w:t>
        </w:r>
        <w:r>
          <w:rPr>
            <w:rStyle w:val="Hyperlink"/>
            <w:noProof/>
          </w:rPr>
          <w:t xml:space="preserve">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w:t>
        </w:r>
        <w:r>
          <w:rPr>
            <w:rStyle w:val="Hyperlink"/>
            <w:noProof/>
          </w:rPr>
          <w:t xml:space="preserve">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w:t>
        </w:r>
        <w:r>
          <w:rPr>
            <w:rStyle w:val="Hyperlink"/>
            <w:noProof/>
          </w:rPr>
          <w:t xml:space="preserve">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w:t>
        </w:r>
        <w:r>
          <w:rPr>
            <w:rStyle w:val="Hyperlink"/>
            <w:noProof/>
          </w:rPr>
          <w:t xml:space="preserve">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w:t>
        </w:r>
        <w:r>
          <w:rPr>
            <w:rStyle w:val="Hyperlink"/>
            <w:noProof/>
          </w:rPr>
          <w:t xml:space="preserve">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đặt mục tiêu trở thành trung tâm tài chính và dịch vụ chất lượng cao quốc tế. Thành phố đưa mục tiêu này vào Danh mục bài toán lớn giai đoạn 2026–2030 dưới dạng bài toán số 19: “Phương thức nào để xây dựng Hà Nội thành trung tâm tài chính và dịch vụ chất lượng cao quốc tế?” (Ủy ban nhân dân thành phố Hà Nội, 2026) [CẦN ĐỐI CHIẾU bản chính thức]. Trong các câu hỏi khoa học công nghệ chính của bài toán, câu hỏi thứ nhất hỏi mô hình trung tâm tài chính nào phù hợp với Hà Nội, và câu hỏi thứ ba hỏi nền tảng nào tăng cường minh bạch và hiệu quả của thị trường tài chính. Đề tài không đề xuất mô hình hay nền tảng công nghệ. Đề tài cung cấp thước đo nền cho hai câu hỏi này: chất lượng thị trường vốn của Hà Nội thay đổi thế nào khi cấu trúc sàn giao dịch thay đổi.</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của Chỉ số Trung tâm Tài chính Toàn cầu (GFCI) như Naeem (2023). Chất lượng thị trường vốn gồm ba chiều: thanh khoản, hiệu quả thông tin và minh bạch công bố. Khả năng đầu tư của một sàn là lợi suất tương đương chắc chắn sau chi phí giao dịch mà nhà đầu tư đa dạng hóa đạt được khi chỉ dùng rổ cổ phiếu thanh khoản nhất của sàn đó. Khái niệm này khác với khả năng đầu tư theo nghĩa giới hạn sở hữu của nhà đầu tư nước ngoài (Bae và cộng sự, 2004); đề tài xét nhà đầu tư không bị giới hạn sở hữu. Hợp nhất sàn là việc chuyển toàn bộ cổ phiếu niêm yết từ Sở Giao dịch Chứng khoán Hà Nội (HNX) sang Sở Giao dịch Chứng khoán Thành phố Hồ Chí Minh (HOSE).</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với 692 điểm, còn Đà Nẵng lần đầu vào chỉ số ở vị trí 71 (VietnamPlus, 2026a; 2026b) [CẦN ĐỐI CHIẾU báo cáo gốc]; thí sinh chưa thấy Hà Nội trong bảng xếp hạng. Theo Thông tư số 139/2025/TT-BTC và lịch do Sở Giao dịch Chứng khoán Việt Nam công bố ngày 30/9/2026, toàn bộ cổ phiếu niêm yết tại HNX giao dịch phiên cuối ngày 23/12/2026 và chuyển sang HOSE từ ngày 28/12/2026 (Bộ Tài chính, 2025; Thời báo Tài chính Việt Nam, 2026) [CẦN ĐỐI CHIẾU văn bản gốc]. Từ đó HNX tập trung vào trái phiếu, chứng khoán phái sinh và thị trường giao dịch cổ phiếu của công ty đại chúng chưa niêm yết (UPCoM). Hà Nội vì vậy mất mảng cổ phiếu niêm yết đúng lúc thành phố cần xác định vai trò của mình trong hệ thống trung tâm tài chính.</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 Cặp Hà Nội và Thành phố Hồ Chí Minh có cấu trúc tương tự cặp Bắc Kinh và Thượng Hải, nên câu hỏi chuyên môn hóa (Yao, 2012) đặt ra trực tiếp cho Hà Nội sau đợt hợp nhất sàn.</w:t>
      </w:r>
    </w:p>
    <w:p>
      <w:pPr>
        <w:pStyle w:val="BodyText"/>
      </w:pPr>
      <w:r>
        <w:t xml:space="preserve">Bằng chứng quốc tế cho thấy sàn giao dịch ảnh hưởng tới chất lượng giao dịch của cùng một cổ phiếu. Amihud và cộng sự (1997) thấy cổ phiếu chuyển sang cơ chế giao dịch tốt hơn trên Sở Giao dịch Chứng khoán Tel Aviv có thanh khoản và giá tăng. Nielsson (2009) nghiên cứu việc sáp nhập các sàn Amsterdam, Brussels, Lisbon và Paris thành Euronext và thấy thanh khoản tăng ở doanh nghiệp lớn và doanh nghiệp có doanh thu nước ngoài, nhưng không tăng ở doanh nghiệp nhỏ và doanh nghiệp chỉ hoạt động trong nước. Đợt hợp nhất ở Việt Nam đổi sàn của khoảng 299 doanh nghiệp trong cùng một ngày mà bản thân doanh nghiệp không đổi [CẦN ĐỐI CHIẾU số mã]. Sự kiện này cho phép tách tác động của sàn khỏi đặc điểm doanh nghiệp. Với nhà đầu tư, tác động của sàn biểu hiện thành khả năng đầu tư; đề tài đo khả năng đầu tư trên bảy mô hình phân bổ vì không mô hình nào thắng ổn định (DeMiguel và cộng sự, 2009).</w:t>
      </w:r>
    </w:p>
    <w:p w14:paraId="019D1985" w14:textId="77777777" w:rsidR="005D3DB2" w:rsidRDefault="00000000">
      <w:pPr>
        <w:pStyle w:val="BodyText"/>
      </w:pPr>
      <w:r>
        <w:t xml:space="preserve">Tài liệu hiện có để ngỏ ba vấn đề. Thứ nhất, nghiên cứu về năng lực cạnh tranh của trung tâm tài chính xét đồng thời nhiều nhóm yếu tố (Yao, 2012; Naeem, 2023) và chưa tách riêng liên hệ của mức phát triển thị trường cổ phiếu với điểm GFCI. Thứ hai, bằng chứng về hợp nhất sàn đến từ các sàn thuộc nhiều quốc gia ở thị trường phát triển (Nielsson, 2009) và đo thanh khoản, chưa đo khả năng đầu tư của nhà đầu tư đa dạng hóa. Thứ ba, các công trình về Việt Nam tập trung vào HOSE và VN-Index (Vo &amp; Phan, 2017; Hoang &amp; Luu, 2024; Goutte và cộng sự, 2025), chưa so sánh HNX với HOSE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w:t>
      </w:r>
      <w:r>
        <w:t xml:space="preserve">đề tài đặt ra </w:t>
      </w:r>
      <w:r>
        <w:t xml:space="preserve">ba câu hỏi</w:t>
      </w:r>
      <w:r>
        <w:t xml:space="preserve">,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chính các cổ phiếu chuyển sàn thay đổi bao nhiêu? (câu hỏi số 1 và số 3)</w:t>
      </w:r>
    </w:p>
    <w:p w14:paraId="74C0BF37" w14:textId="77777777" w:rsidR="005D3DB2" w:rsidRDefault="00000000">
      <w:pPr>
        <w:pStyle w:val="BodyText"/>
      </w:pPr>
      <w:r>
        <w:rPr>
          <w:b/>
          <w:bCs/>
        </w:rPr>
        <w:t>Mục tiêu nghiên cứu.</w:t>
      </w:r>
      <w:r>
        <w:t xml:space="preserve"> </w:t>
      </w:r>
      <w:r>
        <w:t xml:space="preserve">Mục tiêu tổng quát là lượng hóa tác động của sàn giao dịch lên chất lượng thị trường và khả năng đầu tư qua đợt hợp nhất sàn năm 2026, làm căn cứ cho định hướng chuyên môn hóa của thị trường vốn Hà Nội. 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Mục tiêu (iv) là đề xuất định hướng chuyên môn hóa và hạ tầng dữ liệu cho thị trường vốn Hà Nội.</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và Naeem (2023) dùng dữ liệu 196 trung tâm và 238 yếu tố giai đoạn 2007–2020 để tìm yếu tố ảnh hưởng tới thứ hạng GFCI [CẦN ĐỌC TOÀN VĂN].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 Nhóm tài liệu này xếp hạng hoặc mô tả trung tâm theo nhiều yếu tố cùng lúc và chưa tách riêng vai trò của thị trường cổ phiếu.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 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đã chuẩn hóa,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và thấy cơ chế sàn tạo khác biệt chi phí.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 Nielsson (2009) thấy lợi ích thanh khoản của việc hình thành Euronext dồn vào doanh nghiệp lớn. Wójcik (2007) phân tích quan hệ hai chiều giữa sàn chứng khoán và trung tâm tài chính trong xu hướng hợp nhất sàn. Các nghiên cứu này dùng sự kiện đổi sàn ở thị trường phát triển; thí sinh chưa thấy nghiên cứu về hợp nhất hai sàn trong cùng một quốc gia ở thị trường mới nổi.</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(Nguyen &amp; Nguyen,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 xml:space="preserve">Trung tâm tài chính (Yao, 2012; Naeem, 2023; Lai, 2012)</w:t>
            </w:r>
          </w:p>
        </w:tc>
        <w:tc>
          <w:tcPr>
            <w:tcW w:w="0" w:type="auto"/>
          </w:tcPr>
          <w:p w14:paraId="5F910835" w14:textId="77777777" w:rsidR="005D3DB2" w:rsidRDefault="00000000">
            <w:pPr>
              <w:pStyle w:val="Compact"/>
            </w:pPr>
            <w:r>
              <w:t xml:space="preserve">Yếu tố quyết định thứ hạng GFCI; phân vai các trung tâm trong một quốc gia</w:t>
            </w:r>
          </w:p>
        </w:tc>
        <w:tc>
          <w:tcPr>
            <w:tcW w:w="0" w:type="auto"/>
          </w:tcPr>
          <w:p w14:paraId="59F4C5C0" w14:textId="77777777" w:rsidR="005D3DB2" w:rsidRDefault="00000000">
            <w:pPr>
              <w:pStyle w:val="Compact"/>
            </w:pPr>
            <w:r>
              <w:t xml:space="preserve">K1. Chưa tách riêng liên hệ của mức phát triển thị trường cổ phiếu với điểm GFCI</w:t>
            </w:r>
          </w:p>
        </w:tc>
      </w:tr>
      <w:tr w:rsidR="005D3DB2" w14:paraId="163555CD" w14:textId="77777777">
        <w:trPr>
          <w:cantSplit/>
        </w:trPr>
        <w:tc>
          <w:tcPr>
            <w:tcW w:w="0" w:type="auto"/>
          </w:tcPr>
          <w:p w14:paraId="7892E17D" w14:textId="77777777" w:rsidR="005D3DB2" w:rsidRDefault="00000000">
            <w:pPr>
              <w:pStyle w:val="Compact"/>
            </w:pPr>
            <w:r>
              <w:t xml:space="preserve">Chất lượng thị trường (Amihud, 2002; Lesmond, 2005; Fong và cộng sự, 2017)</w:t>
            </w:r>
          </w:p>
        </w:tc>
        <w:tc>
          <w:tcPr>
            <w:tcW w:w="0" w:type="auto"/>
          </w:tcPr>
          <w:p w14:paraId="35E17D8F" w14:textId="77777777" w:rsidR="005D3DB2" w:rsidRDefault="00000000">
            <w:pPr>
              <w:pStyle w:val="Compact"/>
            </w:pPr>
            <w:r>
              <w:t xml:space="preserve">Thước đo thanh khoản, hiệu quả thông tin, minh bạch ở thị trường mới nổi</w:t>
            </w:r>
          </w:p>
        </w:tc>
        <w:tc>
          <w:tcPr>
            <w:tcW w:w="0" w:type="auto"/>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0" w:type="auto"/>
          </w:tcPr>
          <w:p w14:paraId="172955F1" w14:textId="77777777" w:rsidR="005D3DB2" w:rsidRDefault="00000000">
            <w:pPr>
              <w:pStyle w:val="Compact"/>
            </w:pPr>
            <w:r>
              <w:t xml:space="preserve">Đổi sàn và hợp nhất sàn (Huang &amp; Stoll, 1996; Amihud và cộng sự, 1997; Nielsson, 2009)</w:t>
            </w:r>
          </w:p>
        </w:tc>
        <w:tc>
          <w:tcPr>
            <w:tcW w:w="0" w:type="auto"/>
          </w:tcPr>
          <w:p w14:paraId="27D2C86F" w14:textId="77777777" w:rsidR="005D3DB2" w:rsidRDefault="00000000">
            <w:pPr>
              <w:pStyle w:val="Compact"/>
            </w:pPr>
            <w:r>
              <w:t xml:space="preserve">Đổi sàn làm thay đổi thanh khoản; lợi ích của hợp nhất dồn vào doanh nghiệp lớn</w:t>
            </w:r>
          </w:p>
        </w:tc>
        <w:tc>
          <w:tcPr>
            <w:tcW w:w="0" w:type="auto"/>
          </w:tcPr>
          <w:p w14:paraId="5C60018C" w14:textId="77777777" w:rsidR="005D3DB2" w:rsidRDefault="00000000">
            <w:pPr>
              <w:pStyle w:val="Compact"/>
            </w:pPr>
            <w:r>
              <w:t xml:space="preserve">K3. Chưa có bằng chứng về hợp nhất hai sàn trong một quốc gia ở thị trường mới nổi</w:t>
            </w:r>
          </w:p>
        </w:tc>
      </w:tr>
      <w:tr w:rsidR="005D3DB2" w14:paraId="12EB891D" w14:textId="77777777">
        <w:trPr>
          <w:cantSplit/>
        </w:trPr>
        <w:tc>
          <w:tcPr>
            <w:tcW w:w="0" w:type="auto"/>
          </w:tcPr>
          <w:p w14:paraId="2246DA5E" w14:textId="77777777" w:rsidR="005D3DB2" w:rsidRDefault="00000000">
            <w:pPr>
              <w:pStyle w:val="Compact"/>
            </w:pPr>
            <w:r>
              <w:t xml:space="preserve">Việt Nam (Vo &amp; Phan, 2017; Goutte và cộng sự, 2025; Nguyen &amp; Nguyen, 2026a)</w:t>
            </w:r>
          </w:p>
        </w:tc>
        <w:tc>
          <w:tcPr>
            <w:tcW w:w="0" w:type="auto"/>
          </w:tcPr>
          <w:p w14:paraId="133402BF" w14:textId="77777777" w:rsidR="005D3DB2" w:rsidRDefault="00000000">
            <w:pPr>
              <w:pStyle w:val="Compact"/>
            </w:pPr>
            <w:r>
              <w:t xml:space="preserve">Nghiên cứu tập trung vào HOSE và VN-Index</w:t>
            </w:r>
          </w:p>
        </w:tc>
        <w:tc>
          <w:tcPr>
            <w:tcW w:w="0" w:type="auto"/>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w:t>
      </w:r>
      <w:r>
        <w:t xml:space="preserve">(A)–(E)</w:t>
      </w:r>
      <w:r>
        <w:t xml:space="preserv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w:t>
      </w:r>
      <w:r>
        <w:t xml:space="preserve">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định hình vai trò của mỗi trung tâm.</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2009–2026</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2009–2026</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w:t>
      </w:r>
      <w:r>
        <w:t xml:space="preserve">Khung phân tích: hợp nhất sàn, chất lượng thị trường và khả năng đầu tư</w:t>
      </w:r>
    </w:p>
    <w:p w14:paraId="316E836D" w14:textId="77777777" w:rsidR="005D3DB2" w:rsidRDefault="00000000">
      <w:pPr>
        <w:pStyle w:val="SourceNote"/>
      </w:pPr>
      <w:r>
        <w:t xml:space="preserve">Nguồn: Thí sinh đề xuất. Ghi chú: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và H</w:t>
      </w:r>
      <w:r>
        <w:rPr>
          <w:vertAlign w:val="subscript"/>
        </w:rPr>
        <w:t xml:space="preserve">4</w:t>
      </w:r>
      <w:r>
        <w:t xml:space="preserve"> được ước lượng bằng khác biệt kép quanh ngày 28/12/2026; mũi tên từ ô Bằng chứng quốc tế chỉ quan hệ bối cảnh; mũi tên nét đứt chỉ hàm ý chính sách; cả hai không phải quan hệ được kiểm định.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đo phần khoảng cách thuộc về sàn: cùng các cổ phiếu, trước và sau ngày 28/12/2026, so với nhóm đối chứng (H</w:t>
      </w:r>
      <w:r>
        <w:rPr>
          <w:vertAlign w:val="subscript"/>
        </w:rPr>
        <w:t xml:space="preserve">3</w:t>
      </w:r>
      <w:r>
        <w:t xml:space="preserve"> cho thanh khoản, H</w:t>
      </w:r>
      <w:r>
        <w:rPr>
          <w:vertAlign w:val="subscript"/>
        </w:rPr>
        <w:t xml:space="preserve">4</w:t>
      </w:r>
      <w:r>
        <w:t xml:space="preserve"> cho khả năng đầu tư). Bằng chứng quốc tế (H</w:t>
      </w:r>
      <w:r>
        <w:rPr>
          <w:vertAlign w:val="subscript"/>
        </w:rPr>
        <w:t xml:space="preserve">1</w:t>
      </w:r>
      <w:r>
        <w:t xml:space="preserve">) cho biết mức phát triển thị trường cổ phiếu liên hệ thế nào với điểm GFCI. Kết hợp các kết quả cho phép đề xuất định hướng chuyên môn hóa cho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0" w:type="auto"/>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0" w:type="auto"/>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0" w:type="auto"/>
          </w:tcPr>
          <w:p w14:paraId="6BA2CDB6" w14:textId="77777777" w:rsidR="005D3DB2" w:rsidRDefault="00000000">
            <w:pPr>
              <w:pStyle w:val="Compact"/>
            </w:pPr>
            <w:r>
              <w:t xml:space="preserve">H</w:t>
            </w:r>
            <w:r>
              <w:rPr>
                <w:vertAlign w:val="subscript"/>
              </w:rPr>
              <w:t xml:space="preserve">2</w:t>
            </w:r>
            <w:r>
              <w:t xml:space="preserve">: Trong giai đoạn 2009–2026, Chỉ số chất lượng thị trường vốn của sàn niêm yết HNX thấp hơn của HOSE (câu hỏi 2)</w:t>
            </w:r>
          </w:p>
        </w:tc>
        <w:tc>
          <w:tcPr>
            <w:tcW w:w="0" w:type="auto"/>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0" w:type="auto"/>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0" w:type="auto"/>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giảm so với nhóm đối chứng (câu hỏi 3)</w:t>
            </w:r>
          </w:p>
        </w:tc>
        <w:tc>
          <w:tcPr>
            <w:tcW w:w="0" w:type="auto"/>
          </w:tcPr>
          <w:p w14:paraId="3D56315F" w14:textId="77777777" w:rsidR="005D3DB2" w:rsidRDefault="00000000">
            <w:pPr>
              <w:pStyle w:val="Compact"/>
            </w:pPr>
            <w:r>
              <w:t xml:space="preserve">Độ phi thanh khoản Amihud (chính); tỷ lệ ngày lợi suất bằng 0 và chênh lệch mua–bán ước lượng (phụ)</w:t>
            </w:r>
          </w:p>
        </w:tc>
        <w:tc>
          <w:tcPr>
            <w:tcW w:w="0" w:type="auto"/>
          </w:tcPr>
          <w:p w14:paraId="2EB0DA83" w14:textId="77777777" w:rsidR="005D3DB2" w:rsidRDefault="00000000">
            <w:pPr>
              <w:pStyle w:val="Compact"/>
            </w:pPr>
            <w:r>
              <w:t xml:space="preserve">Amihud và cộng sự (1997); Huang và Stoll (1996); Nielsson (2009)</w:t>
            </w:r>
          </w:p>
        </w:tc>
      </w:tr>
      <w:tr w:rsidR="005D3DB2" w14:paraId="001DB05F" w14:textId="77777777">
        <w:trPr>
          <w:cantSplit/>
        </w:trPr>
        <w:tc>
          <w:tcPr>
            <w:tcW w:w="0" w:type="auto"/>
          </w:tcPr>
          <w:p w14:paraId="2441B171" w14:textId="77777777" w:rsidR="005D3DB2" w:rsidRDefault="00000000">
            <w:pPr>
              <w:pStyle w:val="Compact"/>
            </w:pPr>
            <w:r>
              <w:t xml:space="preserve">H</w:t>
            </w:r>
            <w:r>
              <w:rPr>
                <w:vertAlign w:val="subscript"/>
              </w:rPr>
              <w:t xml:space="preserve">4</w:t>
            </w:r>
            <w:r>
              <w:t xml:space="preserve">: Khoảng cách khả năng đầu tư giữa rổ HOSE và rổ cổ phiếu chuyển sàn, bình quân theo bảy mô hình và sau chi phí giao dịch, thu hẹp sau ngày 28/12/2026 (câu hỏi 3)</w:t>
            </w:r>
          </w:p>
        </w:tc>
        <w:tc>
          <w:tcPr>
            <w:tcW w:w="0" w:type="auto"/>
          </w:tcPr>
          <w:p w14:paraId="0741046F" w14:textId="77777777" w:rsidR="005D3DB2" w:rsidRDefault="00000000">
            <w:pPr>
              <w:pStyle w:val="Compact"/>
            </w:pPr>
            <w:r>
              <w:t xml:space="preserve">Chỉ số khả năng đầu tư trước và sau sự kiện</w:t>
            </w:r>
          </w:p>
        </w:tc>
        <w:tc>
          <w:tcPr>
            <w:tcW w:w="0" w:type="auto"/>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4</w:t>
      </w:r>
      <w:r>
        <w:t xml:space="preserve"> là họ kiểm định xác nhận, hiệu chỉnh Holm ở mức 5%; so sánh theo giai đoạn căng thẳng và theo quy mô doanh nghiệp là phân tích mô tả.</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(HOSE ±7%, HNX ±10%) [CẦN XÁC MINH theo từng thời kỳ], nên chỉ số được so sánh cả trên mẫu đối sánh theo quy mô và ngành và cả khi bỏ hai chỉ báo nhạy với biên độ. Với H</w:t>
      </w:r>
      <w:r>
        <w:rPr>
          <w:vertAlign w:val="subscript"/>
        </w:rPr>
        <w:t xml:space="preserve">3</w:t>
      </w:r>
      <w:r>
        <w:t xml:space="preserve">, thanh khoản sau sự kiện có thể tăng do xu hướng chung của thị trường, chẳng hạn sau đợt nâng hạng tháng 9/2026, nên đề tài dùng hai nhóm đối chứng cùng chịu xu hướng đó. 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và China Development Institute công bố công khai và được thí sinh số hóa từ báo cáo từng kỳ; thí sinh liên hệ Long Finance về giấy phép dùng bộ dữ liệu lịch sử [CẦN XÁC MINH]. Bộ này được ghép với các chỉ báo thị trường cổ phiếu cấp quốc gia trong Cơ sở dữ liệu Phát triển Tài chính Toàn cầu (Čihák và cộng sự, 2012) và các chỉ số quản trị nhà nước toàn cầu (Kaufmann và cộng sự, 2011). 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[CẦN XÁC MINH nguồn và điều khoản sử dụng]. Nguồn dữ liệu là HNX, HOSE và một nhà cung cấp dữ liệu thương mại; dữ liệu không chứa thông tin cá nhân.</w:t>
      </w:r>
    </w:p>
    <w:p w14:paraId="46027A87" w14:textId="77777777" w:rsidR="005D3DB2" w:rsidRDefault="00000000">
      <w:pPr>
        <w:pStyle w:val="BodyText"/>
      </w:pPr>
      <w:r>
        <w:t xml:space="preserve">Giai đoạn trước sự kiện bắt đầu từ tháng 6/2009, khi UPCoM có giao dịch, và kết thúc ngày 29/9/2026, trước ngày công bố lịch chuyển sàn; giai đoạn sau sự kiện kéo dài 24 tháng từ tháng 1/2027. Ngày cổ phiếu bị đình chỉ giao dịch bị loại khỏi mẫu số của tỷ lệ ngày lợi suất bằng 0; lợi suất kỳ hủy niêm yết lấy theo giá giao dịch cuối cùng; độ phi thanh khoản Amihud được cắt đuôi ở phân vị 1% và 99% mỗi tháng. Giai đoạn căng thẳng chỉ dùng cho phân tích mô tả và gồm ba đợt: khủng hoảng tài chính toàn cầu đến năm 2009, đại dịch COVID-19 năm 2020 (Dao và cộng sự, 2021) và biến cố thị trường trái phiếu doanh nghiệp từ quý 4/2022 (International Monetary Fund, 2023; Vu và cộng sự, 2024). Một ngày được tính là căng thẳng khi VN-Index và HNX-Index cùng sụt giảm quá ngưỡng so với đỉnh gần nhất; ngưỡng và ngày kết thúc của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w:t>
      </w:r>
      <w:r>
        <w:t xml:space="preserve">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Đề tài chọn Amihud và tỷ lệ ngày lợi suất bằng 0 làm chỉ báo chính vì hai thước đo này phản ánh tốt chi phí giao dịch trong một quốc gia ở thị trường mới nổi (Lesmond, 2005; Bekaert và cộng sự, 2007; Fong và cộng sự, 2017). 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bền bắt buộc. Chiều minh bạch là số ngày trễ hạn công bố báo cáo tài chính. Các chỉ báo cổ phiếu được gộp lên cấp sàn bằng trung vị có trọng số theo vốn hóa.</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trên toàn mẫu gộp của các sàn và toàn giai đoạn,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Trọng số từ thành phần chính thứ nhất và cách gộp bỏ lần lượt từng chiều là kiểm tra độ bền (OECD, 2008). Chỉ số được tính riêng cho sàn niêm yết HNX (đến tháng 9/2026), UPCoM và HOSE. Đề tài kiểm định H</w:t>
      </w:r>
      <w:r>
        <w:rPr>
          <w:vertAlign w:val="subscript"/>
        </w:rPr>
        <w:t xml:space="preserve">2</w:t>
      </w:r>
      <w:r>
        <w:t xml:space="preserve"> bằng chênh lệch chỉ số giữa HOSE và sàn niêm yết HNX theo tháng: H</w:t>
      </w:r>
      <w:r>
        <w:rPr>
          <w:vertAlign w:val="subscript"/>
        </w:rPr>
        <w:t xml:space="preserve">2</w:t>
      </w:r>
      <w:r>
        <w:t xml:space="preserve"> được ủng hộ khi chênh lệch bình quân dương với khoảng tin cậy bootstrap khối loại trừ 0. Chênh lệch giữa HOSE và UPCoM, chênh lệch theo giai đoạn căng thẳng và điểm gãy cấu trúc theo Bai và Perron (1998) được báo cáo ở dạng mô tả. Sau năm 2026, chỉ số tiếp tục được cập nhật hằng tháng cho UPCoM và HOSE.</w:t>
      </w:r>
    </w:p>
    <w:p w14:paraId="28018213" w14:textId="77777777" w:rsidR="005D3DB2" w:rsidRDefault="00000000">
      <w:pPr>
        <w:pStyle w:val="Heading3"/>
      </w:pPr>
      <w:r>
        <w:t xml:space="preserve">4.3.5. </w:t>
      </w:r>
      <w:r>
        <w:t xml:space="preserve">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và độ phân tán giữa chúng tách hai nguồn này.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w:t>
      </w:r>
      <w:r>
        <w:t xml:space="preserve">Bảy mô hình phân bổ dùng làm công cụ đo khả năng đầu tư</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 xml:space="preserve">Giảm tỷ trọng rủi ro theo xác suất trạng thái căng thẳng do mô hình tự ước lượng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ước lượng trên cửa sổ 104 tuần và tái cân bằng hằng tháng;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w:t>
      </w:r>
      <w:r>
        <w:t xml:space="preserve">Moore–Penrose</w:t>
      </w:r>
      <w:r>
        <w:t xml:space="preserve"> và kết quả ghi rõ điều này.</w:t>
      </w:r>
    </w:p>
    <w:p w14:paraId="0EEA8DBF" w14:textId="77777777" w:rsidR="005D3DB2" w:rsidRDefault="00000000">
      <w:pPr>
        <w:pStyle w:val="BodyText"/>
      </w:pPr>
      <w:r>
        <w:t xml:space="preserve">Thí sinh đã dùng dữ liệu Việt Nam trong bài báo Nguyen và Nguyen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khi tính bất kỳ chỉ báo nào trên dữ liệu sau ngày 28/12/2026, ở dạng khóa có dấu thời gian, và khai rõ phạm vi sàn, giai đoạn và chỉ báo đã tính trong các bài trước. Tệp đăng ký cố định các nội dung sau: danh sách, cách chuẩn hóa và trọng số của chỉ báo; ngưỡng và ngày của ba giai đoạn căng thẳng; quy tắc lập rổ và quy tắc ghép đối chứng; chi phí giao dịch cơ sở; siêu tham số của bảy mô hình; đặc tả các phương trình (5) và (6); độ dài khối và số lần tái lấy mẫu bootstrap;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w:t>
      </w:r>
      <w:r>
        <w:t xml:space="preserve">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k ∈ {HOSE, CS} là rổ, trong đó CS là rổ cổ phiếu chuyển sàn. Với cửa sổ đánh giá kết thúc tại t, </w:t>
      </w:r>
      <w:r>
        <w:rPr>
          <w:i/>
          <w:iCs/>
        </w:rPr>
        <w:t xml:space="preserve">μ</w:t>
      </w:r>
      <w:r>
        <w:rPr>
          <w:vertAlign w:val="subscript"/>
        </w:rPr>
        <w:t xml:space="preserve">m,k,t</w:t>
      </w:r>
      <w:r>
        <w:t xml:space="preserve"> và </w:t>
      </w:r>
      <w:r>
        <w:rPr>
          <w:i/>
          <w:iCs/>
        </w:rPr>
        <w:t xml:space="preserve">σ</w:t>
      </w:r>
      <w:r>
        <w:t xml:space="preserve">²</w:t>
      </w:r>
      <w:r>
        <w:rPr>
          <w:vertAlign w:val="subscript"/>
        </w:rPr>
        <w:t xml:space="preserve">m,k,t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 Chi phí giao dịch bằng tỷ lệ cố định c nhân với vòng quay danh mục và không lấy từ các chỉ báo của Chỉ số chất lượng.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HOSE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HOSE</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dương nghĩa là nhà đầu tư đa dạng hóa đạt lợi suất tương đương chắc chắn thấp hơn với rổ cổ phiếu chuyển sàn, tính bằng điểm phần trăm mỗi năm. Đề tài báo cáo kèm độ phân tán của </w:t>
      </w:r>
      <w:r>
        <w:rPr>
          <w:i/>
          <w:iCs/>
        </w:rPr>
        <w:t xml:space="preserve">G</w:t>
      </w:r>
      <w:r>
        <w:rPr>
          <w:vertAlign w:val="subscript"/>
        </w:rPr>
        <w:t xml:space="preserve">m,t</w:t>
      </w:r>
      <w:r>
        <w:t xml:space="preserve"> theo m. Rổ CS gồm tối đa 30 cổ phiếu có giá trị giao dịch bình quân ba tháng lớn nhất trong số các cổ phiếu chuyển sàn, xác định tại ngày 29/9/2026 và giữ nguyên thành phần trước và sau sự kiện. Rổ HOSE gồm, cho mỗi cổ phiếu của rổ CS, cổ phiếu HOSE gần nhất về vốn hóa và ngành tại cùng ngày, ghép có hoàn lại với ngưỡng khoảng cách ghi trong tệp đăng ký. Vì hai rổ giữ nguyên thành phần, thay đổi của khoảng cách quanh sự kiện phản ánh thay đổi của sàn, không phản ánh thay đổi thành phần rổ.</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trước sự kiện dùng các cửa sổ từ quý 1/2021 đến quý 3/2026, tức 23 cửa sổ; giai đoạn sau sự kiện dùng các cửa sổ từ quý 1/2027 đến quý 4/2028, tức 8 cửa sổ. Quý 4/2026 chứa ngày công bố và ngày chuyển sàn nên bị loại. Với 23 và 8 cửa sổ, thí sinh tính trước hiệu ứng nhỏ nhất phát hiện được cho H</w:t>
      </w:r>
      <w:r>
        <w:rPr>
          <w:vertAlign w:val="subscript"/>
        </w:rPr>
        <w:t xml:space="preserve">4</w:t>
      </w:r>
      <w:r>
        <w:t xml:space="preserve"> và ghi vào tệp đăng ký.</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r>
                                <w:rPr>
                                  <w:sz w:val="19"/>
                                  <w:szCs w:val="19"/>
                                </w:rPr>
                                <w:t xml:space="preserve">Mỗi cửa sổ đánh giá: tính lợi suất tương đương chắc chắn của bảy mô hình</w:t>
                              </w:r>
                            </w:p>
                            <w:p w14:paraId="3AD823B3" w14:textId="77777777" w:rsidR="005D3DB2" w:rsidRDefault="00000000">
                              <w:pPr>
                                <w:jc w:val="center"/>
                              </w:pPr>
                              <w:r>
                                <w:rPr>
                                  <w:sz w:val="19"/>
                                  <w:szCs w:val="19"/>
                                </w:rPr>
                                <w:t xml:space="preserve">trên rổ CS và rổ HOSE; khoảng cách G</w:t>
                              </w:r>
                              <w:r>
                                <w:rPr>
                                  <w:sz w:val="19"/>
                                  <w:szCs w:val="19"/>
                                  <w:vertAlign w:val="subscript"/>
                                </w:rPr>
                                <w:t xml:space="preserve">m,t</w:t>
                              </w:r>
                              <w:r>
                                <w:rPr>
                                  <w:sz w:val="19"/>
                                  <w:szCs w:val="19"/>
                                </w:rPr>
                                <w:t xml:space="preserve"> tính trên cửa sổ đó</w:t>
                              </w: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r>
                          <w:rPr>
                            <w:sz w:val="19"/>
                            <w:szCs w:val="19"/>
                          </w:rPr>
                          <w:t xml:space="preserve">Mỗi cửa sổ đánh giá: tính lợi suất tương đương chắc chắn của bảy mô hình</w:t>
                        </w:r>
                      </w:p>
                      <w:p w14:paraId="3AD823B3" w14:textId="77777777" w:rsidR="005D3DB2" w:rsidRDefault="00000000">
                        <w:pPr>
                          <w:jc w:val="center"/>
                        </w:pPr>
                        <w:r>
                          <w:rPr>
                            <w:sz w:val="19"/>
                            <w:szCs w:val="19"/>
                          </w:rPr>
                          <w:t xml:space="preserve">trên rổ CS và rổ HOSE; khoảng cách G</w:t>
                        </w:r>
                        <w:r>
                          <w:rPr>
                            <w:sz w:val="19"/>
                            <w:szCs w:val="19"/>
                            <w:vertAlign w:val="subscript"/>
                          </w:rPr>
                          <w:t xml:space="preserve">m,t</w:t>
                        </w:r>
                        <w:r>
                          <w:rPr>
                            <w:sz w:val="19"/>
                            <w:szCs w:val="19"/>
                          </w:rPr>
                          <w:t xml:space="preserve"> tính trên cửa sổ đó</w:t>
                        </w: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w:t>
      </w:r>
      <w:r>
        <w:t xml:space="preserve">cách tính khoảng cách khả năng đầu tư</w:t>
      </w:r>
      <w:bookmarkEnd w:id="24"/>
    </w:p>
    <w:p w14:paraId="14F05B63" w14:textId="77777777" w:rsidR="005D3DB2" w:rsidRDefault="00000000">
      <w:pPr>
        <w:pStyle w:val="SourceNote"/>
      </w:pPr>
      <w:r>
        <w:t>Nguồn: Thí sinh đề xuất</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w:t>
      </w:r>
      <w:r>
        <w:rPr>
          <w:i/>
          <w:iCs/>
        </w:rPr>
        <w:t xml:space="preserve">D</w:t>
      </w:r>
      <w:r>
        <w:rPr>
          <w:vertAlign w:val="subscript"/>
        </w:rPr>
        <w:t xml:space="preserve">i</w:t>
      </w:r>
      <w:r>
        <w:t xml:space="preserve"> bằng 1 nếu cổ phiếu chuyển sàn; </w:t>
      </w:r>
      <w:r>
        <w:rPr>
          <w:i/>
          <w:iCs/>
        </w:rPr>
        <w:t xml:space="preserve">Post</w:t>
      </w:r>
      <w:r>
        <w:rPr>
          <w:vertAlign w:val="subscript"/>
        </w:rPr>
        <w:t xml:space="preserve">t</w:t>
      </w:r>
      <w:r>
        <w:t xml:space="preserve"> bằng 1 từ tháng 1/2027;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 </w:t>
      </w:r>
      <w:r>
        <w:rPr>
          <w:i/>
          <w:iCs/>
        </w:rPr>
        <w:t xml:space="preserve">δ</w:t>
      </w:r>
      <w:r>
        <w:t xml:space="preserve"> là tác động cần ước lượng. Đề tài dùng hai nhóm đối chứng: cổ phiếu HOSE ghép theo vốn hóa và ngành, và cổ phiếu UPCoM vẫn do HNX vận hành. Phiên bản nghiên cứu sự kiện với các hệ số trước và sau theo tháng kiểm tra xu hướng song song và hiện tượng phản ứng trước, vì lộ trình đã được biết từ khi Thông tư 139/2025/TT-BTC ban hành. Vì mọi cổ phiếu chuyển sàn cùng một ngày, sai số chuẩn được phân cụm theo cổ phiếu và đề tài bổ sung suy luận hoán vị trên các ngày giả định. Việc chuyển sàn đổi cùng lúc biên độ dao động giá, hệ thống giao dịch và tư cách thành phần chỉ số, nên </w:t>
      </w:r>
      <w:r>
        <w:rPr>
          <w:i/>
          <w:iCs/>
        </w:rPr>
        <w:t xml:space="preserve">δ</w:t>
      </w:r>
      <w:r>
        <w:t xml:space="preserve"> đo tác động gộp của sàn, không đo riêng từng quy tắc. H</w:t>
      </w:r>
      <w:r>
        <w:rPr>
          <w:vertAlign w:val="subscript"/>
        </w:rPr>
        <w:t xml:space="preserve">3</w:t>
      </w:r>
      <w:r>
        <w:t xml:space="preserve"> được ủng hộ khi </w:t>
      </w:r>
      <w:r>
        <w:rPr>
          <w:i/>
          <w:iCs/>
        </w:rPr>
        <w:t xml:space="preserve">δ</w:t>
      </w:r>
      <w:r>
        <w:t xml:space="preserve"> âm với khoảng tin cậy loại trừ 0 so với cả hai nhóm đối chứng. Khác biệt theo nhóm quy mô doanh nghiệp, theo gợi ý của Nielsson (2009), được báo cáo ở dạng mô tả.</w:t>
      </w:r>
    </w:p>
    <w:p>
      <w:pPr>
        <w:pStyle w:val="FirstParagraph"/>
      </w:pPr>
      <w:r>
        <w:t xml:space="preserve">H</w:t>
      </w:r>
      <w:r>
        <w:rPr>
          <w:vertAlign w:val="subscript"/>
        </w:rPr>
        <w:t xml:space="preserve">4</w:t>
      </w:r>
      <w:r>
        <w:t xml:space="preserve"> được ủng hộ khi chỉ số khả năng đầu tư bình quân sau sự kiện nhỏ hơn trước sự kiện với khoảng tin cậy loại trừ 0, và mức giảm có cùng dấu ở ít nhất năm trong bảy mô hình. Khoảng tin cậy của H</w:t>
      </w:r>
      <w:r>
        <w:rPr>
          <w:vertAlign w:val="subscript"/>
        </w:rPr>
        <w:t xml:space="preserve">2</w:t>
      </w:r>
      <w:r>
        <w:t xml:space="preserve"> và H</w:t>
      </w:r>
      <w:r>
        <w:rPr>
          <w:vertAlign w:val="subscript"/>
        </w:rPr>
        <w:t xml:space="preserve">4</w:t>
      </w:r>
      <w:r>
        <w:t xml:space="preserve"> được tính bằng bootstrap khối dừng (Politis &amp; Romano, 1994) trên chuỗi lợi suất tuần của hai rổ, lấy mẫu đồng thời để giữ tương quan chéo. Chênh lệch tỷ số Sharpe, một thước đo phụ, được kiểm định theo Ledoit và Wolf (2008). Đề tài không chọn mô hình tốt nhất nên không hiệu chỉnh thiên lệch chọn mô hình.</w:t>
      </w:r>
    </w:p>
    <w:p>
      <w:pPr>
        <w:pStyle w:val="FirstParagraph"/>
      </w:pPr>
      <w:r>
        <w:t xml:space="preserve">Đề tài kiểm định H</w:t>
      </w:r>
      <w:r>
        <w:rPr>
          <w:vertAlign w:val="subscript"/>
        </w:rPr>
        <w:t xml:space="preserve">1</w:t>
      </w:r>
      <w:r>
        <w:t xml:space="preserve"> trên dữ liệu bảng của các trung tâm tài chính, theo cách tiếp cận của Naeem (2023).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vì điểm GFCI được ước lượng lại mỗi kỳ và số trung tâm thay đổi; </w:t>
      </w:r>
      <w:r>
        <w:rPr>
          <w:i/>
          <w:iCs/>
        </w:rPr>
        <w:t xml:space="preserve">SMD</w:t>
      </w:r>
      <w:r>
        <w:rPr>
          <w:vertAlign w:val="subscript"/>
        </w:rPr>
        <w:t xml:space="preserve">c(i),t−1</w:t>
      </w:r>
      <w:r>
        <w:t xml:space="preserve"> là chỉ báo phát triển thị trường cổ phiếu của quốc gia c(i) chứa trung tâm i, gộp từ tỷ lệ vòng quay và vốn hóa trên GDP (Čihák và cộng sự, 2012); </w:t>
      </w:r>
      <w:r>
        <w:rPr>
          <w:i/>
          <w:iCs/>
        </w:rPr>
        <w:t xml:space="preserve">W</w:t>
      </w:r>
      <w:r>
        <w:rPr>
          <w:vertAlign w:val="subscript"/>
        </w:rPr>
        <w:t xml:space="preserve">c(i),t−1</w:t>
      </w:r>
      <w:r>
        <w:t xml:space="preserve"> là véc-tơ gồm thu nhập bình quân đầu người và chỉ số quản trị nhà nước (Kaufmann và cộng sự, 2011). Biến theo năm được gán cho hai kỳ GFCI của năm sau, và sai số chuẩn được phân cụm theo quốc gia. </w:t>
      </w:r>
      <w:r>
        <w:rPr>
          <w:i/>
          <w:iCs/>
        </w:rPr>
        <w:t xml:space="preserve">SMD</w:t>
      </w:r>
      <w:r>
        <w:t xml:space="preserve"> khác với Chỉ số chất lượng ở phương trình (1) và không được quy đổi sang chỉ số đó. Vì điểm GFCI gộp kết quả khảo sát và có thể dùng chính các chỉ báo thị trường làm nhân tố đầu vào, đề tài gọi </w:t>
      </w:r>
      <w:r>
        <w:rPr>
          <w:i/>
          <w:iCs/>
        </w:rPr>
        <w:t xml:space="preserve">β</w:t>
      </w:r>
      <w:r>
        <w:t xml:space="preserve"> là liên hệ có điều kiện. H</w:t>
      </w:r>
      <w:r>
        <w:rPr>
          <w:vertAlign w:val="subscript"/>
        </w:rPr>
        <w:t xml:space="preserve">1</w:t>
      </w:r>
      <w:r>
        <w:t xml:space="preserve"> được ủng hộ khi </w:t>
      </w:r>
      <w:r>
        <w:rPr>
          <w:i/>
          <w:iCs/>
        </w:rPr>
        <w:t xml:space="preserve">β</w:t>
      </w:r>
      <w:r>
        <w:t xml:space="preserve"> dương với khoảng tin cậy loại trừ 0.</w:t>
      </w:r>
    </w:p>
    <w:p w14:paraId="082A0713" w14:textId="77777777" w:rsidR="005D3DB2" w:rsidRDefault="00000000">
      <w:pPr>
        <w:pStyle w:val="Heading3"/>
      </w:pPr>
      <w:bookmarkStart w:id="27" w:name="_Toc242353138"/>
      <w:bookmarkStart w:id="28" w:name="cơ-chế-giảm-thiểu"/>
      <w:bookmarkEnd w:id="26"/>
      <w:r>
        <w:t xml:space="preserve">4.3.8. </w:t>
      </w:r>
      <w:r>
        <w:t xml:space="preserve">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các hệ số trước sự kiện trong phiên bản nghiên cứu sự kiện không khác 0. Thứ hai, không có tác động lan sang nhóm đối chứng: dòng lệnh chuyển từ cổ phiếu HOSE đối sánh sang cổ phiếu chuyển sàn có thể làm thanh khoản nhóm đối chứng giảm, nên đề tài so sánh hai nhóm đối chứng với nhau. Thứ ba, thành phần mẫu ổn định: cổ phiếu hủy niêm yết trong giai đoạn sau sự kiện được giữ đến tháng cuối cùng có giao dịch. Nếu một giả định không đạt, kết quả được trình bày là liên hệ quanh sự kiện thay vì tác động của sàn.</w:t>
      </w:r>
    </w:p>
    <w:p w14:paraId="6A2099F9" w14:textId="77777777" w:rsidR="005D3DB2" w:rsidRDefault="00000000">
      <w:pPr>
        <w:pStyle w:val="BodyText"/>
      </w:pPr>
      <w:r>
        <w:t xml:space="preserve">Từ bằng chứng đến định hướng cho Hà Nội. H</w:t>
      </w:r>
      <w:r>
        <w:rPr>
          <w:vertAlign w:val="subscript"/>
        </w:rPr>
        <w:t xml:space="preserve">2</w:t>
      </w:r>
      <w:r>
        <w:t xml:space="preserve"> cho biết khoảng cách chất lượng giữa hai sàn trước hợp nhất; H</w:t>
      </w:r>
      <w:r>
        <w:rPr>
          <w:vertAlign w:val="subscript"/>
        </w:rPr>
        <w:t xml:space="preserve">3</w:t>
      </w:r>
      <w:r>
        <w:t xml:space="preserve"> và H</w:t>
      </w:r>
      <w:r>
        <w:rPr>
          <w:vertAlign w:val="subscript"/>
        </w:rPr>
        <w:t xml:space="preserve">4</w:t>
      </w:r>
      <w:r>
        <w:t xml:space="preserve"> cho biết phần khoảng cách thuộc về sàn. Phần còn lại gắn với đặc điểm doanh nghiệp, được mô tả theo nhóm quy mô và mức minh bạch công bố. Đề tài so sánh vai trò của Hà Nội với Bắc Kinh và Thượng Hải (Lai, 2012; Wang và cộng sự, 2007) và với Thành phố Hồ Chí Minh bằng văn bản chính sách và dữ liệu công khai, rồi đề xuất mảng thị trường mà HNX nên chuyên môn hóa. Nếu được các tổ chức đồng ý, thí sinh lấy ý kiến chuyên gia không chính thức; bước này không dùng để kiểm định giả thuyết [CẦN XÁC NHẬN với người hướng dẫn].</w:t>
      </w:r>
    </w:p>
    <w:p>
      <w:pPr>
        <w:pStyle w:val="BodyText"/>
      </w:pPr>
      <w:r>
        <w:t xml:space="preserve">Hai chỉ số được đóng gói thành mã nguồn mở, có tài liệu hướng dẫn. Chỉ số chất lượng thị trường vốn được cập nhật theo tháng cho UPCoM và HOSE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kiểm định H</w:t>
      </w:r>
      <w:r>
        <w:rPr>
          <w:vertAlign w:val="subscript"/>
        </w:rPr>
        <w:t xml:space="preserve">1</w:t>
      </w:r>
      <w:r>
        <w:t xml:space="preserve"> trên dữ liệu bảng quốc tế; xây dựng Chỉ số chất lượng thị trường vốn và kiểm định H</w:t>
      </w:r>
      <w:r>
        <w:rPr>
          <w:vertAlign w:val="subscript"/>
        </w:rPr>
        <w:t xml:space="preserve">2</w:t>
      </w:r>
      <w:r>
        <w:t xml:space="preserve">;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đề xuất định hướng chuyên môn hóa cho thị trường vốn Hà Nội. Thí sinh đăng ký trước kế hoạch phân tích trước khi tính chỉ báo trên dữ liệu sau sự kiện.</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H</w:t>
      </w:r>
      <w:r>
        <w:rPr>
          <w:vertAlign w:val="subscript"/>
        </w:rPr>
        <w:t xml:space="preserve">3</w:t>
      </w:r>
      <w:r>
        <w:t xml:space="preserve"> có công suất cao vì dùng khoảng 299 cổ phiếu trong 24 tháng sau sự kiện, nhưng mọi cổ phiếu chuyển sàn cùng một ngày, nên một cú sốc chung trùng thời điểm có thể bị nhầm là tác động của sàn; hai nhóm đối chứng và suy luận hoán vị trên ngày giả định xử lý rủi ro này. H</w:t>
      </w:r>
      <w:r>
        <w:rPr>
          <w:vertAlign w:val="subscript"/>
        </w:rPr>
        <w:t xml:space="preserve">4</w:t>
      </w:r>
      <w:r>
        <w:t xml:space="preserve"> chỉ có 23 cửa sổ trước và 8 cửa sổ sau sự kiện, nên đề tài báo cáo hiệu ứng nhỏ nhất phát hiện được cùng kết quả. Các so sánh theo giai đoạn căng thẳng dựa trên ba đợt, trong đó đợt 2008–2009 chủ yếu nằm trong cửa sổ ước lượng, nên chỉ được báo cáo theo từng đợt ở dạng mô tả. Đề tài hiệu chỉnh so sánh bội theo Holm (1979) ở mức 5% cho H</w:t>
      </w:r>
      <w:r>
        <w:rPr>
          <w:vertAlign w:val="subscript"/>
        </w:rPr>
        <w:t xml:space="preserve">1</w:t>
      </w:r>
      <w:r>
        <w:t xml:space="preserve">–H</w:t>
      </w:r>
      <w:r>
        <w:rPr>
          <w:vertAlign w:val="subscript"/>
        </w:rPr>
        <w:t xml:space="preserve">4</w:t>
      </w:r>
      <w:r>
        <w:t xml:space="preserve">. Ở H</w:t>
      </w:r>
      <w:r>
        <w:rPr>
          <w:vertAlign w:val="subscript"/>
        </w:rPr>
        <w:t xml:space="preserve">1</w:t>
      </w:r>
      <w:r>
        <w:t xml:space="preserve">, đề tài kiểm tra độ bền trên mẫu chỉ gồm các trung tâm có ít nhất năm kỳ, và báo cáo thêm ước lượng khi loại các nhân tố thị trường cổ phiếu khỏi đầu vào của GFCI nếu danh sách nhân tố cho phép. Nếu dữ liệu không ủng hộ giả thuyết, đề tài vẫn trả lời được câu hỏi nghiên cứu bằng kích thước hiệu ứng và khoảng tin cậy.</w:t>
      </w:r>
    </w:p>
    <w:p w14:paraId="37F1B519" w14:textId="77777777" w:rsidR="005D3DB2" w:rsidRDefault="00000000">
      <w:pPr>
        <w:pStyle w:val="BodyText"/>
      </w:pPr>
      <w:r>
        <w:t xml:space="preserve">Kế hoạch có ba phương án dự phòng. Nếu không số hóa được điểm GFCI theo kỳ, câu hỏi 1 được trả lời ở dạng mô tả và H</w:t>
      </w:r>
      <w:r>
        <w:rPr>
          <w:vertAlign w:val="subscript"/>
        </w:rPr>
        <w:t xml:space="preserve">1</w:t>
      </w:r>
      <w:r>
        <w:t xml:space="preserve"> không được kiểm định. Nếu dữ liệu sau sự kiện ngắn hơn 24 tháng, H</w:t>
      </w:r>
      <w:r>
        <w:rPr>
          <w:vertAlign w:val="subscript"/>
        </w:rPr>
        <w:t xml:space="preserve">3</w:t>
      </w:r>
      <w:r>
        <w:t xml:space="preserve"> dùng toàn bộ tháng có sẵn và H</w:t>
      </w:r>
      <w:r>
        <w:rPr>
          <w:vertAlign w:val="subscript"/>
        </w:rPr>
        <w:t xml:space="preserve">4</w:t>
      </w:r>
      <w:r>
        <w:t xml:space="preserve"> dùng ít cửa sổ hơn. Nếu rổ chuyển sàn có ít hơn 30 cổ phiếu đủ thanh khoản, đề tài dùng rổ 20 cổ phiếu. Sáu mô hình ở Bảng 3 ước lượng được bằng phần mềm thống kê thông dụng; M</w:t>
      </w:r>
      <w:r>
        <w:rPr>
          <w:vertAlign w:val="subscript"/>
        </w:rPr>
        <w:t xml:space="preserve">5</w:t>
      </w:r>
      <w:r>
        <w:t xml:space="preserve"> cần phương pháp Bayes xấp xỉ mà thí sinh đã dùng trong Nguyen và Nguyen (2026a).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tác động của sàn giao dịch lên chất lượng thị trường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hai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và H</w:t>
      </w:r>
      <w:r>
        <w:rPr>
          <w:vertAlign w:val="subscript"/>
        </w:rPr>
        <w:t xml:space="preserve">4</w:t>
      </w:r>
      <w:r>
        <w:t xml:space="preserve"> là tác động gộp của sàn trong điều kiện các giả định ở mục 4.3.8 được thỏa mãn, và chỉ áp dụng cho một sự kiện; đề xuất định hướng chuyên môn hóa là đề xuất có căn cứ.</w:t>
      </w:r>
    </w:p>
    <w:p w14:paraId="05CFA613" w14:textId="77777777" w:rsidR="005D3DB2" w:rsidRDefault="00000000">
      <w:pPr>
        <w:pStyle w:val="BodyText"/>
      </w:pPr>
      <w:r>
        <w:rPr/>
        <w:t xml:space="preserve">Đóng góp dự kiến. Đề tài khác các công trình gần nhất ở ba điểm. So với Yao (2012) và Naeem (2023), đề tài tách riêng liên hệ giữa mức phát triển thị trường cổ phiếu và điểm GFCI. So với Amihud và cộng sự (1997) và Nielsson (2009), đề tài nghiên cứu việc hợp nhất hai sàn trong cùng một quốc gia ở thị trường mới nổi, và đo tác động lên khả năng đầu tư của nhà đầu tư đa dạng hóa ngoài thanh khoản. So với các công trình về Việt Nam (Vo &amp; Phan, 2017; Goutte và cộng sự, 2025; Nguyen &amp; Nguyen,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ứng với các sản phẩm mà bài toán số 19 nêu và một thước đo dùng chung. Thứ nhất là Chỉ số chất lượng thị trường vốn, mã nguồn mở, cập nhật theo tháng cho UPCoM và HOSE, ứng với sản phẩm “Hệ thống dữ liệu tài chính đô thị”. Thứ hai là báo cáo định hướng chuyên môn hóa cho thị trường vốn Hà Nội sau hợp nhất, ứng với sản phẩm “Trung tâm tài chính quốc tế tại Hà Nội” ở mức đề xuất có căn cứ. Thứ ba, Chỉ số khả năng đầu tư là một thước đo mà các dịch vụ đầu tư mới có thể dùng để so sánh, không phải một sản phẩm của bài toán. Các chỉ số và tệp đăng ký trước có được bất kể kết quả kiểm định.</w:t>
      </w:r>
    </w:p>
    <w:p>
      <w:pPr>
        <w:pStyle w:val="BodyText"/>
      </w:pPr>
      <w:r>
        <w:t xml:space="preserve">Đề tài không giải quyết trọn bài toán số 19; câu hỏi về công nghệ tài chính và nền tảng số nằm ngoài phạm vi. Người dùng dự kiến của kết quả gồm Ủy ban nhân dân thành phố Hà Nội, Ủy ban Chứng khoán Nhà nước, HNX, HOSE và các tổ chức đầu tư [CẦN XÁC MINH].</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 xml:space="preserve">Tổng quan tài liệu và khung phân tích</w:t>
            </w:r>
          </w:p>
        </w:tc>
        <w:tc>
          <w:tcPr>
            <w:tcW w:w="0" w:type="auto"/>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 xml:space="preserve">Dữ liệu và phương pháp</w:t>
            </w:r>
          </w:p>
        </w:tc>
        <w:tc>
          <w:tcPr>
            <w:tcW w:w="0" w:type="auto"/>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0" w:type="auto"/>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bền; 4.4 Thảo luận: Thành phố Hồ Chí Minh, Đà Nẵng và Hà Nội</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 xml:space="preserve">Chất lượng thị trường vốn trước hợp nhất: HNX, UPCoM và HOSE</w:t>
            </w:r>
          </w:p>
        </w:tc>
        <w:tc>
          <w:tcPr>
            <w:tcW w:w="0" w:type="auto"/>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 xml:space="preserve">Tác động của việc chuyển sàn và định hướng cho thị trường vốn Hà Nội</w:t>
            </w:r>
          </w:p>
        </w:tc>
        <w:tc>
          <w:tcPr>
            <w:tcW w:w="0" w:type="auto"/>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theo quy mô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 xml:space="preserve">Trả lời ba câu hỏi nghiên cứu; hạn chế (một sự kiện duy nhất, độ dài dữ liệu sau sự kiện, điều kiện truy cập dữ liệu GFCI,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w:t>
      </w:r>
      <w:r>
        <w:t xml:space="preserve">còn đề tài thuộc tài chính định lượng và quản lý, </w:t>
      </w:r>
      <w:r>
        <w:t xml:space="preserve">và giao thoa với quản lý ở phần </w:t>
      </w:r>
      <w:r>
        <w:t xml:space="preserve">định hướng chuyên môn hóa thị trường vốn Hà Nội</w:t>
      </w:r>
      <w:r>
        <w:t xml:space="preserve">.</w:t>
      </w:r>
      <w:r>
        <w:t xml:space="preserve"> Lý do thứ hai là ngôn ngữ đào tạo: </w:t>
      </w:r>
      <w:r>
        <w:t xml:space="preserve">chương trình giảng dạy bằng tiếng Anh hoặc tiếng Việt; </w:t>
      </w:r>
      <w:r>
        <w:t xml:space="preserve">học bằng tiếng Anh thuận lợi</w:t>
      </w:r>
      <w:r>
        <w:t xml:space="preserve"> cho công bố quốc tế, và thí sinh có</w:t>
      </w:r>
      <w:r>
        <w:t xml:space="preserve">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kiểm định giả thuyết trên chuỗi thời gian tài chính khi mẫu có ít giai đoạn căng thẳng, và báo cáo trung thực </w:t>
      </w:r>
      <w:r>
        <w:t xml:space="preserve">cả những kết quả chưa đủ cơ sở kết luận.</w:t>
      </w:r>
      <w:r>
        <w:t xml:space="preserve">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phát triển thị trường cổ phiếu và năng lực cạnh tranh của trung tâm tài chính;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định hướng cho Hà Nội.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 xml:space="preserve">Quý 1: xác nhận nguồn và giấy phép dữ liệu HNX, UPCoM, HOSE, dữ liệu công bố và báo cáo GFCI; đăng ký trước kế hoạch phân tích trước khi tính chỉ báo trên dữ liệu sau sự kiện.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0" w:type="auto"/>
          </w:tcPr>
          <w:p w14:paraId="49F49FA0" w14:textId="77777777" w:rsidR="005D3DB2" w:rsidRDefault="00000000">
            <w:pPr>
              <w:pStyle w:val="Compact"/>
            </w:pPr>
            <w:r>
              <w:t xml:space="preserve">Tổng quan nghiên cứu; tệp đăng ký trước; chuyên đề 1; chỉ số chất lượng bản đầu</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thu thập dữ liệu sau sự kiện, ước lượng khác biệt kép và kiểm định H</w:t>
            </w:r>
            <w:r>
              <w:rPr>
                <w:vertAlign w:val="subscript"/>
              </w:rPr>
              <w:t xml:space="preserve">3</w:t>
            </w:r>
          </w:p>
        </w:tc>
        <w:tc>
          <w:tcPr>
            <w:tcW w:w="0" w:type="auto"/>
          </w:tcPr>
          <w:p w14:paraId="43770066" w14:textId="77777777" w:rsidR="005D3DB2" w:rsidRDefault="00000000">
            <w:pPr>
              <w:pStyle w:val="Compact"/>
            </w:pPr>
            <w:r>
              <w:t xml:space="preserve">Bài báo 1; báo cáo hội thảo; chuyên đề 2</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 xml:space="preserve">Quý 1–2: hoàn tất 24 tháng dữ liệu sau sự kiện; ước lượng bảy mô hình trên rổ CS và rổ HOSE, kiểm định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0" w:type="auto"/>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0" w:type="auto"/>
          </w:tcPr>
          <w:p w14:paraId="4CC80AB9" w14:textId="77777777" w:rsidR="005D3DB2" w:rsidRDefault="00000000">
            <w:pPr>
              <w:pStyle w:val="Compact"/>
            </w:pPr>
            <w:r>
              <w:t xml:space="preserve">Bài báo 3;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ba phương án dự phòng (mục 4.3.10): không số hóa được điểm GFCI; dữ liệu sau sự kiện ngắn hơn 24 tháng; rổ chuyển sàn có ít hơn 30 cổ phiếu đủ thanh khoản.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&amp;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 xml:space="preserve">Ghi chú: (*) Tác giả liên hệ. Tên bài báo bằng tiếng Anh </w:t>
      </w:r>
      <w:r>
        <w:t xml:space="preserve">giữ nguyên như khi công bố. Trạng thái tính đến ngày 30/09/2026.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 xml:space="preserve">Không</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w:t>
      </w:r>
      <w:r>
        <w:t xml:space="preserve">cả chín bản thảo</w:t>
      </w:r>
      <w:r>
        <w:t xml:space="preserve">.</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w:t>
      </w:r>
      <w:r>
        <w:t xml:space="preserve">chứng chỉ tiếng Anh Bậc 4 (VSTEP, Vietnamese Standardized Test of English Proficiency)</w:t>
      </w:r>
      <w:r>
        <w:t xml:space="preserve">,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Bài báo Nguyen và Nguyen (2026a) cho thí sinh kinh nghiệm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w:t>
      </w:r>
      <w:r>
        <w:t xml:space="preserve">“chính sách tài khóa, tài chính tiền tệ, phát triển thị trường tài chính, tái cấu trúc hệ thống ngân hàng, quản trị tài chính, quản trị ngân hàng”</w:t>
      </w:r>
      <w:r>
        <w:t xml:space="preserve">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w:t>
      </w:r>
      <w:r>
        <w:t xml:space="preserve">chất lượng thị trường vốn, biến động trong giai đoạn căng thẳng và quyết định danh mục ở một thị trường mới nổi</w:t>
      </w:r>
      <w:r>
        <w:t xml:space="preserve">.</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w:t>
      </w:r>
      <w:r>
        <w:t xml:space="preserve">phần hàm ý chính sách và quản trị của đề tài</w:t>
      </w:r>
      <w:r>
        <w:t xml:space="preserve">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(2025), Thông tư số 139/2025/TT-BTC sửa đổi, bổ sung một số điều của Thông tư số 57/2021/TT-BTC [CẦN ĐỐI CHIẾU văn bản gốc].</w:t>
      </w:r>
    </w:p>
    <w:p w14:paraId="6DB249FB" w14:textId="77777777" w:rsidR="005D3DB2" w:rsidRDefault="00000000">
      <w:pPr>
        <w:pStyle w:val="Reference"/>
      </w:pPr>
      <w:r>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pPr>
        <w:pStyle w:val="Reference"/>
      </w:pPr>
      <w:r>
        <w:t xml:space="preserve">Quốc hội (2025), Nghị quyết số 222/2025/QH15 ngày 27/6/2025 về Trung tâm tài chính quốc tế tại Việt Nam.</w:t>
      </w:r>
    </w:p>
    <w:p>
      <w:pPr>
        <w:pStyle w:val="Reference"/>
      </w:pPr>
      <w:r>
        <w:t xml:space="preserve">Thời báo Tài chính Việt Nam (2026), “Chốt thời điểm chuyển toàn bộ cổ phiếu niêm yết về HOSE”, https://thoibaotaichinhvietnam.vn/chot-thoi-diem-chuyen-toan-bo-co-phieu-niem-yet-ve-hose-204623.html.</w:t>
      </w:r>
    </w:p>
    <w:p>
      <w:pPr>
        <w:pStyle w:val="Reference"/>
      </w:pPr>
      <w:r>
        <w:t xml:space="preserve">Ủy ban nhân dân thành phố Hà Nội (2026), </w:t>
      </w:r>
      <w:r>
        <w:rPr>
          <w:i/>
          <w:iCs/>
        </w:rPr>
        <w:t xml:space="preserve">Quyết định số 1193/QĐ-UBND ngày 18/03/2026 công bố Danh mục các bài toán lớn của thành phố Hà Nội giai đoạn 2026–2030 (đợt 1)</w:t>
      </w:r>
      <w:r>
        <w:t xml:space="preserve">, Hà Nội [CẦN ĐỐI CHIẾU bản chính thức].</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pPr>
        <w:pStyle w:val="Reference"/>
      </w:pPr>
      <w:r>
        <w:t xml:space="preserve">Amihud, Y., Mendelson, H., Lauterbach, B. (1997), “Market microstructure and securities values: Evidence from the Tel Aviv Stock Exchange”, </w:t>
      </w:r>
      <w:r>
        <w:rPr>
          <w:i/>
          <w:iCs/>
        </w:rPr>
        <w:t xml:space="preserve">Journal of Financial Economics</w:t>
      </w:r>
      <w:r>
        <w:t xml:space="preserve">, 45(3), pp. 365–390.</w:t>
      </w:r>
    </w:p>
    <w:p>
      <w:pPr>
        <w:pStyle w:val="Reference"/>
      </w:pPr>
      <w:r>
        <w:t xml:space="preserve">Bae, K.-H., Chan, K., Ng, A. (2004), “Investibility and return volatility”, </w:t>
      </w:r>
      <w:r>
        <w:rPr>
          <w:i/>
          <w:iCs/>
        </w:rPr>
        <w:t xml:space="preserve">Journal of Financial Economics</w:t>
      </w:r>
      <w:r>
        <w:t xml:space="preserve">, 71(2), pp. 239–263.</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pPr>
        <w:pStyle w:val="Reference"/>
      </w:pPr>
      <w:r>
        <w:t xml:space="preserve">Bekaert, G., Harvey, C. R., Lundblad, C. (2007), “Liquidity and expected returns: Lessons from emerging markets”, </w:t>
      </w:r>
      <w:r>
        <w:rPr>
          <w:i/>
          <w:iCs/>
        </w:rPr>
        <w:t xml:space="preserve">Review of Financial Studies</w:t>
      </w:r>
      <w:r>
        <w:t xml:space="preserve">, 20(6), pp. 1783–1831.</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pPr>
        <w:pStyle w:val="Reference"/>
      </w:pPr>
      <w:r>
        <w:t xml:space="preserve">Cetorelli, N., Peristiani, S. (2013), “Prestigious stock exchanges: A network analysis of international financial centers”, </w:t>
      </w:r>
      <w:r>
        <w:rPr>
          <w:i/>
          <w:iCs/>
        </w:rPr>
        <w:t xml:space="preserve">Journal of Banking &amp; Finance</w:t>
      </w:r>
      <w:r>
        <w:t xml:space="preserve">, 37(5), pp. 1543–1551.</w:t>
      </w:r>
    </w:p>
    <w:p>
      <w:pPr>
        <w:pStyle w:val="Reference"/>
      </w:pPr>
      <w:r>
        <w:t xml:space="preserve">Chen, K., Chen, G. (2015), “The rise of international financial centers in mainland China”, </w:t>
      </w:r>
      <w:r>
        <w:rPr>
          <w:i/>
          <w:iCs/>
        </w:rPr>
        <w:t xml:space="preserve">Cities</w:t>
      </w:r>
      <w:r>
        <w:t xml:space="preserve">, 47, pp. 10–22.</w:t>
      </w:r>
    </w:p>
    <w:p>
      <w:pPr>
        <w:pStyle w:val="Reference"/>
      </w:pPr>
      <w:r>
        <w:t xml:space="preserve">Christie, W. G., Huang, R. D. (1994), “Market structures and liquidity: A transactions data study of exchange listings”, </w:t>
      </w:r>
      <w:r>
        <w:rPr>
          <w:i/>
          <w:iCs/>
        </w:rPr>
        <w:t xml:space="preserve">Journal of Financial Intermediation</w:t>
      </w:r>
      <w:r>
        <w:t xml:space="preserve">, 3(3), pp. 300–326.</w:t>
      </w:r>
    </w:p>
    <w:p>
      <w:pPr>
        <w:pStyle w:val="Reference"/>
      </w:pPr>
      <w:r>
        <w:t xml:space="preserve">Čihák, M., Demirgüç-Kunt, A., Feyen, E., Levine, R. (2012), “Benchmarking financial systems around the world”, </w:t>
      </w:r>
      <w:r>
        <w:rPr>
          <w:i/>
          <w:iCs/>
        </w:rPr>
        <w:t xml:space="preserve">Policy Research Working Paper</w:t>
      </w:r>
      <w:r>
        <w:t xml:space="preserve"> 6175, World Bank, Washington, DC.</w:t>
      </w:r>
    </w:p>
    <w:p>
      <w:pPr>
        <w:pStyle w:val="Reference"/>
      </w:pPr>
      <w:r>
        <w:t xml:space="preserve">Corwin, S. A., Schultz, P. (2012), “A simple way to estimate bid-ask spreads from daily high and low prices”, </w:t>
      </w:r>
      <w:r>
        <w:rPr>
          <w:i/>
          <w:iCs/>
        </w:rPr>
        <w:t xml:space="preserve">Journal of Finance</w:t>
      </w:r>
      <w:r>
        <w:t xml:space="preserve">, 67(2), pp. 719–760.</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pPr>
        <w:pStyle w:val="Reference"/>
      </w:pPr>
      <w:r>
        <w:t xml:space="preserve">Elliott, D. J. (2011), </w:t>
      </w:r>
      <w:r>
        <w:rPr>
          <w:i/>
          <w:iCs/>
        </w:rPr>
        <w:t xml:space="preserve">Building a Global Financial Center in Shanghai: Observations from Other Centers</w:t>
      </w:r>
      <w:r>
        <w:t xml:space="preserve">, Brookings Institution, Washington, DC.</w:t>
      </w:r>
    </w:p>
    <w:p>
      <w:pPr>
        <w:pStyle w:val="Reference"/>
      </w:pPr>
      <w:r>
        <w:t xml:space="preserve">Fong, K. Y. L., Holden, C. W., Trzcinka, C. A. (2017), “What are the best liquidity proxies for global research?”, </w:t>
      </w:r>
      <w:r>
        <w:rPr>
          <w:i/>
          <w:iCs/>
        </w:rPr>
        <w:t xml:space="preserve">Review of Finance</w:t>
      </w:r>
      <w:r>
        <w:t xml:space="preserve">, 21(4), pp. 1355–1401.</w:t>
      </w:r>
    </w:p>
    <w:p w14:paraId="2B09AD08" w14:textId="77777777" w:rsidR="005D3DB2" w:rsidRDefault="00000000">
      <w:pPr>
        <w:pStyle w:val="Reference"/>
      </w:pPr>
      <w:r>
        <w:t xml:space="preserve">Garlappi, L., Uppal, R., Wang, T. (2007), “Portfolio selection with parameter and model uncertainty: A multi-prior approach”, </w:t>
      </w:r>
      <w:r>
        <w:rPr>
          <w:i/>
          <w:iCs/>
        </w:rPr>
        <w:t>Review of Financial Studies</w:t>
      </w:r>
      <w:r>
        <w:t>, 20(1), pp. 41–81.</w:t>
      </w:r>
    </w:p>
    <w:p>
      <w:pPr>
        <w:pStyle w:val="Reference"/>
      </w:pPr>
      <w:r>
        <w:t xml:space="preserve">Gehrig, T. (2000), “Cities and the geography of financial centers”, trong Huriot, J.-M., Thisse, J.-F. (Eds.), </w:t>
      </w:r>
      <w:r>
        <w:rPr>
          <w:i/>
          <w:iCs/>
        </w:rPr>
        <w:t xml:space="preserve">Economics of Cities: Theoretical Perspectives</w:t>
      </w:r>
      <w:r>
        <w:t xml:space="preserve">, Cambridge University Press, Cambridge [CẦN BỔ SUNG số trang].</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pPr>
        <w:pStyle w:val="Reference"/>
      </w:pPr>
      <w:r>
        <w:t xml:space="preserve">Griffin, J. M., Kelly, P. J., Nardari, F. (2010), “Do market efficiency measures yield correct inferences? A comparison of developed and emerging markets”, </w:t>
      </w:r>
      <w:r>
        <w:rPr>
          <w:i/>
          <w:iCs/>
        </w:rPr>
        <w:t xml:space="preserve">Review of Financial Studies</w:t>
      </w:r>
      <w:r>
        <w:t xml:space="preserve">, 23(8), pp.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pPr>
        <w:pStyle w:val="Reference"/>
      </w:pPr>
      <w:r>
        <w:t xml:space="preserve">Hou, K., Moskowitz, T. J. (2005), “Market frictions, price delay, and the cross-section of expected returns”, </w:t>
      </w:r>
      <w:r>
        <w:rPr>
          <w:i/>
          <w:iCs/>
        </w:rPr>
        <w:t xml:space="preserve">Review of Financial Studies</w:t>
      </w:r>
      <w:r>
        <w:t xml:space="preserve">, 18(3), pp. 981–1020.</w:t>
      </w:r>
    </w:p>
    <w:p>
      <w:pPr>
        <w:pStyle w:val="Reference"/>
      </w:pPr>
      <w:r>
        <w:t xml:space="preserve">Huang, R. D., Stoll, H. R. (1996), “Dealer versus auction markets: A paired comparison of execution costs on NASDAQ and the NYSE”, </w:t>
      </w:r>
      <w:r>
        <w:rPr>
          <w:i/>
          <w:iCs/>
        </w:rPr>
        <w:t xml:space="preserve">Journal of Financial Economics</w:t>
      </w:r>
      <w:r>
        <w:t xml:space="preserve">, 41(3), pp. 313–357.</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pPr>
        <w:pStyle w:val="Reference"/>
      </w:pPr>
      <w:r>
        <w:t xml:space="preserve">Kaufmann, D., Kraay, A., Mastruzzi, M. (2011), “The Worldwide Governance Indicators: Methodology and analytical issues”, </w:t>
      </w:r>
      <w:r>
        <w:rPr>
          <w:i/>
          <w:iCs/>
        </w:rPr>
        <w:t xml:space="preserve">Hague Journal on the Rule of Law</w:t>
      </w:r>
      <w:r>
        <w:t xml:space="preserve">, 3(2), pp.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 Princeton.</w:t>
      </w:r>
    </w:p>
    <w:p w14:paraId="012396B6" w14:textId="77777777" w:rsidR="005D3DB2" w:rsidRDefault="00000000">
      <w:pPr>
        <w:pStyle w:val="Reference"/>
      </w:pPr>
      <w:r>
        <w:t xml:space="preserve">Kritzman, M., Page, S., Turkington, D. (2012), “Regime shifts: Implications for dynamic strategies”, </w:t>
      </w:r>
      <w:r>
        <w:rPr>
          <w:i/>
          <w:iCs/>
        </w:rPr>
        <w:t>Financial Analysts Journal</w:t>
      </w:r>
      <w:r>
        <w:t>, 68(3), pp. 22–39.</w:t>
      </w:r>
    </w:p>
    <w:p>
      <w:pPr>
        <w:pStyle w:val="Reference"/>
      </w:pPr>
      <w:r>
        <w:t xml:space="preserve">Lai, K. P. Y. (2012), “Differentiated markets: Shanghai, Beijing and Hong Kong in China’s financial centre network”, </w:t>
      </w:r>
      <w:r>
        <w:rPr>
          <w:i/>
          <w:iCs/>
        </w:rPr>
        <w:t xml:space="preserve">Urban Studies</w:t>
      </w:r>
      <w:r>
        <w:t xml:space="preserve">, 49(6), pp. 1275–1296.</w:t>
      </w:r>
    </w:p>
    <w:p>
      <w:pPr>
        <w:pStyle w:val="Reference"/>
      </w:pPr>
      <w:r>
        <w:t xml:space="preserve">Lang, M., Lins, K. V., Maffett, M. (2012), “Transparency, liquidity, and valuation: International evidence on when transparency matters most”, </w:t>
      </w:r>
      <w:r>
        <w:rPr>
          <w:i/>
          <w:iCs/>
        </w:rPr>
        <w:t xml:space="preserve">Journal of Accounting Research</w:t>
      </w:r>
      <w:r>
        <w:t xml:space="preserve">, 50(3), pp. 729–774.</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pPr>
        <w:pStyle w:val="Reference"/>
      </w:pPr>
      <w:r>
        <w:t xml:space="preserve">Lesmond, D. A. (2005), “Liquidity of emerging markets”, </w:t>
      </w:r>
      <w:r>
        <w:rPr>
          <w:i/>
          <w:iCs/>
        </w:rPr>
        <w:t xml:space="preserve">Journal of Financial Economics</w:t>
      </w:r>
      <w:r>
        <w:t xml:space="preserve">, 77(2), pp. 411–452.</w:t>
      </w:r>
    </w:p>
    <w:p>
      <w:pPr>
        <w:pStyle w:val="Reference"/>
      </w:pPr>
      <w:r>
        <w:t xml:space="preserve">Lesmond, D. A., Ogden, J. P., Trzcinka, C. A. (1999), “A new estimate of transaction costs”, </w:t>
      </w:r>
      <w:r>
        <w:rPr>
          <w:i/>
          <w:iCs/>
        </w:rPr>
        <w:t xml:space="preserve">Review of Financial Studies</w:t>
      </w:r>
      <w:r>
        <w:t xml:space="preserve">, 12(5), pp. 1113–1141.</w:t>
      </w:r>
    </w:p>
    <w:p>
      <w:pPr>
        <w:pStyle w:val="Reference"/>
      </w:pPr>
      <w:r>
        <w:t xml:space="preserve">Lo, A. W., MacKinlay, A. C. (1988), “Stock market prices do not follow random walks: Evidence from a simple specification test”, </w:t>
      </w:r>
      <w:r>
        <w:rPr>
          <w:i/>
          <w:iCs/>
        </w:rPr>
        <w:t xml:space="preserve">Review of Financial Studies</w:t>
      </w:r>
      <w:r>
        <w:t xml:space="preserve">, 1(1), pp. 41–66.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pPr>
        <w:pStyle w:val="Reference"/>
      </w:pPr>
      <w:r>
        <w:t xml:space="preserve">Naeem, M. M. F. (2023), </w:t>
      </w:r>
      <w:r>
        <w:rPr>
          <w:i/>
          <w:iCs/>
        </w:rPr>
        <w:t xml:space="preserve">What makes an International Financial Centre (IFC) Competitive?</w:t>
      </w:r>
      <w:r>
        <w:t xml:space="preserve">, Luận án tiến sĩ, Durham University, https://etheses.durham.ac.uk/id/eprint/15102/.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pPr>
        <w:pStyle w:val="Reference"/>
      </w:pPr>
      <w:r>
        <w:t xml:space="preserve">Nielsson, U. (2009), “Stock exchange merger and liquidity: The case of Euronext”, </w:t>
      </w:r>
      <w:r>
        <w:rPr>
          <w:i/>
          <w:iCs/>
        </w:rPr>
        <w:t xml:space="preserve">Journal of Financial Markets</w:t>
      </w:r>
      <w:r>
        <w:t xml:space="preserve">, 12(2), pp. 229–267.</w:t>
      </w:r>
    </w:p>
    <w:p>
      <w:pPr>
        <w:pStyle w:val="Reference"/>
      </w:pPr>
      <w:r>
        <w:t xml:space="preserve">OECD (2008), </w:t>
      </w:r>
      <w:r>
        <w:rPr>
          <w:i/>
          <w:iCs/>
        </w:rPr>
        <w:t xml:space="preserve">Handbook on Constructing Composite Indicators: Methodology and User Guide</w:t>
      </w:r>
      <w:r>
        <w:t xml:space="preserve">, OECD Publishing, Paris.</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14:paraId="3C6B5147" w14:textId="77777777" w:rsidR="005D3DB2" w:rsidRDefault="00000000">
      <w:pPr>
        <w:pStyle w:val="Reference"/>
      </w:pPr>
      <w:r>
        <w:t xml:space="preserve">Ta, B. Q., Vuong, T. (2020), “The Black-Litterman model for portfolio optimization on Vietnam stock market”, </w:t>
      </w:r>
      <w:r>
        <w:rPr>
          <w:i/>
          <w:iCs/>
        </w:rPr>
        <w:t>International Journal of Uncertainty, Fuzziness and Knowledge-Based Systems</w:t>
      </w:r>
      <w:r>
        <w:t>, 28(Supp01), pp. 99–111.</w:t>
      </w:r>
    </w:p>
    <w:p>
      <w:pPr>
        <w:pStyle w:val="Reference"/>
      </w:pPr>
      <w:r>
        <w:t xml:space="preserve">VietnamPlus (2026a), “Ho Chi Minh City jumps 17 places in Global Financial Centres Index”, https://en.vietnamplus.vn/ho-chi-minh-city-jumps-17-places-in-global-financial-centres-index-post352894.vnp.</w:t>
      </w:r>
    </w:p>
    <w:p>
      <w:pPr>
        <w:pStyle w:val="Reference"/>
      </w:pPr>
      <w:r>
        <w:t xml:space="preserve">VietnamPlus (2026b), “Vietnam International Financial Centre in Da Nang ranked 71st globally”, https://en.vietnamplus.vn/vietnam-international-financial-centre-in-da-nang-ranked-71st-globally-post352933.vnp.</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pPr>
        <w:pStyle w:val="Reference"/>
      </w:pPr>
      <w:r>
        <w:t xml:space="preserve">Wang, D. T., Zhao, S. X., Wang, D. (2007), “‘Information hinterland’: A base for financial centre development. The case of Beijing versus Shanghai in China”, </w:t>
      </w:r>
      <w:r>
        <w:rPr>
          <w:i/>
          <w:iCs/>
        </w:rPr>
        <w:t xml:space="preserve">Tijdschrift voor Economische en Sociale Geografie</w:t>
      </w:r>
      <w:r>
        <w:t xml:space="preserve">, 98(1), pp. 102–120.</w:t>
      </w:r>
    </w:p>
    <w:p>
      <w:pPr>
        <w:pStyle w:val="Reference"/>
      </w:pPr>
      <w:r>
        <w:t xml:space="preserve">Wójcik, D. (2007), “Geography and the future of stock exchanges: Between real and virtual space”, </w:t>
      </w:r>
      <w:r>
        <w:rPr>
          <w:i/>
          <w:iCs/>
        </w:rPr>
        <w:t xml:space="preserve">Growth and Change</w:t>
      </w:r>
      <w:r>
        <w:t xml:space="preserve">, 38(2), pp.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Bằng chứng quốc tế</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Hồi quy dữ liệu bảng điểm GFCI</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Kiểm định H1</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Chỉ số chất lượng thị trường</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Thanh khoản, hiệu quả, minh bạch</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Trước hợp nhất, HNX so với HOSE: H2</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Bằng chứng quốc tế</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Chỉ số chất lượng thị trường</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