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 xml:space="preserve">HỢP NHẤT SÀN CHỨNG KHOÁN VÀ CHẤT LƯỢNG THỊ TRƯỜNG: BẰNG CHỨNG THỰC NGHIỆM TỪ HNX VÀ VỊ THẾ TÀI CHÍNH HÀ NỘI</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0"/>
      </w:pPr>
      <w:r>
        <w:rPr>
          <w:b/>
          <w:bCs/>
        </w:rPr>
        <w:t xml:space="preserve">    - </w:t>
      </w:r>
      <w:r>
        <w:rPr>
          <w:b/>
          <w:bCs/>
        </w:rPr>
        <w:t xml:space="preserve">GS.TS. Nguyễn Đức Khương (người hướng dẫn chính)</w:t>
      </w:r>
    </w:p>
    <w:p>
      <w:pPr>
        <w:spacing w:after="2200"/>
      </w:pPr>
      <w:r>
        <w:rPr>
          <w:b/>
          <w:bCs/>
        </w:rPr>
        <w:t xml:space="preserve">    - PGS.TS. Hà Hồng Hạnh - 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 xml:space="preserve">1. Tên đề cương nghiên cứu (không quá 30 từ): </w:t>
      </w:r>
      <w:r>
        <w:t xml:space="preserve">Hợp nhất sàn chứng khoán và chất lượng thị trường: Bằng chứng thực nghiệm từ HNX và vị thế tài chính Hà Nội</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 xml:space="preserve">4.3.4. </w:t>
        </w:r>
        <w:r>
          <w:rPr>
            <w:rStyle w:val="Hyperlink"/>
            <w:noProof/>
          </w:rPr>
          <w:t xml:space="preserve">Chỉ số chất lượng thị trường vốn</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 xml:space="preserve">4.3.5. </w:t>
        </w:r>
        <w:r>
          <w:rPr>
            <w:rStyle w:val="Hyperlink"/>
            <w:noProof/>
          </w:rPr>
          <w:t xml:space="preserve">Mô hình phân bổ dùng làm công cụ đo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 xml:space="preserve">4.3.6. </w:t>
        </w:r>
        <w:r>
          <w:rPr>
            <w:rStyle w:val="Hyperlink"/>
            <w:noProof/>
          </w:rPr>
          <w:t xml:space="preserve">Chỉ số khả năng đầu tư</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 xml:space="preserve">4.3.8. </w:t>
        </w:r>
        <w:r>
          <w:rPr>
            <w:rStyle w:val="Hyperlink"/>
            <w:noProof/>
          </w:rPr>
          <w:t xml:space="preserve">Thiết kế khác biệt kép quanh ngày chuyển sàn</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1.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 xml:space="preserve">Bảng 3. </w:t>
        </w:r>
        <w:r>
          <w:rPr>
            <w:rStyle w:val="Hyperlink"/>
            <w:noProof/>
          </w:rPr>
          <w:t xml:space="preserve">Bảy mô hình phân bổ dùng làm công cụ đo khả năng đầu tư</w:t>
        </w:r>
        <w:r>
          <w:rPr>
            <w:noProof/>
            <w:webHidden/>
          </w:rPr>
          <w:tab/>
          <w:fldChar w:fldCharType="begin"/>
          <w:instrText xml:space="preserve"> PAGEREF _Toc242353158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Bảng 7. Bản thảo đã gửi tạp chí, chưa công bố tại ngày 30/09/2026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 xml:space="preserve">Hình 1. </w:t>
        </w:r>
        <w:r>
          <w:rPr>
            <w:rStyle w:val="Hyperlink"/>
            <w:noProof/>
          </w:rPr>
          <w:t xml:space="preserve">Khung phân tích: hợp nhất sàn, chất lượng thị trường và khả năng đầu tư</w:t>
        </w:r>
        <w:r>
          <w:rPr>
            <w:noProof/>
            <w:webHidden/>
          </w:rPr>
          <w:tab/>
          <w:fldChar w:fldCharType="begin"/>
          <w:instrText xml:space="preserve"> PAGEREF _Toc242353163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 xml:space="preserve">Hình 2. Cửa sổ ước lượng, cửa sổ đánh giá và </w:t>
        </w:r>
        <w:r>
          <w:rPr>
            <w:rStyle w:val="Hyperlink"/>
            <w:noProof/>
          </w:rPr>
          <w:t xml:space="preserve">cách tính khoảng cách khả năng đầu tư</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CHỮ VIẾT TẮT</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CS: rổ cổ phiếu chuyển sàn</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GFCI: Chỉ số Trung tâm Tài chính Toàn cầu (Global Financial Centres Index)</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H: rổ cổ phiếu HOSE được ghép với rổ CS</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HNX: Sở Giao dịch Chứng khoán Hà Nội</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HOSE: Sở Giao dịch Chứng khoán Thành phố Hồ Chí Minh</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MQI: Chỉ số chất lượng thị trường vốn (Market Quality Index)</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OSF: Open Science Framework</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SMD: chỉ báo phát triển thị trường cổ phiếu (Stock Market Development)</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UPCoM: thị trường giao dịch cổ phiếu của công ty đại chúng chưa niêm yết</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VNX: Sở Giao dịch Chứng khoán Việt Nam</w:t>
      </w:r>
    </w:p>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Hà Nội đặt mục tiêu trở thành trung tâm tài chính và dịch vụ chất lượng cao quốc tế. Thành phố đưa mục tiêu này vào Danh mục bài toán lớn giai đoạn 2026–2030 dưới dạng bài toán số 19: “Phương thức nào để xây dựng Hà Nội thành trung tâm tài chính và dịch vụ chất lượng cao quốc tế?” (Ủy ban nhân dân thành phố Hà Nội, 2026) [CẦN ĐỐI CHIẾU bản chính thức]. Trong các câu hỏi khoa học công nghệ chính của bài toán, câu hỏi thứ nhất hỏi mô hình trung tâm tài chính nào phù hợp với Hà Nội, và câu hỏi thứ ba hỏi nền tảng nào tăng cường minh bạch và hiệu quả của thị trường tài chính. Đề tài không đề xuất mô hình hay nền tảng công nghệ. Đề tài cung cấp thước đo nền cho hai câu hỏi này: chất lượng thị trường vốn của Hà Nội thay đổi thế nào khi cấu trúc sàn giao dịch thay đổi.</w:t>
      </w:r>
    </w:p>
    <w:p w14:paraId="2EA2BE63" w14:textId="77777777" w:rsidR="005D3DB2" w:rsidRDefault="00000000">
      <w:pPr>
        <w:pStyle w:val="BodyText"/>
      </w:pPr>
      <w:r>
        <w:t xml:space="preserve">Đề cương dùng năm khái niệm với nghĩa cố định. Năng lực cạnh tranh của trung tâm tài chính là khả năng giữ và thu hút các tổ chức tài chính và cung cấp dịch vụ đáp ứng nhu cầu trong nước và quốc tế (Yao, 2012); đề tài đo khái niệm này bằng điểm GFCI như Naeem (2023). Chất lượng thị trường vốn gồm ba chiều: thanh khoản, hiệu quả thông tin và minh bạch công bố. Khả năng đầu tư của một rổ cổ phiếu là lợi suất tương đương chắc chắn sau chi phí giao dịch mà nhà đầu tư đa dạng hóa đạt được với rổ đó; đề tài đo khả năng đầu tư của các cổ phiếu chuyển sàn bằng một rổ cố định gồm những mã thanh khoản nhất của nhóm này. Khái niệm này khác với khả năng đầu tư theo nghĩa giới hạn sở hữu của nhà đầu tư nước ngoài (Bae và cộng sự, 2004). Hợp nhất sàn là việc chuyển toàn bộ cổ phiếu niêm yết từ Sở Giao dịch Chứng khoán Hà Nội (HNX) sang Sở Giao dịch Chứng khoán Thành phố Hồ Chí Minh (HOSE). Thị trường vốn Hà Nội là các thị trường do HNX tiếp tục vận hành sau hợp nhất.</w:t>
      </w:r>
    </w:p>
    <w:p w14:paraId="346EA82B" w14:textId="77777777" w:rsidR="005D3DB2" w:rsidRDefault="00000000">
      <w:pPr>
        <w:pStyle w:val="BodyText"/>
      </w:pPr>
      <w:r>
        <w:t xml:space="preserve">Theo Nghị quyết số 222/2025/QH15, Trung tâm tài chính quốc tế tại Việt Nam đặt tại Thành phố Hồ Chí Minh và thành phố Đà Nẵng (Quốc hội, 2025). Ở kỳ GFCI 40 (tháng 9/2026), Thành phố Hồ Chí Minh xếp thứ 67 trên 117 trung tâm, còn Đà Nẵng lần đầu vào chỉ số ở vị trí 71 (VietnamPlus, 2026a, 2026b) [CẦN ĐỐI CHIẾU báo cáo gốc]; thí sinh chưa thấy Hà Nội trong bảng xếp hạng. Lộ trình sắp xếp lại thị trường được quy định từ Thông tư số 57/2021/TT-BTC: HNX ngừng nhận hồ sơ niêm yết cổ phiếu mới từ ngày 01/7/2025, và hạn chuyển cổ phiếu niêm yết sang HOSE là hết năm 2025 (Bộ Tài chính, 2023). Thông tư số 139/2025/TT-BTC ngày 30/12/2025 lùi hạn này đến hết ngày 31/12/2026 (Bộ Tài chính, 2025). Theo lịch do Sở Giao dịch Chứng khoán Việt Nam (VNX) công bố ngày 30/9/2026, cổ phiếu niêm yết tại HNX giao dịch phiên cuối ngày 23/12/2026 và giao dịch trên HOSE từ ngày 28/12/2026 (Thời báo Tài chính Việt Nam, 2026). Văn bản hợp nhất cũng đặt hạn hết ngày 31/12/2026 cho việc chuyển cổ phiếu của thị trường giao dịch cổ phiếu của công ty đại chúng chưa niêm yết (UPCoM), nhưng báo chí cho biết UPCoM chưa thuộc diện chuyển trong đợt này [CẦN XÁC MINH]. Sau hợp nhất, HNX giữ vai trò tổ chức thị trường trái phiếu và chứng khoán phái sinh (Bộ Tài chính, 2023).</w:t>
      </w:r>
    </w:p>
    <w:p w14:paraId="1436490C" w14:textId="77777777" w:rsidR="005D3DB2" w:rsidRDefault="00000000">
      <w:pPr>
        <w:pStyle w:val="BodyText"/>
      </w:pPr>
      <w:r>
        <w:t xml:space="preserve">Lý thuyết về trung tâm tài chính giải thích vì sao hoạt động tài chính dồn về một vài thành phố: quy mô giao dịch và thông tin tạo lợi thế tích tụ (Kindleberger, 1974; Gehrig, 2000). Khi một quốc gia có nhiều trung tâm, các trung tâm phân vai thay vì cạnh tranh trực diện. Lai (2012) cho thấy Thượng Hải phát triển thành trung tâm thương mại, Bắc Kinh thành trung tâm chính trị và quản lý, Hồng Kông thành trung tâm hải ngoại, và ba vai trò này bổ sung cho nhau. Wang và cộng sự (2007) giải thích lợi thế của Bắc Kinh bằng vùng thông tin chính sách mà thủ đô nắm giữ. Cặp Hà Nội và Thành phố Hồ Chí Minh có thể so sánh với cặp Bắc Kinh và Thượng Hải, dù Bắc Kinh chỉ có sở giao dịch chứng khoán tầm quốc gia từ năm 2021 [CẦN XÁC MINH], nên câu hỏi chuyên môn hóa (Yao, 2012) đặt ra cho Hà Nội sau đợt hợp nhất.</w:t>
      </w:r>
    </w:p>
    <w:p>
      <w:pPr>
        <w:pStyle w:val="BodyText"/>
      </w:pPr>
      <w:r>
        <w:t xml:space="preserve">Bằng chứng quốc tế cho thấy sàn giao dịch ảnh hưởng tới chất lượng giao dịch của cùng một cổ phiếu. Amihud và cộng sự (1997) thấy cổ phiếu chuyển sang cơ chế giao dịch tốt hơn trên Sở Giao dịch Chứng khoán Tel Aviv có thanh khoản và giá tăng. Nielsson (2009) thấy việc hình thành Euronext làm thanh khoản tăng ở doanh nghiệp lớn và doanh nghiệp có doanh thu nước ngoài, nhưng không tăng ở doanh nghiệp nhỏ. Ngược lại, Hisada (2018) nghiên cứu việc chuyển cổ phiếu từ Sở Giao dịch Chứng khoán Osaka sang Sở Giao dịch Chứng khoán Tokyo ngày 16/7/2013 và thấy thanh khoản tăng trong ngắn hạn, mạnh hơn ở cổ phiếu nhỏ, rồi giảm sau một năm. Đợt hợp nhất ở Việt Nam đổi sàn của khoảng 300 doanh nghiệp trong cùng một ngày [CẦN ĐỐI CHIẾU danh sách VNX]. Sự kiện này cho phép so sánh cùng các cổ phiếu trước và sau khi đổi sàn với một nhóm đối chứng. Với nhà đầu tư, tác động của sàn biểu hiện thành khả năng đầu tư, được đo trên bảy mô hình phân bổ vì không mô hình nào thắng ổn định (DeMiguel và cộng sự, 2009).</w:t>
      </w:r>
    </w:p>
    <w:p w14:paraId="019D1985" w14:textId="77777777" w:rsidR="005D3DB2" w:rsidRDefault="00000000">
      <w:pPr>
        <w:pStyle w:val="BodyText"/>
      </w:pPr>
      <w:r>
        <w:t xml:space="preserve">Tài liệu hiện có để ngỏ ba vấn đề. Thứ nhất, các nghiên cứu về yếu tố quyết định vị thế trung tâm tài chính xét nhiều nhóm yếu tố cùng lúc (Moosa và cộng sự, 2016; Eichengreen &amp; Shah, 2020); Naeem (2023) chọn 17 yếu tố bằng phương pháp cây quyết định và không có chỉ báo nào về thị trường cổ phiếu. Thứ hai, bằng chứng về hợp nhất sàn chủ yếu đến từ thị trường phát triển (Nielsson, 2009; Hisada, 2018), cho kết quả trái chiều theo quy mô doanh nghiệp, và chỉ đo thanh khoản. Thứ ba, các công trình về Việt Nam tập trung vào HOSE và VN-Index (Vo &amp; Phan, 2017; Hoang &amp; Luu, 2024; Goutte và cộng sự, 2025) và chưa có nghiên cứu nào về đợt hợp nhất năm 2026. Phạm vi tìm kiếm làm căn cứ cho các nhận định này được nêu ở cuối mục 4.2.</w:t>
      </w:r>
    </w:p>
    <w:p w14:paraId="02E8B3B9" w14:textId="77777777" w:rsidR="005D3DB2" w:rsidRDefault="00000000">
      <w:pPr>
        <w:pStyle w:val="BodyText"/>
      </w:pPr>
      <w:r>
        <w:rPr>
          <w:b/>
          <w:bCs/>
        </w:rPr>
        <w:t>Câu hỏi nghiên cứu.</w:t>
      </w:r>
      <w:r>
        <w:t xml:space="preserve"> Từ những vấn đề trên, </w:t>
      </w:r>
      <w:r>
        <w:t xml:space="preserve">đề tài đặt ra </w:t>
      </w:r>
      <w:r>
        <w:t xml:space="preserve">ba câu hỏi</w:t>
      </w:r>
      <w:r>
        <w:t xml:space="preserve">, mỗi câu gắn với câu hỏi chính của bài toán số 19:</w:t>
      </w:r>
    </w:p>
    <w:p w14:paraId="344380B9" w14:textId="77777777" w:rsidR="005D3DB2" w:rsidRDefault="00000000">
      <w:pPr>
        <w:pStyle w:val="BodyText"/>
      </w:pPr>
      <w:r>
        <w:t xml:space="preserve">Câu hỏi 1: Mức phát triển thị trường cổ phiếu liên hệ thế nào với điểm GFCI của trung tâm tài chính, sau khi kiểm soát chất lượng thể chế và thu nhập? (bối cảnh cho câu hỏi số 1 của bài toán số 19)</w:t>
      </w:r>
    </w:p>
    <w:p w14:paraId="1CAE073F" w14:textId="77777777" w:rsidR="005D3DB2" w:rsidRDefault="00000000">
      <w:pPr>
        <w:pStyle w:val="BodyText"/>
      </w:pPr>
      <w:r>
        <w:t xml:space="preserve">Câu hỏi 2: Trước khi hợp nhất, chất lượng thị trường vốn của sàn niêm yết HNX thấp hơn của HOSE bao nhiêu? (câu hỏi số 3)</w:t>
      </w:r>
    </w:p>
    <w:p w14:paraId="5B58B265" w14:textId="77777777" w:rsidR="005D3DB2" w:rsidRDefault="00000000">
      <w:pPr>
        <w:pStyle w:val="BodyText"/>
      </w:pPr>
      <w:r>
        <w:t xml:space="preserve">Câu hỏi 3: Việc chuyển sàn ngày 28/12/2026 làm thanh khoản và khả năng đầu tư của các cổ phiếu chuyển sàn thay đổi bao nhiêu? (câu hỏi số 1 và số 3)</w:t>
      </w:r>
    </w:p>
    <w:p w14:paraId="74C0BF37" w14:textId="77777777" w:rsidR="005D3DB2" w:rsidRDefault="00000000">
      <w:pPr>
        <w:pStyle w:val="BodyText"/>
      </w:pPr>
      <w:r>
        <w:rPr>
          <w:b/>
          <w:bCs/>
        </w:rPr>
        <w:t>Mục tiêu nghiên cứu.</w:t>
      </w:r>
      <w:r>
        <w:t xml:space="preserve"> </w:t>
      </w:r>
      <w:r>
        <w:t xml:space="preserve">Mục tiêu tổng quát là lượng hóa tác động của sàn giao dịch lên chất lượng thị trường và khả năng đầu tư qua đợt hợp nhất sàn năm 2026, làm căn cứ cho định hướng chuyên môn hóa của thị trường vốn Hà Nội. Đề tài có bốn mục tiêu cụ thể. Mục tiêu (i) là ước lượng liên hệ giữa mức phát triển thị trường cổ phiếu và điểm GFCI trên dữ liệu bảng quốc tế. Mục tiêu (ii) là xây dựng Chỉ số chất lượng thị trường vốn theo tháng cho sàn niêm yết HNX, UPCoM và HOSE. Mục tiêu (iii) là ước lượng tác động của việc chuyển sàn lên thanh khoản và khả năng đầu tư. </w:t>
      </w:r>
      <w:r>
        <w:t xml:space="preserve">Mục tiêu (iv) là tổng hợp các kết quả thành định hướng chuyên môn hóa và hạ tầng dữ liệu cho thị trường vốn Hà Nội; mục tiêu này là tổng hợp định tính, không kiểm định giả thuyết.</w:t>
      </w:r>
    </w:p>
    <w:p w14:paraId="05CFA613" w14:textId="77777777" w:rsidR="005D3DB2" w:rsidRDefault="00000000">
      <w:pPr>
        <w:pStyle w:val="BodyText"/>
      </w:pPr>
      <w:r>
        <w:rPr/>
        <w:t xml:space="preserve">Đóng góp dự kiến. Đề tài khác các công trình gần nhất ở ba điểm. So với Yao (2012), Eichengreen và Shah (2020) và Naeem (2023), đề tài đặt riêng mức phát triển thị trường cổ phiếu vào mô hình điểm GFCI. So với Nielsson (2009) và Hisada (2018), đề tài nghiên cứu việc hợp nhất hai sàn trong cùng một quốc gia ở thị trường mới nổi, với suy luận phù hợp cho một sự kiện duy nhất, và ước lượng thêm tác động lên khả năng đầu tư. So với các công trình về Việt Nam (Vo &amp; Phan, 2017; Goutte và cộng sự, 2025; Nguyen &amp; Nguyen, 2026a), đề tài xây dựng chỉ số so sánh HNX với HOSE và cung cấp bằng chứng đầu tiên, trong phạm vi tìm kiếm của thí sinh, về đợt hợp nhất năm 2026.</w:t>
      </w:r>
    </w:p>
    <w:p w14:paraId="0A22D450" w14:textId="77777777" w:rsidR="005D3DB2" w:rsidRDefault="00000000">
      <w:pPr>
        <w:pStyle w:val="BodyText"/>
      </w:pPr>
      <w:r>
        <w:t xml:space="preserve">Về sản phẩm, đề tài dự kiến hai kết quả ứng với các sản phẩm mà bài toán số 19 nêu và một thước đo dùng chung. Thứ nhất là Chỉ số chất lượng thị trường vốn, mã nguồn mở, cập nhật theo tháng, ứng với sản phẩm “Hệ thống dữ liệu tài chính đô thị”. Thứ hai là báo cáo định hướng chuyên môn hóa cho thị trường vốn Hà Nội sau hợp nhất, ứng với sản phẩm “Trung tâm tài chính quốc tế tại Hà Nội” ở mức đề xuất có căn cứ. Thứ ba, Chỉ số khả năng đầu tư là một thước đo mà các dịch vụ đầu tư mới có thể dùng để so sánh, không phải một sản phẩm của bài toán. Các chỉ số và tệp đăng ký trước có được bất kể kết quả kiểm định.</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pPr>
        <w:pStyle w:val="FirstParagraph"/>
      </w:pPr>
      <w:r>
        <w:rPr>
          <w:i/>
          <w:iCs/>
        </w:rPr>
        <w:t xml:space="preserve">(A) Trung tâm tài chính: tích tụ, cạnh tranh và phân vai.</w:t>
      </w:r>
      <w:r>
        <w:rPr/>
        <w:t xml:space="preserve"> Kindleberger (1974) và Gehrig (2000) giải thích sự tập trung của hoạt động tài chính bằng lợi thế quy mô và thông tin. Yao (2012) xác định các yếu tố quyết định sức hấp dẫn của trung tâm tài chính đối với ngành quỹ đầu tư qua trường hợp Luxembourg. Moosa và cộng sự (2016) kiểm tra độ vững của các yếu tố quyết định vị thế trung tâm bằng phân tích giới hạn cực trị, và Eichengreen và Shah (2020) xếp các yếu tố thành năm nhóm, trong đó một nhóm gồm mức phát triển tài chính và vốn hóa thị trường. Naeem (2023) dùng dữ liệu 196 trung tâm giai đoạn 2007–2020, chọn 17 yếu tố bằng phương pháp cây quyết định và ước lượng hồi quy dữ liệu bảng với điểm GFCI; các yếu tố này không gồm chỉ báo thị trường cổ phiếu. Cetorelli và Peristiani (2013) đo vị thế của trung tâm qua mạng lưới niêm yết quốc tế của sàn chứng khoán. Ở Trung Quốc, Lai (2012) và Wang và cộng sự (2007) mô tả sự phân vai giữa Bắc Kinh, Thượng Hải và Hồng Kông, Chen và Chen (2015) nhấn mạnh vai trò dẫn dắt của nhà nước, còn Elliott (2011) rút ra rằng không có công thức chung để xây dựng một trung tâm toàn cầu.</w:t>
      </w:r>
    </w:p>
    <w:p>
      <w:pPr>
        <w:pStyle w:val="FirstParagraph"/>
      </w:pPr>
      <w:r>
        <w:rPr>
          <w:i/>
          <w:iCs/>
        </w:rPr>
        <w:t xml:space="preserve">(B) Chất lượng thị trường vốn.</w:t>
      </w:r>
      <w:r>
        <w:rPr/>
        <w:t xml:space="preserve"> Amihud (2002) đề xuất độ phi thanh khoản, tỷ số giữa lợi suất tuyệt đối và giá trị giao dịch. Lesmond và cộng sự (1999) ước lượng chi phí giao dịch từ tần suất ngày có lợi suất bằng 0, Corwin và Schultz (2012) ước lượng chênh lệch mua-bán từ giá cao nhất và thấp nhất trong ngày, và Bekaert và cộng sự (2007) dùng tỷ lệ ngày lợi suất bằng 0 làm thước đo thanh khoản chính ở thị trường mới nổi. Lesmond (2005) và Fong và cộng sự (2017) đánh giá chỉ báo nào đo thanh khoản tốt nhất từ dữ liệu ngày. Về hiệu quả thông tin, Lo và MacKinlay (1988) đề xuất kiểm định tỷ số phương sai và Hou và Moskowitz (2005) đo độ trễ giá; Griffin và cộng sự (2010) cảnh báo các thước đo này có thể cho kết luận sai khi so sánh các môi trường thông tin khác nhau. Lang và cộng sự (2012) nối minh bạch với thanh khoản, còn Čihák và cộng sự (2012) xây dựng Cơ sở dữ liệu Phát triển Tài chính Toàn cầu với các chỉ báo vòng quay và vốn hóa. Các thước đo đã chuẩn hóa, nhưng chưa được quy đổi thành tổn thất của nhà đầu tư đa dạng hóa.</w:t>
      </w:r>
    </w:p>
    <w:p w14:paraId="13247091" w14:textId="77777777" w:rsidR="005D3DB2" w:rsidRDefault="00000000">
      <w:pPr>
        <w:pStyle w:val="FirstParagraph"/>
      </w:pPr>
      <w:r>
        <w:rPr>
          <w:i/>
          <w:iCs/>
        </w:rPr>
        <w:t xml:space="preserve">(C) Cấu trúc sàn, đổi sàn và hợp nhất sàn.</w:t>
      </w:r>
      <w:r>
        <w:rPr/>
        <w:t xml:space="preserve"> Huang và Stoll (1996) so sánh chi phí giao dịch của các cặp cổ phiếu tương đồng trên hai sàn trong cùng một quốc gia. Christie và Huang (1994) đo thanh khoản của cùng một cổ phiếu khi doanh nghiệp đổi sàn niêm yết. Amihud và cộng sự (1997) dùng việc chuyển cổ phiếu sang cơ chế giao dịch mới ở Tel Aviv để ước lượng tác động của cấu trúc vi mô lên giá trị cổ phiếu. Nielsson (2009) thấy lợi ích thanh khoản của việc hình thành Euronext dồn vào doanh nghiệp lớn, còn Hisada (2018) thấy việc chuyển cổ phiếu từ Osaka sang Tokyo năm 2013 làm thanh khoản tăng trong ngắn hạn, mạnh hơn ở cổ phiếu nhỏ, với thước đo là vòng quay và độ phi thanh khoản Amihud. Wójcik (2007) phân tích quan hệ hai chiều giữa sàn chứng khoán và trung tâm tài chính. Bằng chứng về hợp nhất các sàn trong một quốc gia ở thị trường mới nổi còn ít, ví dụ trường hợp Pakistan hợp nhất ba sở giao dịch năm 2016 [CẦN XÁC MINH nguồn], và chưa đo khả năng đầu tư.</w:t>
      </w:r>
    </w:p>
    <w:p w14:paraId="77FF2C03" w14:textId="77777777" w:rsidR="005D3DB2" w:rsidRDefault="00000000">
      <w:pPr>
        <w:pStyle w:val="BodyText"/>
      </w:pPr>
      <w:r>
        <w:rPr>
          <w:i/>
          <w:iCs/>
        </w:rPr>
        <w:t xml:space="preserve">(D) Đa dạng hóa danh mục khi tham số được ước lượng.</w:t>
      </w:r>
      <w:r>
        <w:rPr/>
        <w:t xml:space="preserve"> Tối ưu hóa trung bình-phương sai (Markowitz, 1952) dồn trọng số vào những tài sản có sai số ước lượng lớn (Michaud, 1989), và việc thay tham số tổng thể bằng ước lượng mẫu làm hiệu quả ngoài mẫu giảm (Kan &amp; Zhou, 2007). Ledoit và Wolf (2004) co rút ma trận hiệp phương sai, Black và Litterman (1992) kết hợp lợi suất cân bằng với quan điểm của nhà đầu tư, và Bessler và cộng sự (2017) thấy cách tiếp cận này cho hiệu quả ngoài mẫu tốt trên dữ liệu đa tài sản. Garlappi và cộng sự (2007) xây dựng danh mục vững chắc với nhiều niềm tin tiên nghiệm. DeMiguel và cộng sự (2009) không thấy mô hình nào vượt quy tắc 1/N một cách nhất quán, và Pflug và cộng sự (2012) chứng minh 1/N xấp xỉ tối ưu khi mức mơ hồ về mô hình cao. Ledoit và Wolf (2008) kiểm định chênh lệch tỷ số Sharpe giữa hai danh mục. Đề tài dùng nhóm công cụ này để đo khả năng đầu tư của một sàn, không để chọn mô hình tốt nhất.</w:t>
      </w:r>
    </w:p>
    <w:p>
      <w:pPr>
        <w:pStyle w:val="BodyText"/>
      </w:pPr>
      <w:r>
        <w:rPr>
          <w:i/>
          <w:iCs/>
        </w:rPr>
        <w:t xml:space="preserve">(E) Nghiên cứu về Việt Nam.</w:t>
      </w:r>
      <w:r>
        <w:rPr/>
        <w:t xml:space="preserve"> Vo và Phan (2017) dùng 299 công ty niêm yết trên HOSE giai đoạn 2005–2015 và tìm thấy hành vi bầy đàn, rõ hơn khi thị trường giảm. Hoang và Luu (2024), trong một bản thảo công bố trực tuyến, phân tích chế độ biến động của VN-Index giai đoạn 2012–2023. Về danh mục, Ta và Vuong (2020) áp dụng mô hình Black-Litterman với quan điểm dự báo từ mô hình ARIMA, còn Nguyen và cộng sự (2020) dùng ma trận hiệp phương sai co rút trên dữ liệu 468 tuần giai đoạn 2011–2019. Goutte và cộng sự (2025) so sánh các phương pháp ra quyết định đa tiêu chí trên rổ VN100 của HOSE, và bài báo của chính thí sinh (Nguyen &amp; Nguyen, 2026a) áp dụng mô hình Black-Litterman có chuyển chế độ giai đoạn 2019–2025. Nhóm công trình này tập trung vào HOSE và chưa so sánh hai sàn.</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w:t>
      </w:r>
    </w:p>
    <w:p w14:paraId="631F5DFF" w14:textId="77777777" w:rsidR="005D3DB2" w:rsidRDefault="00000000">
      <w:pPr>
        <w:pStyle w:val="TableCaption"/>
      </w:pPr>
      <w:bookmarkStart w:id="6" w:name="_Toc242353156"/>
      <w:r>
        <w:t xml:space="preserve">Bảng </w:t>
      </w:r>
      <w:fldSimple w:instr=" SEQ Bảng \* ARABIC ">
        <w:r>
          <w:rPr>
            <w:noProof/>
          </w:rPr>
          <w:t>1</w:t>
        </w:r>
      </w:fldSimple>
      <w:r>
        <w:t>. Các nhóm nghiên cứu gần nhất và khoảng trống nghiên cứu</w:t>
      </w:r>
      <w:bookmarkEnd w:id="6"/>
    </w:p>
    <w:tbl>
      <w:tblPr>
        <w:tblStyle w:val="Table"/>
        <w:tblW w:w="5000" w:type="pct"/>
        <w:tblLook w:val="0020" w:firstRow="1" w:lastRow="0" w:firstColumn="0" w:lastColumn="0" w:noHBand="0" w:noVBand="0"/>
      </w:tblPr>
      <w:tblGrid>
        <w:gridCol w:w="3366"/>
        <w:gridCol w:w="2863"/>
        <w:gridCol w:w="2549"/>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565E949" w14:textId="77777777" w:rsidR="005D3DB2" w:rsidRDefault="00000000">
            <w:pPr>
              <w:pStyle w:val="Compact"/>
            </w:pPr>
            <w:r>
              <w:t>Nhóm nghiên cứu</w:t>
            </w:r>
          </w:p>
        </w:tc>
        <w:tc>
          <w:tcPr>
            <w:tcW w:w="0" w:type="auto"/>
          </w:tcPr>
          <w:p w14:paraId="71B373B4" w14:textId="77777777" w:rsidR="005D3DB2" w:rsidRDefault="00000000">
            <w:pPr>
              <w:pStyle w:val="Compact"/>
            </w:pPr>
            <w:r>
              <w:t>Kết quả đã có</w:t>
            </w:r>
          </w:p>
        </w:tc>
        <w:tc>
          <w:tcPr>
            <w:tcW w:w="0" w:type="auto"/>
          </w:tcPr>
          <w:p w14:paraId="0C6AA699" w14:textId="77777777" w:rsidR="005D3DB2" w:rsidRDefault="00000000">
            <w:pPr>
              <w:pStyle w:val="Compact"/>
            </w:pPr>
            <w:r>
              <w:t>Khoảng trống</w:t>
            </w:r>
          </w:p>
        </w:tc>
      </w:tr>
      <w:tr w:rsidR="005D3DB2" w14:paraId="1E533131" w14:textId="77777777">
        <w:trPr>
          <w:cantSplit/>
        </w:trPr>
        <w:tc>
          <w:tcPr>
            <w:tcW w:w="0" w:type="auto"/>
          </w:tcPr>
          <w:p w14:paraId="15CC7429" w14:textId="77777777" w:rsidR="005D3DB2" w:rsidRDefault="00000000">
            <w:pPr>
              <w:pStyle w:val="Compact"/>
            </w:pPr>
            <w:r>
              <w:t xml:space="preserve">Trung tâm tài chính (Yao, 2012; Naeem, 2023; Lai, 2012)</w:t>
            </w:r>
          </w:p>
        </w:tc>
        <w:tc>
          <w:tcPr>
            <w:tcW w:w="0" w:type="auto"/>
          </w:tcPr>
          <w:p w14:paraId="5F910835" w14:textId="77777777" w:rsidR="005D3DB2" w:rsidRDefault="00000000">
            <w:pPr>
              <w:pStyle w:val="Compact"/>
            </w:pPr>
            <w:r>
              <w:t xml:space="preserve">Yếu tố quyết định thứ hạng GFCI (Naeem: 17 yếu tố, không có chỉ báo thị trường cổ phiếu); phân vai các trung tâm trong một quốc gia</w:t>
            </w:r>
          </w:p>
        </w:tc>
        <w:tc>
          <w:tcPr>
            <w:tcW w:w="0" w:type="auto"/>
          </w:tcPr>
          <w:p w14:paraId="59F4C5C0" w14:textId="77777777" w:rsidR="005D3DB2" w:rsidRDefault="00000000">
            <w:pPr>
              <w:pStyle w:val="Compact"/>
            </w:pPr>
            <w:r>
              <w:t xml:space="preserve">K1. Các nghiên cứu về GFCI chưa xét chất lượng và cấu trúc thị trường cổ phiếu</w:t>
            </w:r>
          </w:p>
        </w:tc>
      </w:tr>
      <w:tr w:rsidR="005D3DB2" w14:paraId="163555CD" w14:textId="77777777">
        <w:trPr>
          <w:cantSplit/>
        </w:trPr>
        <w:tc>
          <w:tcPr>
            <w:tcW w:w="0" w:type="auto"/>
          </w:tcPr>
          <w:p w14:paraId="7892E17D" w14:textId="77777777" w:rsidR="005D3DB2" w:rsidRDefault="00000000">
            <w:pPr>
              <w:pStyle w:val="Compact"/>
            </w:pPr>
            <w:r>
              <w:t xml:space="preserve">Chất lượng thị trường (Amihud, 2002; Lesmond, 2005; Fong và cộng sự, 2017)</w:t>
            </w:r>
          </w:p>
        </w:tc>
        <w:tc>
          <w:tcPr>
            <w:tcW w:w="0" w:type="auto"/>
          </w:tcPr>
          <w:p w14:paraId="35E17D8F" w14:textId="77777777" w:rsidR="005D3DB2" w:rsidRDefault="00000000">
            <w:pPr>
              <w:pStyle w:val="Compact"/>
            </w:pPr>
            <w:r>
              <w:t xml:space="preserve">Thước đo thanh khoản, hiệu quả thông tin, minh bạch ở thị trường mới nổi</w:t>
            </w:r>
          </w:p>
        </w:tc>
        <w:tc>
          <w:tcPr>
            <w:tcW w:w="0" w:type="auto"/>
          </w:tcPr>
          <w:p w14:paraId="269AA840" w14:textId="77777777" w:rsidR="005D3DB2" w:rsidRDefault="00000000">
            <w:pPr>
              <w:pStyle w:val="Compact"/>
            </w:pPr>
            <w:r>
              <w:t xml:space="preserve">K2. Chưa quy đổi chất lượng thị trường thành tổn thất của nhà đầu tư đa dạng hóa</w:t>
            </w:r>
          </w:p>
        </w:tc>
      </w:tr>
      <w:tr w:rsidR="005D3DB2" w14:paraId="6A282CAD" w14:textId="77777777">
        <w:trPr>
          <w:cantSplit/>
        </w:trPr>
        <w:tc>
          <w:tcPr>
            <w:tcW w:w="0" w:type="auto"/>
          </w:tcPr>
          <w:p w14:paraId="172955F1" w14:textId="77777777" w:rsidR="005D3DB2" w:rsidRDefault="00000000">
            <w:pPr>
              <w:pStyle w:val="Compact"/>
            </w:pPr>
            <w:r>
              <w:t xml:space="preserve">Đổi sàn và hợp nhất sàn (Huang &amp; Stoll, 1996; Nielsson, 2009; Hisada, 2018)</w:t>
            </w:r>
          </w:p>
        </w:tc>
        <w:tc>
          <w:tcPr>
            <w:tcW w:w="0" w:type="auto"/>
          </w:tcPr>
          <w:p w14:paraId="27D2C86F" w14:textId="77777777" w:rsidR="005D3DB2" w:rsidRDefault="00000000">
            <w:pPr>
              <w:pStyle w:val="Compact"/>
            </w:pPr>
            <w:r>
              <w:t xml:space="preserve">Đổi sàn làm thay đổi thanh khoản; Euronext: lợi ích dồn vào doanh nghiệp lớn; Tokyo–Osaka: mạnh hơn ở cổ phiếu nhỏ</w:t>
            </w:r>
          </w:p>
        </w:tc>
        <w:tc>
          <w:tcPr>
            <w:tcW w:w="0" w:type="auto"/>
          </w:tcPr>
          <w:p w14:paraId="5C60018C" w14:textId="77777777" w:rsidR="005D3DB2" w:rsidRDefault="00000000">
            <w:pPr>
              <w:pStyle w:val="Compact"/>
            </w:pPr>
            <w:r>
              <w:t xml:space="preserve">K3. Bằng chứng về hợp nhất sàn trong một quốc gia ở thị trường mới nổi còn ít, kết quả trái chiều theo quy mô, chưa đo khả năng đầu tư</w:t>
            </w:r>
          </w:p>
        </w:tc>
      </w:tr>
      <w:tr w:rsidR="005D3DB2" w14:paraId="12EB891D" w14:textId="77777777">
        <w:trPr>
          <w:cantSplit/>
        </w:trPr>
        <w:tc>
          <w:tcPr>
            <w:tcW w:w="0" w:type="auto"/>
          </w:tcPr>
          <w:p w14:paraId="2246DA5E" w14:textId="77777777" w:rsidR="005D3DB2" w:rsidRDefault="00000000">
            <w:pPr>
              <w:pStyle w:val="Compact"/>
            </w:pPr>
            <w:r>
              <w:t xml:space="preserve">Việt Nam (Vo &amp; Phan, 2017; Goutte và cộng sự, 2025; Nguyen &amp; Nguyen, 2026a)</w:t>
            </w:r>
          </w:p>
        </w:tc>
        <w:tc>
          <w:tcPr>
            <w:tcW w:w="0" w:type="auto"/>
          </w:tcPr>
          <w:p w14:paraId="133402BF" w14:textId="77777777" w:rsidR="005D3DB2" w:rsidRDefault="00000000">
            <w:pPr>
              <w:pStyle w:val="Compact"/>
            </w:pPr>
            <w:r>
              <w:t xml:space="preserve">Nghiên cứu tập trung vào HOSE và VN-Index</w:t>
            </w:r>
          </w:p>
        </w:tc>
        <w:tc>
          <w:tcPr>
            <w:tcW w:w="0" w:type="auto"/>
          </w:tcPr>
          <w:p w14:paraId="4D5A0E83" w14:textId="77777777" w:rsidR="005D3DB2" w:rsidRDefault="00000000">
            <w:pPr>
              <w:pStyle w:val="Compact"/>
            </w:pPr>
            <w:r>
              <w:t xml:space="preserve">K4. Chưa so sánh HNX với HOSE; chưa đo tác động của đợt chuyển sàn năm 2026</w:t>
            </w:r>
          </w:p>
        </w:tc>
      </w:tr>
    </w:tbl>
    <w:p w14:paraId="70F7E8FC" w14:textId="77777777" w:rsidR="005D3DB2" w:rsidRDefault="00000000">
      <w:pPr>
        <w:pStyle w:val="SourceNote"/>
      </w:pPr>
      <w:r>
        <w:t xml:space="preserve">Nguồn: Thí sinh tổng hợp. Ghi chú: K1–K4 là các khoảng trống, đánh số riêng để phân biệt với các nhóm tài liệu </w:t>
      </w:r>
      <w:r>
        <w:t xml:space="preserve">(A)–(E)</w:t>
      </w:r>
      <w:r>
        <w:t xml:space="preserve"> ở mục 4.2; Hoang và Luu (2024) là bản thảo công bố trực tuyến; phạm vi tìm kiếm nêu ở đoạn ngay dưới bảng.</w:t>
      </w:r>
    </w:p>
    <w:p w14:paraId="71B20860" w14:textId="77777777" w:rsidR="005D3DB2" w:rsidRDefault="00000000">
      <w:pPr>
        <w:pStyle w:val="BodyText"/>
      </w:pPr>
      <w:r>
        <w:t xml:space="preserve">Bốn khoảng trống cùng chỉ ra một điểm: vai trò của sàn giao dịch đối với chất lượng thị trường và khả năng đầu tư chưa được đo cho Việt Nam, trong khi đợt hợp nhất năm 2026 tạo điều kiện đo trực tiếp. </w:t>
      </w:r>
      <w:r>
        <w:t xml:space="preserve">Nhận định này dựa trên các truy vấn trên SSRN, RePEc/IDEAS, ScienceDirect, Oxford Academic, Wiley, Springer, Taylor &amp; Francis, MDPI và arXiv, thực hiện đến ngày 30/09/2026. Phạm vi tìm kiếm chưa gồm Scopus, Web of Science và các tạp chí tiếng Việt trong nước, nên nhận định không loại trừ những nghiên cứu nằm ngoài phạm vi đó. Thí sinh mới đọc tóm tắt và thông tin thư mục của phần lớn các nguồn; việc đọc toàn văn và mở rộng phạm vi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ba khối lý thuyết. Khối thứ nhất là lý thuyết về tích tụ và chuyên môn hóa của trung tâm tài chính: hoạt động tài chính dồn về nơi có quy mô và thông tin, và các trung tâm trong một quốc gia phân vai (Kindleberger, 1974; Gehrig, 2000; Yao, 2012; Lai, 2012). Khối thứ hai là lý thuyết vi cấu trúc thị trường: quy tắc giao dịch và mức tập trung lệnh của một sàn ảnh hưởng tới chi phí giao dịch và tốc độ giá phản ánh thông tin (Amihud, 2002; Huang &amp; Stoll, 1996). Khối thứ ba là lý thuyết danh mục có sai số ước lượng (Markowitz, 1952; Michaud, 1989; Kan &amp; Zhou, 2007): hiệu quả mà nhà đầu tư đạt được phụ thuộc vào chất lượng của tập cổ phiếu đầu tư được. Ba khối nối thành một chuỗi liên hệ: sàn giao dịch liên hệ với chất lượng thị trường, chất lượng thị trường liên hệ với khả năng đầu tư, và cấu trúc sàn định hình vai trò của mỗi trung tâm.</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 xml:space="preserve">Từ bốn khoảng trống ở Bảng 1, đề tài đề xuất khung phân tích ở Hình 1 và bốn giả thuyết ở Bảng 2: H</w:t>
      </w:r>
      <w:r>
        <w:rPr>
          <w:vertAlign w:val="subscript"/>
        </w:rPr>
        <w:t xml:space="preserve">1</w:t>
      </w:r>
      <w:r>
        <w:t xml:space="preserve"> trả lời câu hỏi 1, H</w:t>
      </w:r>
      <w:r>
        <w:rPr>
          <w:vertAlign w:val="subscript"/>
        </w:rPr>
        <w:t xml:space="preserve">2</w:t>
      </w:r>
      <w:r>
        <w:t xml:space="preserve"> trả lời câu hỏi 2, H</w:t>
      </w:r>
      <w:r>
        <w:rPr>
          <w:vertAlign w:val="subscript"/>
        </w:rPr>
        <w:t xml:space="preserve">3</w:t>
      </w:r>
      <w:r>
        <w:t xml:space="preserve"> và H</w:t>
      </w:r>
      <w:r>
        <w:rPr>
          <w:vertAlign w:val="subscript"/>
        </w:rPr>
        <w:t xml:space="preserve">4</w:t>
      </w:r>
      <w:r>
        <w:t xml:space="preserve"> trả lời câu hỏi 3.</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2009–2026</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sz w:val="22"/>
                                  <w:szCs w:val="22"/>
                                </w:rPr>
                                <w:t xml:space="preserve">đối chứng</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2009–2026</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sz w:val="22"/>
                            <w:szCs w:val="22"/>
                          </w:rPr>
                          <w:t xml:space="preserve">đối chứng</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p>
                    </w:txbxContent>
                  </v:textbox>
                </v:rect>
                <w10:anchorlock/>
              </v:group>
            </w:pict>
          </mc:Fallback>
        </mc:AlternateContent>
      </w:r>
    </w:p>
    <w:p w14:paraId="55D04186" w14:textId="77777777" w:rsidR="005D3DB2" w:rsidRDefault="00000000">
      <w:pPr>
        <w:pStyle w:val="FigureCaption"/>
      </w:pPr>
      <w:r>
        <w:t xml:space="preserve">Hình 1. </w:t>
      </w:r>
      <w:r>
        <w:t xml:space="preserve">Khung phân tích: hợp nhất sàn, chất lượng thị trường và khả năng đầu tư</w:t>
      </w:r>
    </w:p>
    <w:p w14:paraId="316E836D" w14:textId="77777777" w:rsidR="005D3DB2" w:rsidRDefault="00000000">
      <w:pPr>
        <w:pStyle w:val="SourceNote"/>
      </w:pPr>
      <w:r>
        <w:t xml:space="preserve">Nguồn: Thí sinh đề xuất. Ghi chú: mũi tên từ ô Trước hợp nhất sang ô Sự kiện chỉ trình tự thời gian; H</w:t>
      </w:r>
      <w:r>
        <w:rPr>
          <w:vertAlign w:val="subscript"/>
        </w:rPr>
        <w:t xml:space="preserve">1</w:t>
      </w:r>
      <w:r>
        <w:t xml:space="preserve"> được kiểm định trên dữ liệu bảng quốc tế và chỉ cung cấp bối cảnh; H</w:t>
      </w:r>
      <w:r>
        <w:rPr>
          <w:vertAlign w:val="subscript"/>
        </w:rPr>
        <w:t xml:space="preserve">2</w:t>
      </w:r>
      <w:r>
        <w:t xml:space="preserve"> so sánh hai sàn trước hợp nhất; H</w:t>
      </w:r>
      <w:r>
        <w:rPr>
          <w:vertAlign w:val="subscript"/>
        </w:rPr>
        <w:t xml:space="preserve">3</w:t>
      </w:r>
      <w:r>
        <w:t xml:space="preserve"> được kiểm định và H</w:t>
      </w:r>
      <w:r>
        <w:rPr>
          <w:vertAlign w:val="subscript"/>
        </w:rPr>
        <w:t xml:space="preserve">4</w:t>
      </w:r>
      <w:r>
        <w:t xml:space="preserve"> được ước lượng bằng khác biệt kép quanh ngày 28/12/2026; mũi tên nét đứt chỉ hàm ý chính sách.</w:t>
      </w:r>
    </w:p>
    <w:p w14:paraId="77B4CCF4" w14:textId="77777777" w:rsidR="005D3DB2" w:rsidRDefault="00000000">
      <w:pPr>
        <w:pStyle w:val="BodyText"/>
      </w:pPr>
      <w:r>
        <w:t xml:space="preserve">Theo Hình 1, chuỗi phân tích đi từ trước sự kiện, qua sự kiện, tới chính sách. Chỉ số chất lượng thị trường đo khoảng cách giữa sàn niêm yết HNX và HOSE trước hợp nhất (H</w:t>
      </w:r>
      <w:r>
        <w:rPr>
          <w:vertAlign w:val="subscript"/>
        </w:rPr>
        <w:t xml:space="preserve">2</w:t>
      </w:r>
      <w:r>
        <w:t xml:space="preserve">). Sự kiện chuyển sàn cho phép so sánh cùng các cổ phiếu trước và sau ngày 28/12/2026 với nhóm đối chứng, đối với thanh khoản (H</w:t>
      </w:r>
      <w:r>
        <w:rPr>
          <w:vertAlign w:val="subscript"/>
        </w:rPr>
        <w:t xml:space="preserve">3</w:t>
      </w:r>
      <w:r>
        <w:t xml:space="preserve">) và khả năng đầu tư (H</w:t>
      </w:r>
      <w:r>
        <w:rPr>
          <w:vertAlign w:val="subscript"/>
        </w:rPr>
        <w:t xml:space="preserve">4</w:t>
      </w:r>
      <w:r>
        <w:t xml:space="preserve">). Bằng chứng quốc tế (H</w:t>
      </w:r>
      <w:r>
        <w:rPr>
          <w:vertAlign w:val="subscript"/>
        </w:rPr>
        <w:t xml:space="preserve">1</w:t>
      </w:r>
      <w:r>
        <w:t xml:space="preserve">) cho biết mức phát triển thị trường cổ phiếu liên hệ thế nào với điểm GFCI. Các kết quả này là đầu vào cho phần tổng hợp định tính về định hướng chuyên môn hóa của các thị trường mà HNX tiếp tục vận hành.</w:t>
      </w:r>
    </w:p>
    <w:p w14:paraId="6E279D1B" w14:textId="77777777" w:rsidR="005D3DB2" w:rsidRDefault="00000000">
      <w:pPr>
        <w:pStyle w:val="TableCaption"/>
      </w:pPr>
      <w:bookmarkStart w:id="14" w:name="_Toc242353157"/>
      <w:r>
        <w:t xml:space="preserve">Bảng </w:t>
      </w:r>
      <w:fldSimple w:instr=" SEQ Bảng \* ARABIC ">
        <w:r>
          <w:rPr>
            <w:noProof/>
          </w:rPr>
          <w:t>2</w:t>
        </w:r>
      </w:fldSimple>
      <w:r>
        <w:t>. Giả thuyết, thước đo và cơ sở lý thuyết</w:t>
      </w:r>
      <w:bookmarkEnd w:id="14"/>
    </w:p>
    <w:tbl>
      <w:tblPr>
        <w:tblStyle w:val="Table"/>
        <w:tblW w:w="5000" w:type="pct"/>
        <w:tblLook w:val="0020" w:firstRow="1" w:lastRow="0" w:firstColumn="0" w:lastColumn="0" w:noHBand="0" w:noVBand="0"/>
      </w:tblPr>
      <w:tblGrid>
        <w:gridCol w:w="3607"/>
        <w:gridCol w:w="3117"/>
        <w:gridCol w:w="2054"/>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0C30761" w14:textId="77777777" w:rsidR="005D3DB2" w:rsidRDefault="00000000">
            <w:pPr>
              <w:pStyle w:val="Compact"/>
            </w:pPr>
            <w:r>
              <w:t>Giả thuyết</w:t>
            </w:r>
          </w:p>
        </w:tc>
        <w:tc>
          <w:tcPr>
            <w:tcW w:w="0" w:type="auto"/>
          </w:tcPr>
          <w:p w14:paraId="54FEBD5F" w14:textId="77777777" w:rsidR="005D3DB2" w:rsidRDefault="00000000">
            <w:pPr>
              <w:pStyle w:val="Compact"/>
            </w:pPr>
            <w:r>
              <w:t>Thước đo chính</w:t>
            </w:r>
          </w:p>
        </w:tc>
        <w:tc>
          <w:tcPr>
            <w:tcW w:w="0" w:type="auto"/>
          </w:tcPr>
          <w:p w14:paraId="4BB3DB00" w14:textId="77777777" w:rsidR="005D3DB2" w:rsidRDefault="00000000">
            <w:pPr>
              <w:pStyle w:val="Compact"/>
            </w:pPr>
            <w:r>
              <w:t xml:space="preserve">Cơ sở lý thuyết và phương pháp</w:t>
            </w:r>
          </w:p>
        </w:tc>
      </w:tr>
      <w:tr w:rsidR="005D3DB2" w14:paraId="2DFD5B42" w14:textId="77777777">
        <w:trPr>
          <w:cantSplit/>
        </w:trPr>
        <w:tc>
          <w:tcPr>
            <w:tcW w:w="0" w:type="auto"/>
          </w:tcPr>
          <w:p w14:paraId="7597AA67" w14:textId="77777777" w:rsidR="005D3DB2" w:rsidRDefault="00000000">
            <w:pPr>
              <w:pStyle w:val="Compact"/>
            </w:pPr>
            <w:r>
              <w:t xml:space="preserve">H</w:t>
            </w:r>
            <w:r>
              <w:rPr>
                <w:vertAlign w:val="subscript"/>
              </w:rPr>
              <w:t xml:space="preserve">1</w:t>
            </w:r>
            <w:r>
              <w:t xml:space="preserve">: Các trung tâm tài chính ở quốc gia có thị trường cổ phiếu phát triển hơn có điểm GFCI cao hơn, sau khi kiểm soát chất lượng thể chế và thu nhập (câu hỏi 1)</w:t>
            </w:r>
          </w:p>
        </w:tc>
        <w:tc>
          <w:tcPr>
            <w:tcW w:w="0" w:type="auto"/>
          </w:tcPr>
          <w:p w14:paraId="56712C73" w14:textId="77777777" w:rsidR="005D3DB2" w:rsidRDefault="00000000">
            <w:pPr>
              <w:pStyle w:val="Compact"/>
            </w:pPr>
            <w:r>
              <w:t xml:space="preserve">Điểm GFCI chuẩn hóa theo kỳ; chỉ báo phát triển thị trường cổ phiếu (vòng quay, vốn hóa trên GDP); chỉ số quản trị nhà nước</w:t>
            </w:r>
          </w:p>
        </w:tc>
        <w:tc>
          <w:tcPr>
            <w:tcW w:w="0" w:type="auto"/>
          </w:tcPr>
          <w:p w14:paraId="4EC31B5B" w14:textId="77777777" w:rsidR="005D3DB2" w:rsidRDefault="00000000">
            <w:pPr>
              <w:pStyle w:val="Compact"/>
            </w:pPr>
            <w:r>
              <w:t xml:space="preserve">Naeem (2023); Čihák và cộng sự (2012); Kaufmann và cộng sự (2011)</w:t>
            </w:r>
          </w:p>
        </w:tc>
      </w:tr>
      <w:tr w:rsidR="005D3DB2" w14:paraId="6435461D" w14:textId="77777777">
        <w:trPr>
          <w:cantSplit/>
        </w:trPr>
        <w:tc>
          <w:tcPr>
            <w:tcW w:w="0" w:type="auto"/>
          </w:tcPr>
          <w:p w14:paraId="6BA2CDB6" w14:textId="77777777" w:rsidR="005D3DB2" w:rsidRDefault="00000000">
            <w:pPr>
              <w:pStyle w:val="Compact"/>
            </w:pPr>
            <w:r>
              <w:t xml:space="preserve">H</w:t>
            </w:r>
            <w:r>
              <w:rPr>
                <w:vertAlign w:val="subscript"/>
              </w:rPr>
              <w:t xml:space="preserve">2</w:t>
            </w:r>
            <w:r>
              <w:t xml:space="preserve">: Trong giai đoạn 2009–2026, Chỉ số chất lượng thị trường vốn của sàn niêm yết HNX thấp hơn của HOSE (câu hỏi 2)</w:t>
            </w:r>
          </w:p>
        </w:tc>
        <w:tc>
          <w:tcPr>
            <w:tcW w:w="0" w:type="auto"/>
          </w:tcPr>
          <w:p w14:paraId="5FBABE0B" w14:textId="77777777" w:rsidR="005D3DB2" w:rsidRDefault="00000000">
            <w:pPr>
              <w:pStyle w:val="Compact"/>
            </w:pPr>
            <w:r>
              <w:t xml:space="preserve">Chỉ số gộp từ độ phi thanh khoản Amihud, tỷ lệ ngày lợi suất bằng 0, chênh lệch mua-bán ước lượng, tỷ số phương sai, độ trễ giá, độ trễ công bố</w:t>
            </w:r>
          </w:p>
        </w:tc>
        <w:tc>
          <w:tcPr>
            <w:tcW w:w="0" w:type="auto"/>
          </w:tcPr>
          <w:p w14:paraId="1A19A0A9" w14:textId="77777777" w:rsidR="005D3DB2" w:rsidRDefault="00000000">
            <w:pPr>
              <w:pStyle w:val="Compact"/>
            </w:pPr>
            <w:r>
              <w:t xml:space="preserve">Amihud (2002); Lesmond và cộng sự (1999); Corwin và Schultz (2012); Lo và MacKinlay (1988); Hou và Moskowitz (2005); OECD (2008)</w:t>
            </w:r>
          </w:p>
        </w:tc>
      </w:tr>
      <w:tr w:rsidR="005D3DB2" w14:paraId="51BB94A0" w14:textId="77777777">
        <w:trPr>
          <w:cantSplit/>
        </w:trPr>
        <w:tc>
          <w:tcPr>
            <w:tcW w:w="0" w:type="auto"/>
          </w:tcPr>
          <w:p w14:paraId="6ACFB4C1" w14:textId="77777777" w:rsidR="005D3DB2" w:rsidRDefault="00000000">
            <w:pPr>
              <w:pStyle w:val="Compact"/>
            </w:pPr>
            <w:r>
              <w:t xml:space="preserve">H</w:t>
            </w:r>
            <w:r>
              <w:rPr>
                <w:vertAlign w:val="subscript"/>
              </w:rPr>
              <w:t xml:space="preserve">3</w:t>
            </w:r>
            <w:r>
              <w:t xml:space="preserve">: Sau ngày 28/12/2026, độ phi thanh khoản Amihud của các cổ phiếu chuyển sàn, tính trên các ngày không chạm biên độ, giảm so với nhóm đối chứng (câu hỏi 3)</w:t>
            </w:r>
          </w:p>
        </w:tc>
        <w:tc>
          <w:tcPr>
            <w:tcW w:w="0" w:type="auto"/>
          </w:tcPr>
          <w:p w14:paraId="3D56315F" w14:textId="77777777" w:rsidR="005D3DB2" w:rsidRDefault="00000000">
            <w:pPr>
              <w:pStyle w:val="Compact"/>
            </w:pPr>
            <w:r>
              <w:t xml:space="preserve">Logarit độ phi thanh khoản Amihud loại ngày chạm biên độ (chính); vòng quay, tỷ lệ ngày lợi suất bằng 0 (phụ)</w:t>
            </w:r>
          </w:p>
        </w:tc>
        <w:tc>
          <w:tcPr>
            <w:tcW w:w="0" w:type="auto"/>
          </w:tcPr>
          <w:p w14:paraId="2EB0DA83" w14:textId="77777777" w:rsidR="005D3DB2" w:rsidRDefault="00000000">
            <w:pPr>
              <w:pStyle w:val="Compact"/>
            </w:pPr>
            <w:r>
              <w:t xml:space="preserve">Amihud và cộng sự (1997); Nielsson (2009); Hisada (2018); Conley và Taber (2011); Rambachan và Roth (2023)</w:t>
            </w:r>
          </w:p>
        </w:tc>
      </w:tr>
      <w:tr w:rsidR="005D3DB2" w14:paraId="001DB05F" w14:textId="77777777">
        <w:trPr>
          <w:cantSplit/>
        </w:trPr>
        <w:tc>
          <w:tcPr>
            <w:tcW w:w="0" w:type="auto"/>
          </w:tcPr>
          <w:p w14:paraId="2441B171" w14:textId="77777777" w:rsidR="005D3DB2" w:rsidRDefault="00000000">
            <w:pPr>
              <w:pStyle w:val="Compact"/>
            </w:pPr>
            <w:r>
              <w:t xml:space="preserve">H</w:t>
            </w:r>
            <w:r>
              <w:rPr>
                <w:vertAlign w:val="subscript"/>
              </w:rPr>
              <w:t xml:space="preserve">4</w:t>
            </w:r>
            <w:r>
              <w:t xml:space="preserve"> (ước lượng, không kiểm định xác nhận): Khoảng cách khả năng đầu tư giữa rổ H và rổ cổ phiếu chuyển sàn thu hẹp sau ngày 28/12/2026 (câu hỏi 3)</w:t>
            </w:r>
          </w:p>
        </w:tc>
        <w:tc>
          <w:tcPr>
            <w:tcW w:w="0" w:type="auto"/>
          </w:tcPr>
          <w:p w14:paraId="0741046F" w14:textId="77777777" w:rsidR="005D3DB2" w:rsidRDefault="00000000">
            <w:pPr>
              <w:pStyle w:val="Compact"/>
            </w:pPr>
            <w:r>
              <w:t xml:space="preserve">Chỉ số khả năng đầu tư trước và sau sự kiện, chi phí giao dịch theo cổ phiếu và theo tháng; hiệu ứng nhỏ nhất phát hiện được</w:t>
            </w:r>
          </w:p>
        </w:tc>
        <w:tc>
          <w:tcPr>
            <w:tcW w:w="0" w:type="auto"/>
          </w:tcPr>
          <w:p w14:paraId="6453DBA2" w14:textId="77777777" w:rsidR="005D3DB2" w:rsidRDefault="00000000">
            <w:pPr>
              <w:pStyle w:val="Compact"/>
            </w:pPr>
            <w:r>
              <w:t xml:space="preserve">DeMiguel và cộng sự (2009); Ledoit và Wolf (2008); Politis và Romano (1994)</w:t>
            </w:r>
          </w:p>
        </w:tc>
      </w:tr>
    </w:tbl>
    <w:p w14:paraId="0E03C9D0" w14:textId="77777777" w:rsidR="005D3DB2" w:rsidRDefault="00000000">
      <w:pPr>
        <w:pStyle w:val="SourceNote"/>
      </w:pPr>
      <w:r>
        <w:t xml:space="preserve">Nguồn: Thí sinh đề xuất. Ghi chú: H</w:t>
      </w:r>
      <w:r>
        <w:rPr>
          <w:vertAlign w:val="subscript"/>
        </w:rPr>
        <w:t xml:space="preserve">1</w:t>
      </w:r>
      <w:r>
        <w:t xml:space="preserve">–H</w:t>
      </w:r>
      <w:r>
        <w:rPr>
          <w:vertAlign w:val="subscript"/>
        </w:rPr>
        <w:t xml:space="preserve">3</w:t>
      </w:r>
      <w:r>
        <w:t xml:space="preserve"> là họ kiểm định xác nhận, hiệu chỉnh Holm ở mức 5%; H</w:t>
      </w:r>
      <w:r>
        <w:rPr>
          <w:vertAlign w:val="subscript"/>
        </w:rPr>
        <w:t xml:space="preserve">4</w:t>
      </w:r>
      <w:r>
        <w:t xml:space="preserve"> được báo cáo bằng ước lượng, khoảng tin cậy và hiệu ứng nhỏ nhất phát hiện được; so sánh theo giai đoạn căng thẳng và theo quy mô doanh nghiệp là phân tích mô tả.</w:t>
      </w:r>
    </w:p>
    <w:p w14:paraId="4261E4DD" w14:textId="77777777" w:rsidR="005D3DB2" w:rsidRDefault="00000000">
      <w:pPr>
        <w:pStyle w:val="BodyText"/>
      </w:pPr>
      <w:r>
        <w:t xml:space="preserve">Mỗi giả thuyết đi kèm một khả năng đối lập. Với H</w:t>
      </w:r>
      <w:r>
        <w:rPr>
          <w:vertAlign w:val="subscript"/>
        </w:rPr>
        <w:t xml:space="preserve">1</w:t>
      </w:r>
      <w:r>
        <w:t xml:space="preserve">, điểm GFCI có thể chỉ phản ánh thu nhập và thể chế, nên hệ số của mức phát triển thị trường bằng 0 sau khi kiểm soát hai nhóm này. Với H</w:t>
      </w:r>
      <w:r>
        <w:rPr>
          <w:vertAlign w:val="subscript"/>
        </w:rPr>
        <w:t xml:space="preserve">2</w:t>
      </w:r>
      <w:r>
        <w:t xml:space="preserve">, chênh lệch có thể do quy mô doanh nghiệp và do biên độ dao động giá khác nhau (HOSE ±7%, HNX ±10%, UPCoM ±15%) [CẦN XÁC MINH theo từng thời kỳ], nên chỉ số được so sánh cả trên mẫu đối sánh theo quy mô và ngành và cả khi bỏ hai chỉ báo nhạy với biên độ. Với H</w:t>
      </w:r>
      <w:r>
        <w:rPr>
          <w:vertAlign w:val="subscript"/>
        </w:rPr>
        <w:t xml:space="preserve">3</w:t>
      </w:r>
      <w:r>
        <w:t xml:space="preserve">, biên độ giảm từ ±10% xuống ±7% khi chuyển sàn làm lợi suất tuyệt đối bị cắt ở những ngày chạm biên độ, nên độ phi thanh khoản Amihud có thể giảm một cách cơ học; đề tài vì vậy tính Amihud trên các ngày không chạm biên độ và ngày liền sau đó, và dùng vòng quay làm thước đo đối chiếu. Với H</w:t>
      </w:r>
      <w:r>
        <w:rPr>
          <w:vertAlign w:val="subscript"/>
        </w:rPr>
        <w:t xml:space="preserve">4</w:t>
      </w:r>
      <w:r>
        <w:t xml:space="preserve">, quy tắc 1/N có thể xóa khoảng cách vì không cần ước lượng tham số (DeMiguel và cộng sự, 2009), nên đề tài báo cáo khoảng cách riêng cho từng mô hình.</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dùng hai bộ dữ liệu. Bộ dữ liệu quốc tế cho câu hỏi 1 gồm điểm và thứ hạng GFCI của các kỳ 1–40, do Z/Yen và China Development Institute công bố công khai và được thí sinh số hóa từ báo cáo từng kỳ; thí sinh liên hệ Long Finance về giấy phép dùng bộ dữ liệu lịch sử [CẦN XÁC MINH]. Bộ này được ghép với các chỉ báo thị trường cổ phiếu cấp quốc gia trong Cơ sở dữ liệu Phát triển Tài chính Toàn cầu (Čihák và cộng sự, 2012) và các chỉ số quản trị nhà nước toàn cầu (Kaufmann và cộng sự, 2011). Bộ dữ liệu Việt Nam gồm giá điều chỉnh theo ngày, khối lượng và giá trị giao dịch của cổ phiếu trên sàn niêm yết HNX, UPCoM và HOSE, kể cả những mã đã hủy niêm yết hoặc đã chuyển sàn, cùng VN-Index, HNX-Index và lợi suất trái phiếu chính phủ kỳ hạn một năm. Dữ liệu minh bạch gồm thời điểm công bố báo cáo tài chính [CẦN XÁC MINH nguồn và điều khoản sử dụng]. Nguồn dữ liệu là HNX, HOSE và một nhà cung cấp dữ liệu thương mại; dữ liệu không chứa thông tin cá nhân.</w:t>
      </w:r>
    </w:p>
    <w:p w14:paraId="46027A87" w14:textId="77777777" w:rsidR="005D3DB2" w:rsidRDefault="00000000">
      <w:pPr>
        <w:pStyle w:val="BodyText"/>
      </w:pPr>
      <w:r>
        <w:t xml:space="preserve">Mẫu bắt đầu từ tháng 6/2009, khi UPCoM có giao dịch. Vì lộ trình hợp nhất đã được quy định từ năm 2021 và HNX ngừng nhận niêm yết mới từ ngày 01/7/2025, giai đoạn tham chiếu kết thúc ngày 30/6/2025; giai đoạn từ tháng 7/2025 đến tháng 12/2026 là giai đoạn chuyển tiếp, được báo cáo riêng trong phiên bản nghiên cứu sự kiện; giai đoạn sau sự kiện kéo dài 24 tháng từ tháng 1/2027. Ngày cổ phiếu bị đình chỉ giao dịch bị loại khỏi mẫu số của tỷ lệ ngày lợi suất bằng 0; lợi suất kỳ hủy niêm yết lấy theo giá giao dịch cuối cùng; độ phi thanh khoản Amihud được cắt đuôi ở phân vị 1% và 99% mỗi tháng; tháng không có giao dịch được ghi là thiếu và tỷ lệ tháng thiếu được báo cáo. Giai đoạn căng thẳng chỉ dùng cho phân tích mô tả và gồm hai đợt trong mẫu: đại dịch COVID-19 năm 2020 (Dao và cộng sự, 2021) và biến cố thị trường trái phiếu doanh nghiệp từ quý 4/2022 (International Monetary Fund, 2023; Vu và cộng sự, 2024). Ngưỡng sụt giảm của VN-Index và HNX-Index xác định mỗi đợt được ghi trong tệp đăng ký trước.</w:t>
      </w:r>
    </w:p>
    <w:p w14:paraId="68236F46" w14:textId="77777777" w:rsidR="005D3DB2" w:rsidRDefault="00000000">
      <w:pPr>
        <w:pStyle w:val="Heading3"/>
      </w:pPr>
      <w:bookmarkStart w:id="17" w:name="_Toc242353134"/>
      <w:bookmarkStart w:id="18" w:name="xác-định-chế-độ-thị-trường"/>
      <w:bookmarkEnd w:id="16"/>
      <w:r>
        <w:t xml:space="preserve">4.3.4. </w:t>
      </w:r>
      <w:r>
        <w:t xml:space="preserve">Chỉ số chất lượng thị trường vốn</w:t>
      </w:r>
      <w:bookmarkEnd w:id="17"/>
    </w:p>
    <w:p w14:paraId="3270AF4A" w14:textId="77777777" w:rsidR="005D3DB2" w:rsidRDefault="00000000">
      <w:pPr>
        <w:pStyle w:val="FirstParagraph"/>
      </w:pPr>
      <w:r>
        <w:t xml:space="preserve">Với mỗi cổ phiếu và mỗi tháng, đề tài tính sáu chỉ báo thuộc ba chiều. Chiều thanh khoản gồm độ phi thanh khoản Amihud (Amihud, 2002), tỷ lệ ngày có lợi suất bằng 0 (Lesmond và cộng sự, 1999) và chênh lệch mua-bán ước lượng từ giá cao nhất và thấp nhất (Corwin &amp; Schultz, 2012). Amihud và tỷ lệ ngày lợi suất bằng 0 là chỉ báo chính vì hai thước đo này phản ánh tốt chi phí giao dịch trong một quốc gia ở thị trường mới nổi (Lesmond, 2005; Bekaert và cộng sự, 2007; Fong và cộng sự, 2017). Chiều hiệu quả thông tin gồm độ lệch của tỷ số phương sai khỏi 1 (Lo &amp; MacKinlay, 1988) và độ trễ giá (Hou &amp; Moskowitz, 2005); vì hai thước đo này có thể cho kết luận sai khi môi trường thông tin khác nhau (Griffin và cộng sự, 2010), cấu hình bỏ chiều hiệu quả thông tin là kiểm tra độ bền bắt buộc. Chiều minh bạch là số ngày trễ hạn công bố báo cáo tài chính theo quý, giữ nguyên giá trị cho các tháng đến kỳ công bố tiếp theo. Các chỉ báo cổ phiếu được gộp lên cấp sàn bằng trung vị có trọng số theo vốn hóa.</w:t>
      </w:r>
    </w:p>
    <w:p>
      <w:pPr>
        <w:pStyle w:val="FirstParagraph"/>
      </w:pPr>
      <w:r>
        <w:t xml:space="preserve">Đề tài gộp các chỉ báo thành Chỉ số chất lượng thị trường vốn theo hướng dẫn xây dựng chỉ số tổng hợp của OECD (2008). Mỗi chỉ báo được chuẩn hóa thành điểm z trên toàn mẫu gộp của các sàn và toàn giai đoạn, rồi đổi dấu sao cho giá trị cao hơn là chất lượng tốt hơn. Với sàn k và tháng t, chỉ số là:</w:t>
      </w:r>
    </w:p>
    <w:p>
      <w:pPr>
        <w:pStyle w:val="Equation"/>
      </w:pPr>
      <w:r>
        <w:tab/>
      </w:r>
      <m:oMath>
        <m:sSub>
          <m:sSubPr>
            <m:ctrlPr>
              <w:rPr>
                <w:rFonts w:ascii="Cambria Math" w:hAnsi="Cambria Math"/>
              </w:rPr>
            </m:ctrlPr>
          </m:sSubPr>
          <m:e>
            <m:r>
              <m:rPr>
                <m:sty m:val="p"/>
              </m:rPr>
              <w:rPr>
                <w:rFonts w:ascii="Cambria Math" w:hAnsi="Cambria Math"/>
              </w:rPr>
              <m:t xml:space="preserve">MQI</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nary>
          <m:naryPr>
            <m:chr m:val="∑"/>
            <m:limLoc m:val="undOvr"/>
            <m:ctrlPr>
              <w:rPr>
                <w:rFonts w:ascii="Cambria Math" w:hAnsi="Cambria Math"/>
              </w:rPr>
            </m:ctrlP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J</m:t>
            </m:r>
          </m:sup>
          <m:e>
            <m:sSub>
              <m:sSubPr>
                <m:ctrlPr>
                  <w:rPr>
                    <w:rFonts w:ascii="Cambria Math" w:hAnsi="Cambria Math"/>
                  </w:rPr>
                </m:ctrlPr>
              </m:sSubPr>
              <m:e>
                <m:r>
                  <w:rPr>
                    <w:rFonts w:ascii="Cambria Math" w:hAnsi="Cambria Math"/>
                  </w:rPr>
                  <m:t xml:space="preserve">w</m:t>
                </m:r>
              </m:e>
              <m:sub>
                <m:r>
                  <w:rPr>
                    <w:rFonts w:ascii="Cambria Math" w:hAnsi="Cambria Math"/>
                  </w:rPr>
                  <m:t xml:space="preserve">j</m:t>
                </m:r>
              </m:sub>
            </m:sSub>
            <m:sSub>
              <m:sSubPr>
                <m:ctrlPr>
                  <w:rPr>
                    <w:rFonts w:ascii="Cambria Math" w:hAnsi="Cambria Math"/>
                  </w:rPr>
                </m:ctrlPr>
              </m:sSubPr>
              <m:e>
                <m:r>
                  <w:rPr>
                    <w:rFonts w:ascii="Cambria Math" w:hAnsi="Cambria Math"/>
                  </w:rPr>
                  <m:t xml:space="preserve">z</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e>
        </m:nary>
      </m:oMath>
      <w:r>
        <w:t xml:space="preserve"> </w:t>
        <w:tab/>
        <w:t>(1)</w:t>
      </w:r>
    </w:p>
    <w:p>
      <w:pPr>
        <w:pStyle w:val="FirstParagraph"/>
      </w:pPr>
      <w:r>
        <w:t xml:space="preserve">trong đó MQI là Chỉ số chất lượng thị trường vốn, J = 6 là số chỉ báo, </w:t>
      </w:r>
      <w:r>
        <w:rPr>
          <w:i/>
          <w:iCs/>
        </w:rPr>
        <w:t xml:space="preserve">z</w:t>
      </w:r>
      <w:r>
        <w:rPr>
          <w:vertAlign w:val="subscript"/>
        </w:rPr>
        <w:t xml:space="preserve">j,k,t</w:t>
      </w:r>
      <w:r>
        <w:t xml:space="preserve"> là điểm z của chỉ báo j, và </w:t>
      </w:r>
      <w:r>
        <w:rPr>
          <w:i/>
          <w:iCs/>
        </w:rPr>
        <w:t xml:space="preserve">w</w:t>
      </w:r>
      <w:r>
        <w:rPr>
          <w:vertAlign w:val="subscript"/>
        </w:rPr>
        <w:t xml:space="preserve">j</w:t>
      </w:r>
      <w:r>
        <w:t xml:space="preserve"> = 1/(3·</w:t>
      </w:r>
      <w:r>
        <w:rPr>
          <w:i/>
          <w:iCs/>
        </w:rPr>
        <w:t xml:space="preserve">n</w:t>
      </w:r>
      <w:r>
        <w:rPr>
          <w:vertAlign w:val="subscript"/>
        </w:rPr>
        <w:t xml:space="preserve">d(j)</w:t>
      </w:r>
      <w:r>
        <w:t xml:space="preserve">) là trọng số, với </w:t>
      </w:r>
      <w:r>
        <w:rPr>
          <w:i/>
          <w:iCs/>
        </w:rPr>
        <w:t xml:space="preserve">n</w:t>
      </w:r>
      <w:r>
        <w:rPr>
          <w:vertAlign w:val="subscript"/>
        </w:rPr>
        <w:t xml:space="preserve">d(j)</w:t>
      </w:r>
      <w:r>
        <w:t xml:space="preserve"> là số chỉ báo thuộc chiều chứa chỉ báo j; k chỉ sàn (sàn niêm yết HNX, UPCoM hoặc HOSE). Trọng số từ thành phần chính thứ nhất và cách gộp bỏ lần lượt từng chiều là kiểm tra độ bền (OECD, 2008). Đề tài kiểm định H</w:t>
      </w:r>
      <w:r>
        <w:rPr>
          <w:vertAlign w:val="subscript"/>
        </w:rPr>
        <w:t xml:space="preserve">2</w:t>
      </w:r>
      <w:r>
        <w:t xml:space="preserve"> bằng chuỗi chênh lệch chỉ số theo tháng giữa HOSE và sàn niêm yết HNX: H</w:t>
      </w:r>
      <w:r>
        <w:rPr>
          <w:vertAlign w:val="subscript"/>
        </w:rPr>
        <w:t xml:space="preserve">2</w:t>
      </w:r>
      <w:r>
        <w:t xml:space="preserve"> được ủng hộ khi chênh lệch bình quân dương với khoảng tin cậy bootstrap khối dừng trên chuỗi tháng loại trừ 0 (Politis &amp; Romano, 1994). Chênh lệch giữa HOSE và UPCoM, chênh lệch theo giai đoạn căng thẳng và điểm gãy cấu trúc theo Bai và Perron (1998) được báo cáo ở dạng mô tả. Sau năm 2026, chỉ số tiếp tục được cập nhật hằng tháng cho HOSE và cho UPCoM trong thời gian UPCoM còn do HNX vận hành.</w:t>
      </w:r>
    </w:p>
    <w:p w14:paraId="28018213" w14:textId="77777777" w:rsidR="005D3DB2" w:rsidRDefault="00000000">
      <w:pPr>
        <w:pStyle w:val="Heading3"/>
      </w:pPr>
      <w:r>
        <w:t xml:space="preserve">4.3.5. </w:t>
      </w:r>
      <w:r>
        <w:t xml:space="preserve">Mô hình phân bổ dùng làm công cụ đo và đăng ký trước</w:t>
      </w:r>
    </w:p>
    <w:p w14:paraId="5CE7E4B9" w14:textId="77777777" w:rsidR="005D3DB2" w:rsidRDefault="00000000">
      <w:pPr>
        <w:pStyle w:val="FirstParagraph"/>
      </w:pPr>
      <w:r>
        <w:t xml:space="preserve">Đề tài đo khả năng đầu tư bằng bảy mô hình phân bổ (Bảng 3), đại diện cho các hướng tiếp cận ở nhóm tài liệu (D): quy tắc đơn giản, co rút hiệp phương sai, tối ưu hóa cổ điển, mô hình Black-Litterman, danh mục vững chắc và quy tắc có trạng thái thị trường (Hamilton, 1989; Kritzman và cộng sự, 2012). Đề tài dùng nhiều mô hình vì khoảng cách đo bằng một mô hình có thể chỉ phản ánh sai số ước lượng của mô hình đó; bình quân theo bảy mô hình và độ phân tán giữa chúng tách hai nguồn này. Tập mô hình không phải danh sách đầy đủ.</w:t>
      </w:r>
    </w:p>
    <w:p w14:paraId="473E7488" w14:textId="77777777" w:rsidR="005D3DB2" w:rsidRDefault="00000000">
      <w:pPr>
        <w:pStyle w:val="TableCaption"/>
      </w:pPr>
      <w:bookmarkStart w:id="21" w:name="_Toc242353158"/>
      <w:r>
        <w:t xml:space="preserve">Bảng </w:t>
      </w:r>
      <w:fldSimple w:instr=" SEQ Bảng \* ARABIC ">
        <w:r>
          <w:rPr>
            <w:noProof/>
          </w:rPr>
          <w:t>3</w:t>
        </w:r>
      </w:fldSimple>
      <w:r>
        <w:t xml:space="preserve">. </w:t>
      </w:r>
      <w:r>
        <w:t xml:space="preserve">Bảy mô hình phân bổ dùng làm công cụ đo khả năng đầu tư</w:t>
      </w:r>
      <w:bookmarkEnd w:id="21"/>
    </w:p>
    <w:tbl>
      <w:tblPr>
        <w:tblStyle w:val="Table"/>
        <w:tblW w:w="5000" w:type="pct"/>
        <w:tblLook w:val="0020" w:firstRow="1" w:lastRow="0" w:firstColumn="0" w:lastColumn="0" w:noHBand="0" w:noVBand="0"/>
      </w:tblPr>
      <w:tblGrid>
        <w:gridCol w:w="503"/>
        <w:gridCol w:w="4765"/>
        <w:gridCol w:w="3510"/>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20971C1" w14:textId="77777777" w:rsidR="005D3DB2" w:rsidRDefault="00000000">
            <w:pPr>
              <w:pStyle w:val="Compact"/>
            </w:pPr>
            <w:r>
              <w:t>Mã</w:t>
            </w:r>
          </w:p>
        </w:tc>
        <w:tc>
          <w:tcPr>
            <w:tcW w:w="0" w:type="auto"/>
          </w:tcPr>
          <w:p w14:paraId="7F5DC59D" w14:textId="77777777" w:rsidR="005D3DB2" w:rsidRDefault="00000000">
            <w:pPr>
              <w:pStyle w:val="Compact"/>
            </w:pPr>
            <w:r>
              <w:t>Mô hình</w:t>
            </w:r>
          </w:p>
        </w:tc>
        <w:tc>
          <w:tcPr>
            <w:tcW w:w="0" w:type="auto"/>
          </w:tcPr>
          <w:p w14:paraId="4B730355" w14:textId="77777777" w:rsidR="005D3DB2" w:rsidRDefault="00000000">
            <w:pPr>
              <w:pStyle w:val="Compact"/>
            </w:pPr>
            <w:r>
              <w:t xml:space="preserve">Tài liệu gốc</w:t>
            </w:r>
          </w:p>
        </w:tc>
      </w:tr>
      <w:tr w:rsidR="005D3DB2" w14:paraId="4BB94694" w14:textId="77777777">
        <w:trPr>
          <w:cantSplit/>
        </w:trPr>
        <w:tc>
          <w:tcPr>
            <w:tcW w:w="0" w:type="auto"/>
          </w:tcPr>
          <w:p w14:paraId="23DD3646" w14:textId="77777777" w:rsidR="005D3DB2" w:rsidRDefault="00000000">
            <w:pPr>
              <w:pStyle w:val="Compact"/>
            </w:pPr>
            <w:r>
              <w:t>M</w:t>
            </w:r>
            <w:r>
              <w:rPr>
                <w:vertAlign w:val="subscript"/>
              </w:rPr>
              <w:t>1</w:t>
            </w:r>
          </w:p>
        </w:tc>
        <w:tc>
          <w:tcPr>
            <w:tcW w:w="0" w:type="auto"/>
          </w:tcPr>
          <w:p w14:paraId="7877F437" w14:textId="77777777" w:rsidR="005D3DB2" w:rsidRDefault="00000000">
            <w:pPr>
              <w:pStyle w:val="Compact"/>
            </w:pPr>
            <w:r>
              <w:t>Phân bổ đều 1/N</w:t>
            </w:r>
          </w:p>
        </w:tc>
        <w:tc>
          <w:tcPr>
            <w:tcW w:w="0" w:type="auto"/>
          </w:tcPr>
          <w:p w14:paraId="2CE0EB8D" w14:textId="77777777" w:rsidR="005D3DB2" w:rsidRDefault="00000000">
            <w:pPr>
              <w:pStyle w:val="Compact"/>
            </w:pPr>
            <w:r>
              <w:t>DeMiguel và cộng sự (2009)</w:t>
            </w:r>
          </w:p>
        </w:tc>
      </w:tr>
      <w:tr w:rsidR="005D3DB2" w14:paraId="148889D3" w14:textId="77777777">
        <w:trPr>
          <w:cantSplit/>
        </w:trPr>
        <w:tc>
          <w:tcPr>
            <w:tcW w:w="0" w:type="auto"/>
          </w:tcPr>
          <w:p w14:paraId="1DD58B1D" w14:textId="77777777" w:rsidR="005D3DB2" w:rsidRDefault="00000000">
            <w:pPr>
              <w:pStyle w:val="Compact"/>
            </w:pPr>
            <w:r>
              <w:t>M</w:t>
            </w:r>
            <w:r>
              <w:rPr>
                <w:vertAlign w:val="subscript"/>
              </w:rPr>
              <w:t>2</w:t>
            </w:r>
          </w:p>
        </w:tc>
        <w:tc>
          <w:tcPr>
            <w:tcW w:w="0" w:type="auto"/>
          </w:tcPr>
          <w:p w14:paraId="244687DE" w14:textId="77777777" w:rsidR="005D3DB2" w:rsidRDefault="00000000">
            <w:pPr>
              <w:pStyle w:val="Compact"/>
            </w:pPr>
            <w:r>
              <w:t>Phương sai nhỏ nhất với ma trận hiệp phương sai co rút</w:t>
            </w:r>
          </w:p>
        </w:tc>
        <w:tc>
          <w:tcPr>
            <w:tcW w:w="0" w:type="auto"/>
          </w:tcPr>
          <w:p w14:paraId="40D70932" w14:textId="77777777" w:rsidR="005D3DB2" w:rsidRDefault="00000000">
            <w:pPr>
              <w:pStyle w:val="Compact"/>
            </w:pPr>
            <w:r>
              <w:t>Ledoit và Wolf (2004)</w:t>
            </w:r>
          </w:p>
        </w:tc>
      </w:tr>
      <w:tr w:rsidR="005D3DB2" w14:paraId="72D0850C" w14:textId="77777777">
        <w:trPr>
          <w:cantSplit/>
        </w:trPr>
        <w:tc>
          <w:tcPr>
            <w:tcW w:w="0" w:type="auto"/>
          </w:tcPr>
          <w:p w14:paraId="551C2224" w14:textId="77777777" w:rsidR="005D3DB2" w:rsidRDefault="00000000">
            <w:pPr>
              <w:pStyle w:val="Compact"/>
            </w:pPr>
            <w:r>
              <w:t>M</w:t>
            </w:r>
            <w:r>
              <w:rPr>
                <w:vertAlign w:val="subscript"/>
              </w:rPr>
              <w:t>3</w:t>
            </w:r>
          </w:p>
        </w:tc>
        <w:tc>
          <w:tcPr>
            <w:tcW w:w="0" w:type="auto"/>
          </w:tcPr>
          <w:p w14:paraId="3356ABA6" w14:textId="77777777" w:rsidR="005D3DB2" w:rsidRDefault="00000000">
            <w:pPr>
              <w:pStyle w:val="Compact"/>
            </w:pPr>
            <w:r>
              <w:t xml:space="preserve">Trung bình-phương sai với ước lượng mẫu</w:t>
            </w:r>
          </w:p>
        </w:tc>
        <w:tc>
          <w:tcPr>
            <w:tcW w:w="0" w:type="auto"/>
          </w:tcPr>
          <w:p w14:paraId="1F03E0B7" w14:textId="77777777" w:rsidR="005D3DB2" w:rsidRDefault="00000000">
            <w:pPr>
              <w:pStyle w:val="Compact"/>
            </w:pPr>
            <w:r>
              <w:t>Markowitz (1952)</w:t>
            </w:r>
          </w:p>
        </w:tc>
      </w:tr>
      <w:tr w:rsidR="005D3DB2" w14:paraId="73E18DCE" w14:textId="77777777">
        <w:trPr>
          <w:cantSplit/>
        </w:trPr>
        <w:tc>
          <w:tcPr>
            <w:tcW w:w="0" w:type="auto"/>
          </w:tcPr>
          <w:p w14:paraId="448D22E2" w14:textId="77777777" w:rsidR="005D3DB2" w:rsidRDefault="00000000">
            <w:pPr>
              <w:pStyle w:val="Compact"/>
            </w:pPr>
            <w:r>
              <w:t>M</w:t>
            </w:r>
            <w:r>
              <w:rPr>
                <w:vertAlign w:val="subscript"/>
              </w:rPr>
              <w:t>4</w:t>
            </w:r>
          </w:p>
        </w:tc>
        <w:tc>
          <w:tcPr>
            <w:tcW w:w="0" w:type="auto"/>
          </w:tcPr>
          <w:p w14:paraId="758005CD" w14:textId="77777777" w:rsidR="005D3DB2" w:rsidRDefault="00000000">
            <w:pPr>
              <w:pStyle w:val="Compact"/>
            </w:pPr>
            <w:r>
              <w:t xml:space="preserve">Black-Litterman với quan điểm từ mô hình dự báo</w:t>
            </w:r>
          </w:p>
        </w:tc>
        <w:tc>
          <w:tcPr>
            <w:tcW w:w="0" w:type="auto"/>
          </w:tcPr>
          <w:p w14:paraId="4B6B712C" w14:textId="77777777" w:rsidR="005D3DB2" w:rsidRDefault="00000000">
            <w:pPr>
              <w:pStyle w:val="Compact"/>
            </w:pPr>
            <w:r>
              <w:t>Black và Litterman (1992)</w:t>
            </w:r>
          </w:p>
        </w:tc>
      </w:tr>
      <w:tr w:rsidR="005D3DB2" w14:paraId="2EFBFFC3" w14:textId="77777777">
        <w:trPr>
          <w:cantSplit/>
        </w:trPr>
        <w:tc>
          <w:tcPr>
            <w:tcW w:w="0" w:type="auto"/>
          </w:tcPr>
          <w:p w14:paraId="2F0A1C76" w14:textId="77777777" w:rsidR="005D3DB2" w:rsidRDefault="00000000">
            <w:pPr>
              <w:pStyle w:val="Compact"/>
            </w:pPr>
            <w:r>
              <w:t>M</w:t>
            </w:r>
            <w:r>
              <w:rPr>
                <w:vertAlign w:val="subscript"/>
              </w:rPr>
              <w:t>5</w:t>
            </w:r>
          </w:p>
        </w:tc>
        <w:tc>
          <w:tcPr>
            <w:tcW w:w="0" w:type="auto"/>
          </w:tcPr>
          <w:p w14:paraId="31F2A1AD" w14:textId="77777777" w:rsidR="005D3DB2" w:rsidRDefault="00000000">
            <w:pPr>
              <w:pStyle w:val="Compact"/>
            </w:pPr>
            <w:r>
              <w:t xml:space="preserve">Black-Litterman có chuyển chế độ</w:t>
            </w:r>
          </w:p>
        </w:tc>
        <w:tc>
          <w:tcPr>
            <w:tcW w:w="0" w:type="auto"/>
          </w:tcPr>
          <w:p w14:paraId="44313646" w14:textId="77777777" w:rsidR="005D3DB2" w:rsidRDefault="00000000">
            <w:pPr>
              <w:pStyle w:val="Compact"/>
            </w:pPr>
            <w:r>
              <w:t>Mở rộng từ Nguyen và Nguyen (2026a)</w:t>
            </w:r>
          </w:p>
        </w:tc>
      </w:tr>
      <w:tr w:rsidR="005D3DB2" w14:paraId="3ECC16B1" w14:textId="77777777">
        <w:trPr>
          <w:cantSplit/>
        </w:trPr>
        <w:tc>
          <w:tcPr>
            <w:tcW w:w="0" w:type="auto"/>
          </w:tcPr>
          <w:p w14:paraId="148F97A3" w14:textId="77777777" w:rsidR="005D3DB2" w:rsidRDefault="00000000">
            <w:pPr>
              <w:pStyle w:val="Compact"/>
            </w:pPr>
            <w:r>
              <w:t>M</w:t>
            </w:r>
            <w:r>
              <w:rPr>
                <w:vertAlign w:val="subscript"/>
              </w:rPr>
              <w:t>6</w:t>
            </w:r>
          </w:p>
        </w:tc>
        <w:tc>
          <w:tcPr>
            <w:tcW w:w="0" w:type="auto"/>
          </w:tcPr>
          <w:p w14:paraId="63B8F9BE" w14:textId="77777777" w:rsidR="005D3DB2" w:rsidRDefault="00000000">
            <w:pPr>
              <w:pStyle w:val="Compact"/>
            </w:pPr>
            <w:r>
              <w:t>Danh mục vững chắc với nhiều niềm tin tiên nghiệm</w:t>
            </w:r>
          </w:p>
        </w:tc>
        <w:tc>
          <w:tcPr>
            <w:tcW w:w="0" w:type="auto"/>
          </w:tcPr>
          <w:p w14:paraId="4A51CA56" w14:textId="77777777" w:rsidR="005D3DB2" w:rsidRDefault="00000000">
            <w:pPr>
              <w:pStyle w:val="Compact"/>
            </w:pPr>
            <w:r>
              <w:t>Garlappi và cộng sự (2007)</w:t>
            </w:r>
          </w:p>
        </w:tc>
      </w:tr>
      <w:tr w:rsidR="005D3DB2" w14:paraId="043CE885" w14:textId="77777777">
        <w:trPr>
          <w:cantSplit/>
        </w:trPr>
        <w:tc>
          <w:tcPr>
            <w:tcW w:w="0" w:type="auto"/>
          </w:tcPr>
          <w:p w14:paraId="368F48C9" w14:textId="77777777" w:rsidR="005D3DB2" w:rsidRDefault="00000000">
            <w:pPr>
              <w:pStyle w:val="Compact"/>
            </w:pPr>
            <w:r>
              <w:t>M</w:t>
            </w:r>
            <w:r>
              <w:rPr>
                <w:vertAlign w:val="subscript"/>
              </w:rPr>
              <w:t>7</w:t>
            </w:r>
          </w:p>
        </w:tc>
        <w:tc>
          <w:tcPr>
            <w:tcW w:w="0" w:type="auto"/>
          </w:tcPr>
          <w:p w14:paraId="31E8219C" w14:textId="77777777" w:rsidR="005D3DB2" w:rsidRDefault="00000000">
            <w:pPr>
              <w:pStyle w:val="Compact"/>
            </w:pPr>
            <w:r>
              <w:t xml:space="preserve">Giảm tỷ trọng rủi ro theo xác suất trạng thái căng thẳng do mô hình tự ước lượng</w:t>
            </w:r>
          </w:p>
        </w:tc>
        <w:tc>
          <w:tcPr>
            <w:tcW w:w="0" w:type="auto"/>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 xml:space="preserve">Nguồn: Thí sinh tổng hợp. Ghi chú: cả bảy mô hình là danh mục chỉ mua; trọng số được ước lượng lại hằng tháng trên cửa sổ trượt 104 tuần; xác suất trạng thái trong M</w:t>
      </w:r>
      <w:r>
        <w:rPr>
          <w:vertAlign w:val="subscript"/>
        </w:rPr>
        <w:t xml:space="preserve">5</w:t>
      </w:r>
      <w:r>
        <w:t xml:space="preserve"> và M</w:t>
      </w:r>
      <w:r>
        <w:rPr>
          <w:vertAlign w:val="subscript"/>
        </w:rPr>
        <w:t xml:space="preserve">7</w:t>
      </w:r>
      <w:r>
        <w:t xml:space="preserve"> là thành phần nội bộ của mô hình, không dùng để xác định giai đoạn căng thẳng.</w:t>
      </w:r>
    </w:p>
    <w:p w14:paraId="2FD81000" w14:textId="77777777" w:rsidR="005D3DB2" w:rsidRDefault="00000000">
      <w:pPr>
        <w:pStyle w:val="BodyText"/>
      </w:pPr>
      <w:r>
        <w:t>Đề tài chọn siêu tham số của M</w:t>
      </w:r>
      <w:r>
        <w:rPr>
          <w:vertAlign w:val="subscript"/>
        </w:rPr>
        <w:t>2</w:t>
      </w:r>
      <w:r>
        <w:t>, M</w:t>
      </w:r>
      <w:r>
        <w:rPr>
          <w:vertAlign w:val="subscript"/>
        </w:rPr>
        <w:t>4</w:t>
      </w:r>
      <w:r>
        <w:t>, M</w:t>
      </w:r>
      <w:r>
        <w:rPr>
          <w:vertAlign w:val="subscript"/>
        </w:rPr>
        <w:t>5</w:t>
      </w:r>
      <w:r>
        <w:t>, M</w:t>
      </w:r>
      <w:r>
        <w:rPr>
          <w:vertAlign w:val="subscript"/>
        </w:rPr>
        <w:t>6</w:t>
      </w:r>
      <w:r>
        <w:t xml:space="preserve"> và M</w:t>
      </w:r>
      <w:r>
        <w:rPr>
          <w:vertAlign w:val="subscript"/>
        </w:rPr>
        <w:t>7</w:t>
      </w:r>
      <w:r>
        <w:t xml:space="preserve"> từ một lưới cho trước, bằng cùng một quy tắc và cùng ngân sách tinh chỉnh. Quan điểm của M</w:t>
      </w:r>
      <w:r>
        <w:rPr>
          <w:vertAlign w:val="subscript"/>
        </w:rPr>
        <w:t>4</w:t>
      </w:r>
      <w:r>
        <w:t xml:space="preserve"> lấy từ một mô hình dự báo đơn giản. Vì M</w:t>
      </w:r>
      <w:r>
        <w:rPr>
          <w:vertAlign w:val="subscript"/>
        </w:rPr>
        <w:t>5</w:t>
      </w:r>
      <w:r>
        <w:t xml:space="preserve"> do thí sinh phát triển, đề tài xử lý M</w:t>
      </w:r>
      <w:r>
        <w:rPr>
          <w:vertAlign w:val="subscript"/>
        </w:rPr>
        <w:t>5</w:t>
      </w:r>
      <w:r>
        <w:t xml:space="preserve"> như mọi mô hình khác và báo cáo kết quả cả khi có lẫn khi không có M</w:t>
      </w:r>
      <w:r>
        <w:rPr>
          <w:vertAlign w:val="subscript"/>
        </w:rPr>
        <w:t>5</w:t>
      </w:r>
      <w:r>
        <w:t>. Đề tài chỉ ước lượng trực tiếp M</w:t>
      </w:r>
      <w:r>
        <w:rPr>
          <w:vertAlign w:val="subscript"/>
        </w:rPr>
        <w:t>3</w:t>
      </w:r>
      <w:r>
        <w:t xml:space="preserve"> khi tỷ lệ số cổ phiếu trên số quan sát tuần không vượt 0,5; khi vượt ngưỡng, M</w:t>
      </w:r>
      <w:r>
        <w:rPr>
          <w:vertAlign w:val="subscript"/>
        </w:rPr>
        <w:t>3</w:t>
      </w:r>
      <w:r>
        <w:t xml:space="preserve"> dùng nghịch đảo giả </w:t>
      </w:r>
      <w:r>
        <w:t xml:space="preserve">Moore-Penrose</w:t>
      </w:r>
      <w:r>
        <w:t xml:space="preserve"> và kết quả ghi rõ điều này.</w:t>
      </w:r>
    </w:p>
    <w:p w14:paraId="0EEA8DBF" w14:textId="77777777" w:rsidR="005D3DB2" w:rsidRDefault="00000000">
      <w:pPr>
        <w:pStyle w:val="BodyText"/>
      </w:pPr>
      <w:r>
        <w:t xml:space="preserve">Thí sinh đã dùng dữ liệu Việt Nam trong bài báo Nguyen và Nguyen (2026a) và trong các bản thảo số 5 và số 7 ở Bảng 7 [CẦN XÁC MINH phạm vi sàn của từng bài]. Để kiểm soát rủi ro chọn kết quả sau khi xem dữ liệu, thí sinh đăng ký trước kế hoạch phân tích trên nền tảng OSF Registries trước ngày 28/12/2026, với sự góp ý của người hướng dẫn dự kiến [CẦN XÁC NHẬN], ở dạng khóa có dấu thời gian, và khai rõ phạm vi sàn, giai đoạn và chỉ báo đã tính trong các bài trước. Tệp đăng ký cố định các nội dung sau: danh sách, cách chuẩn hóa và trọng số của chỉ báo; ngưỡng của hai đợt căng thẳng; ngày tham chiếu, quy tắc lập rổ và quy tắc ghép đối chứng; hai cấu hình chi phí giao dịch; siêu tham số của bảy mô hình; đặc tả các phương trình (5)–(7); độ dài khối và số lần tái lấy mẫu bootstrap; tập ngày giả định cho suy luận hoán vị; mức ý nghĩa và quy tắc hiệu chỉnh so sánh bội; quy tắc gọi một kết quả là chưa đủ cơ sở kết luận. Mọi thay đổi sau ngày đăng ký được ghi là lệch khỏi kế hoạch.</w:t>
      </w:r>
    </w:p>
    <w:p w14:paraId="574C7F46" w14:textId="77777777" w:rsidR="005D3DB2" w:rsidRDefault="00000000">
      <w:pPr>
        <w:pStyle w:val="Heading3"/>
      </w:pPr>
      <w:bookmarkStart w:id="22" w:name="_Toc242353136"/>
      <w:bookmarkStart w:id="23" w:name="thước-đo-rủi-ro-lựa-chọn-mô-hình"/>
      <w:bookmarkEnd w:id="20"/>
      <w:r>
        <w:t xml:space="preserve">4.3.6. </w:t>
      </w:r>
      <w:r>
        <w:t xml:space="preserve">Chỉ số khả năng đầu tư</w:t>
      </w:r>
      <w:bookmarkEnd w:id="22"/>
    </w:p>
    <w:p w14:paraId="2CBB84AF" w14:textId="77777777" w:rsidR="005D3DB2" w:rsidRDefault="00000000">
      <w:pPr>
        <w:pStyle w:val="FirstParagraph"/>
      </w:pPr>
      <w:r>
        <w:t xml:space="preserve">Đề tài đo hiệu quả ngoài mẫu bằng lợi suất tương đương chắc chắn sau chi phí giao dịch, tức mức lợi suất phi rủi ro mà nhà đầu tư ngại rủi ro coi là ngang giá với danh mục. Tỷ số Sharpe không phù hợp làm thước đo chính, vì khi lợi suất vượt trội trung bình âm, thường gặp trong giai đoạn căng thẳng, danh mục biến động mạnh hơn lại có tỷ số Sharpe ít âm hơn. Đề tài chỉ báo cáo tỷ số Sharpe như thước đo phụ.</w:t>
      </w:r>
    </w:p>
    <w:p>
      <w:pPr>
        <w:pStyle w:val="FirstParagraph"/>
      </w:pPr>
      <w:r>
        <w:t xml:space="preserve">Gọi M = {M</w:t>
      </w:r>
      <w:r>
        <w:rPr>
          <w:vertAlign w:val="subscript"/>
        </w:rPr>
        <w:t xml:space="preserve">1</w:t>
      </w:r>
      <w:r>
        <w:t xml:space="preserve">, …, M</w:t>
      </w:r>
      <w:r>
        <w:rPr>
          <w:vertAlign w:val="subscript"/>
        </w:rPr>
        <w:t xml:space="preserve">7</w:t>
      </w:r>
      <w:r>
        <w:t xml:space="preserve">} là tập mô hình ở Bảng 3 và b ∈ {H, CS} là rổ, trong đó CS là rổ cổ phiếu chuyển sàn và H là rổ cổ phiếu HOSE được ghép với CS. Với cửa sổ đánh giá kết thúc tại t, </w:t>
      </w:r>
      <w:r>
        <w:rPr>
          <w:i/>
          <w:iCs/>
        </w:rPr>
        <w:t xml:space="preserve">μ</w:t>
      </w:r>
      <w:r>
        <w:rPr>
          <w:vertAlign w:val="subscript"/>
        </w:rPr>
        <w:t xml:space="preserve">m,b,t</w:t>
      </w:r>
      <w:r>
        <w:t xml:space="preserve"> và </w:t>
      </w:r>
      <w:r>
        <w:rPr>
          <w:i/>
          <w:iCs/>
        </w:rPr>
        <w:t xml:space="preserve">σ</w:t>
      </w:r>
      <w:r>
        <w:t xml:space="preserve">²</w:t>
      </w:r>
      <w:r>
        <w:rPr>
          <w:vertAlign w:val="subscript"/>
        </w:rPr>
        <w:t xml:space="preserve">m,b,t</w:t>
      </w:r>
      <w:r>
        <w:t xml:space="preserve"> là trung bình và phương sai mẫu của lợi suất vượt trội tuần sau chi phí, nhân với 52 để quy năm; </w:t>
      </w:r>
      <w:r>
        <w:rPr>
          <w:i/>
          <w:iCs/>
        </w:rPr>
        <w:t xml:space="preserve">ρ</w:t>
      </w:r>
      <w:r>
        <w:t xml:space="preserve"> là hệ số ngại rủi ro ấn định trước (giá trị cơ sở bằng 5, kiểm tra độ nhạy ở 3 và 10). Đề tài dùng hai cấu hình chi phí. Cấu hình A dùng tỷ lệ cố định c nhân với vòng quay danh mục và chỉ đo kênh lợi suất và rủi ro. Cấu hình B dùng chi phí theo cổ phiếu và theo tháng, gồm phí giao dịch, thuế và một nửa chênh lệch giá chào mua và chào bán đóng cửa [CẦN XÁC MINH dữ liệu lệnh], nên đo thêm kênh chi phí giao dịch mà sàn tác động. Lợi suất tương đương chắc chắn là:</w:t>
      </w:r>
    </w:p>
    <w:p>
      <w:pPr>
        <w:pStyle w:val="Equation"/>
      </w:pPr>
      <w:r>
        <w:tab/>
      </w:r>
      <m:oMath>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μ</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w:rPr>
                <w:rFonts w:ascii="Cambria Math" w:hAnsi="Cambria Math"/>
              </w:rPr>
              <m:t xml:space="preserve">ρ</m:t>
            </m:r>
          </m:num>
          <m:den>
            <m:r>
              <m:rPr>
                <m:sty m:val="p"/>
              </m:rPr>
              <w:rPr>
                <w:rFonts w:ascii="Cambria Math" w:hAnsi="Cambria Math"/>
              </w:rPr>
              <m:t xml:space="preserve">2</m:t>
            </m:r>
          </m:den>
        </m:f>
        <m:sSubSup>
          <m:sSubSupPr>
            <m:ctrlPr>
              <w:rPr>
                <w:rFonts w:ascii="Cambria Math" w:hAnsi="Cambria Math"/>
              </w:rPr>
            </m:ctrlPr>
          </m:sSubSupPr>
          <m:e>
            <m:r>
              <w:rPr>
                <w:rFonts w:ascii="Cambria Math" w:hAnsi="Cambria Math"/>
              </w:rPr>
              <m:t xml:space="preserve">σ</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up>
            <m:r>
              <m:rPr>
                <m:sty m:val="p"/>
              </m:rPr>
              <w:rPr>
                <w:rFonts w:ascii="Cambria Math" w:hAnsi="Cambria Math"/>
              </w:rPr>
              <m:t xml:space="preserve">2</m:t>
            </m:r>
          </m:sup>
        </m:sSubSup>
      </m:oMath>
      <w:r>
        <w:t xml:space="preserve"> </w:t>
        <w:tab/>
        <w:t>(2)</w:t>
      </w:r>
    </w:p>
    <w:p>
      <w:pPr>
        <w:pStyle w:val="FirstParagraph"/>
      </w:pPr>
      <w:r>
        <w:t xml:space="preserve">Khoảng cách khả năng đầu tư của mô hình m là chênh lệch giữa rổ H và rổ cổ phiếu chuyển sàn:</w:t>
      </w:r>
    </w:p>
    <w:p>
      <w:pPr>
        <w:pStyle w:val="Equation"/>
      </w:pPr>
      <w:r>
        <w:tab/>
      </w:r>
      <m:oMath>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H</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CS</m:t>
            </m:r>
            <m:r>
              <m:rPr>
                <m:sty m:val="p"/>
              </m:rPr>
              <w:rPr>
                <w:rFonts w:ascii="Cambria Math" w:hAnsi="Cambria Math"/>
              </w:rPr>
              <m:t xml:space="preserve">,</m:t>
            </m:r>
            <m:r>
              <w:rPr>
                <w:rFonts w:ascii="Cambria Math" w:hAnsi="Cambria Math"/>
              </w:rPr>
              <m:t xml:space="preserve">t</m:t>
            </m:r>
          </m:sub>
        </m:sSub>
      </m:oMath>
      <w:r>
        <w:t xml:space="preserve"> </w:t>
        <w:tab/>
        <w:t>(3)</w:t>
      </w:r>
    </w:p>
    <w:p>
      <w:pPr>
        <w:pStyle w:val="FirstParagraph"/>
      </w:pPr>
      <w:r>
        <w:t xml:space="preserve">Chỉ số khả năng đầu tư là khoảng cách bình quân theo bảy mô hình:</w:t>
      </w:r>
    </w:p>
    <w:p>
      <w:pPr>
        <w:pStyle w:val="Equation"/>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 xml:space="preserve">G</m:t>
                </m:r>
              </m:e>
            </m:bar>
          </m:e>
          <m:sub>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d>
              <m:dPr>
                <m:begChr m:val="|"/>
                <m:endChr m:val="|"/>
                <m:ctrlPr>
                  <w:rPr>
                    <w:rFonts w:ascii="Cambria Math" w:hAnsi="Cambria Math"/>
                  </w:rPr>
                </m:ctrlPr>
              </m:dPr>
              <m:e>
                <m:r>
                  <w:rPr>
                    <w:rFonts w:ascii="Cambria Math" w:hAnsi="Cambria Math"/>
                  </w:rPr>
                  <m:t xml:space="preserve">M</m:t>
                </m:r>
              </m:e>
            </m:d>
          </m:den>
        </m:f>
        <m:nary>
          <m:naryPr>
            <m:chr m:val="∑"/>
            <m:limLoc m:val="undOvr"/>
            <m:supHide m:val="1"/>
            <m:ctrlPr>
              <w:rPr>
                <w:rFonts w:ascii="Cambria Math" w:hAnsi="Cambria Math"/>
              </w:rPr>
            </m:ctrlPr>
          </m:naryPr>
          <m:sub>
            <m:r>
              <w:rPr>
                <w:rFonts w:ascii="Cambria Math" w:hAnsi="Cambria Math"/>
              </w:rPr>
              <m:t xml:space="preserve">m</m:t>
            </m:r>
            <m:r>
              <m:rPr>
                <m:sty m:val="p"/>
              </m:rPr>
              <w:rPr>
                <w:rFonts w:ascii="Cambria Math" w:hAnsi="Cambria Math"/>
              </w:rPr>
              <m:t xml:space="preserve">∈</m:t>
            </m:r>
            <m:r>
              <w:rPr>
                <w:rFonts w:ascii="Cambria Math" w:hAnsi="Cambria Math"/>
              </w:rPr>
              <m:t xml:space="preserve">M</m:t>
            </m:r>
          </m:sub>
          <m:sup/>
          <m:e>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e>
        </m:nary>
      </m:oMath>
      <w:r>
        <w:t xml:space="preserve"> </w:t>
        <w:tab/>
        <w:t>(4)</w:t>
      </w:r>
    </w:p>
    <w:p>
      <w:pPr>
        <w:pStyle w:val="FirstParagraph"/>
      </w:pPr>
      <w:r>
        <w:t xml:space="preserve">Chỉ số khả năng đầu tư dương nghĩa là nhà đầu tư đa dạng hóa đạt lợi suất tương đương chắc chắn thấp hơn với rổ CS, tính bằng điểm phần trăm mỗi năm. Đề tài báo cáo kèm độ phân tán của </w:t>
      </w:r>
      <w:r>
        <w:rPr>
          <w:i/>
          <w:iCs/>
        </w:rPr>
        <w:t xml:space="preserve">G</w:t>
      </w:r>
      <w:r>
        <w:rPr>
          <w:vertAlign w:val="subscript"/>
        </w:rPr>
        <w:t xml:space="preserve">m,t</w:t>
      </w:r>
      <w:r>
        <w:t xml:space="preserve"> theo m. Rổ CS gồm tối đa 30 cổ phiếu có giá trị giao dịch bình quân ba tháng lớn nhất trong số các cổ phiếu chuyển sàn, xác định chỉ bằng dữ liệu có tại ngày tham chiếu 30/6/2025; mã hủy niêm yết sau ngày này được giữ đến tháng cuối cùng có giao dịch. Rổ H gồm, cho mỗi cổ phiếu của rổ CS, cổ phiếu HOSE gần nhất về vốn hóa, ngành và độ phi thanh khoản tại cùng ngày, ghép có hoàn lại với ngưỡng khoảng cách ghi trong tệp đăng ký. Giữ nguyên thành phần rổ giúp so sánh cùng các cổ phiếu quanh sự kiện, nhưng không loại hết các nguồn thiên lệch: thông tin tại ngày tham chiếu có thể lỗi thời ở các cửa sổ xa, và các mã được chọn vì thanh khoản cao có thể hồi quy về trung bình. Hai rổ được lập theo cùng quy tắc nên các nguồn này tác động lên cả hai.</w:t>
      </w:r>
    </w:p>
    <w:p w14:paraId="20510674" w14:textId="77777777" w:rsidR="005D3DB2" w:rsidRDefault="00000000">
      <w:pPr>
        <w:pStyle w:val="BodyText"/>
      </w:pPr>
      <w:r>
        <w:t xml:space="preserve">Đề tài ước lượng mỗi mô hình trên cửa sổ 104 tuần và đánh giá trên cửa sổ 3 tháng không chồng lấn (Hình 2). Giai đoạn tham chiếu dùng các cửa sổ từ quý 3/2020 đến quý 2/2025, tức 20 cửa sổ; giai đoạn sau sự kiện dùng các cửa sổ từ quý 1/2027 đến quý 4/2028, tức 8 cửa sổ. Vì số cửa sổ ít và lợi suất tương đương chắc chắn có phương sai lớn, hiệu ứng nhỏ nhất phát hiện được của H</w:t>
      </w:r>
      <w:r>
        <w:rPr>
          <w:vertAlign w:val="subscript"/>
        </w:rPr>
        <w:t xml:space="preserve">4</w:t>
      </w:r>
      <w:r>
        <w:t xml:space="preserve"> có thể lớn hơn nhiều so với một tác động hợp lý; đề tài tính con số này trên dữ liệu tham chiếu, ghi vào tệp đăng ký, và báo cáo H</w:t>
      </w:r>
      <w:r>
        <w:rPr>
          <w:vertAlign w:val="subscript"/>
        </w:rPr>
        <w:t xml:space="preserve">4</w:t>
      </w:r>
      <w:r>
        <w:t xml:space="preserve"> ở dạng ước lượng.</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p>
                            <w:p w14:paraId="3AD823B3"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p>
                      <w:p w14:paraId="3AD823B3" w14:textId="77777777" w:rsidR="005D3DB2" w:rsidRDefault="00000000">
                        <w:pPr>
                          <w:jc w:val="center"/>
                        </w:pP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2</w:t>
        </w:r>
      </w:fldSimple>
      <w:r>
        <w:t xml:space="preserve">. Cửa sổ ước lượng, cửa sổ đánh giá và </w:t>
      </w:r>
      <w:r>
        <w:t xml:space="preserve">cách tính khoảng cách khả năng đầu tư</w:t>
      </w:r>
      <w:bookmarkEnd w:id="24"/>
    </w:p>
    <w:p w14:paraId="14F05B63" w14:textId="77777777" w:rsidR="005D3DB2" w:rsidRDefault="00000000">
      <w:pPr>
        <w:pStyle w:val="SourceNote"/>
      </w:pPr>
      <w:r>
        <w:t xml:space="preserve">Nguồn: Thí sinh đề xuất. Ghi chú: ở mỗi cửa sổ đánh giá, đề tài tính lợi suất tương đương chắc chắn của bảy mô hình trên rổ CS và rổ H, rồi tính khoảng cách G</w:t>
      </w:r>
      <w:r>
        <w:rPr>
          <w:vertAlign w:val="subscript"/>
        </w:rPr>
        <w:t xml:space="preserve">m,t</w:t>
      </w:r>
      <w:r>
        <w:t xml:space="preserve">.</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pPr>
        <w:pStyle w:val="FirstParagraph"/>
      </w:pPr>
      <w:r>
        <w:t xml:space="preserve">Đề tài ước lượng tác động của việc chuyển sàn bằng khác biệt kép trên dữ liệu bảng cổ phiếu-tháng (H</w:t>
      </w:r>
      <w:r>
        <w:rPr>
          <w:vertAlign w:val="subscript"/>
        </w:rPr>
        <w:t xml:space="preserve">3</w:t>
      </w:r>
      <w:r>
        <w:t xml:space="preserve">). Với cổ phiếu i và tháng t, phương trình khác biệt kép là:</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Post</m:t>
            </m:r>
          </m:e>
          <m:sub>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(5)</w:t>
      </w:r>
    </w:p>
    <w:p>
      <w:pPr>
        <w:pStyle w:val="FirstParagraph"/>
      </w:pPr>
      <w:r>
        <w:t xml:space="preserve">trong đó </w:t>
      </w:r>
      <w:r>
        <w:rPr>
          <w:i/>
          <w:iCs/>
        </w:rPr>
        <w:t xml:space="preserve">A</w:t>
      </w:r>
      <w:r>
        <w:rPr>
          <w:vertAlign w:val="subscript"/>
        </w:rPr>
        <w:t xml:space="preserve">i,t</w:t>
      </w:r>
      <w:r>
        <w:t xml:space="preserve"> là logarit của độ phi thanh khoản Amihud tính trên các ngày không chạm biên độ; </w:t>
      </w:r>
      <w:r>
        <w:rPr>
          <w:i/>
          <w:iCs/>
        </w:rPr>
        <w:t xml:space="preserve">D</w:t>
      </w:r>
      <w:r>
        <w:rPr>
          <w:vertAlign w:val="subscript"/>
        </w:rPr>
        <w:t xml:space="preserve">i</w:t>
      </w:r>
      <w:r>
        <w:t xml:space="preserve"> bằng 1 nếu cổ phiếu chuyển sàn; </w:t>
      </w:r>
      <w:r>
        <w:rPr>
          <w:i/>
          <w:iCs/>
        </w:rPr>
        <w:t xml:space="preserve">Post</w:t>
      </w:r>
      <w:r>
        <w:rPr>
          <w:vertAlign w:val="subscript"/>
        </w:rPr>
        <w:t xml:space="preserve">t</w:t>
      </w:r>
      <w:r>
        <w:t xml:space="preserve"> bằng 1 từ tháng 1/2027; </w:t>
      </w:r>
      <w:r>
        <w:rPr>
          <w:i/>
          <w:iCs/>
        </w:rPr>
        <w:t xml:space="preserve">α</w:t>
      </w:r>
      <w:r>
        <w:rPr>
          <w:vertAlign w:val="subscript"/>
        </w:rPr>
        <w:t xml:space="preserve">i</w:t>
      </w:r>
      <w:r>
        <w:t xml:space="preserve"> và </w:t>
      </w:r>
      <w:r>
        <w:rPr>
          <w:i/>
          <w:iCs/>
        </w:rPr>
        <w:t xml:space="preserve">τ</w:t>
      </w:r>
      <w:r>
        <w:rPr>
          <w:vertAlign w:val="subscript"/>
        </w:rPr>
        <w:t xml:space="preserve">t</w:t>
      </w:r>
      <w:r>
        <w:t xml:space="preserve"> là hiệu ứng cố định theo cổ phiếu và theo tháng. Nhóm đối chứng chính gồm cổ phiếu HOSE ghép láng giềng gần nhất theo vốn hóa, ngành và độ phi thanh khoản tại ngày 30/6/2025, có hoàn lại, trong vùng hỗ trợ chung; nhóm đối chứng phụ gồm cổ phiếu UPCoM trong thời gian còn do HNX vận hành. Vì mọi cổ phiếu chuyển sàn cùng một ngày, suy luận chính dựa trên chuỗi chênh lệch theo tháng giữa nhóm xử lý và nhóm đối chứng: đề tài dùng sai số chuẩn chịu được tự tương quan trên chuỗi này và suy luận hoán vị trên các ngày giả định trong giai đoạn tham chiếu (Conley &amp; Taber, 2011). Sai số chuẩn phân cụm theo cổ phiếu và theo tháng chỉ được báo cáo để so sánh. H</w:t>
      </w:r>
      <w:r>
        <w:rPr>
          <w:vertAlign w:val="subscript"/>
        </w:rPr>
        <w:t xml:space="preserve">3</w:t>
      </w:r>
      <w:r>
        <w:t xml:space="preserve"> được ủng hộ khi </w:t>
      </w:r>
      <w:r>
        <w:rPr>
          <w:i/>
          <w:iCs/>
        </w:rPr>
        <w:t xml:space="preserve">δ</w:t>
      </w:r>
      <w:r>
        <w:t xml:space="preserve"> âm và giá trị p hoán vị nhỏ hơn ngưỡng Holm tương ứng. Phiên bản nghiên cứu sự kiện kiểm tra xu hướng song song và phản ứng trong giai đoạn chuyển tiếp:</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nary>
          <m:naryPr>
            <m:chr m:val="∑"/>
            <m:limLoc m:val="undOvr"/>
            <m:supHide m:val="1"/>
            <m:ctrlPr>
              <w:rPr>
                <w:rFonts w:ascii="Cambria Math" w:hAnsi="Cambria Math"/>
              </w:rPr>
            </m:ctrlPr>
          </m:naryPr>
          <m:sub>
            <m:r>
              <w:rPr>
                <w:rFonts w:ascii="Cambria Math" w:hAnsi="Cambria Math"/>
              </w:rPr>
              <m:t xml:space="preserve">k</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k</m:t>
                </m:r>
              </m:e>
              <m:sub>
                <m:r>
                  <m:rPr>
                    <m:sty m:val="p"/>
                  </m:rPr>
                  <w:rPr>
                    <w:rFonts w:ascii="Cambria Math" w:hAnsi="Cambria Math"/>
                  </w:rPr>
                  <m:t xml:space="preserve">0</m:t>
                </m:r>
              </m:sub>
            </m:sSub>
          </m:sub>
          <m:sup/>
          <m:e>
            <m:sSub>
              <m:sSubPr>
                <m:ctrlPr>
                  <w:rPr>
                    <w:rFonts w:ascii="Cambria Math" w:hAnsi="Cambria Math"/>
                  </w:rPr>
                </m:ctrlPr>
              </m:sSubPr>
              <m:e>
                <m:r>
                  <w:rPr>
                    <w:rFonts w:ascii="Cambria Math" w:hAnsi="Cambria Math"/>
                  </w:rPr>
                  <m:t xml:space="preserve">δ</m:t>
                </m:r>
              </m:e>
              <m:sub>
                <m:r>
                  <w:rPr>
                    <w:rFonts w:ascii="Cambria Math" w:hAnsi="Cambria Math"/>
                  </w:rPr>
                  <m:t xml:space="preserve">k</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e>
        </m:nary>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(6)</w:t>
      </w:r>
    </w:p>
    <w:p>
      <w:pPr>
        <w:pStyle w:val="FirstParagraph"/>
      </w:pPr>
      <w:r>
        <w:t xml:space="preserve">trong đó k chạy từ tháng 1/2024 đến tháng 12/2028, </w:t>
      </w:r>
      <w:r>
        <w:rPr>
          <w:i/>
          <w:iCs/>
        </w:rPr>
        <w:t xml:space="preserve">k</w:t>
      </w:r>
      <w:r>
        <w:rPr>
          <w:vertAlign w:val="subscript"/>
        </w:rPr>
        <w:t xml:space="preserve">0</w:t>
      </w:r>
      <w:r>
        <w:t xml:space="preserve"> là tháng 6/2025, tức tháng gốc, và 1[t = k] bằng 1 nếu tháng t là tháng k. Các hệ số </w:t>
      </w:r>
      <w:r>
        <w:rPr>
          <w:i/>
          <w:iCs/>
        </w:rPr>
        <w:t xml:space="preserve">δ</w:t>
      </w:r>
      <w:r>
        <w:rPr>
          <w:vertAlign w:val="subscript"/>
        </w:rPr>
        <w:t xml:space="preserve">k</w:t>
      </w:r>
      <w:r>
        <w:t xml:space="preserve"> trong giai đoạn chuyển tiếp cho biết phản ứng trước sự kiện. Đề tài báo cáo độ nhạy của kết luận khi xu hướng song song bị vi phạm ở mức tương đương độ lệch lớn nhất trước sự kiện (Rambachan &amp; Roth, 2023). H</w:t>
      </w:r>
      <w:r>
        <w:rPr>
          <w:vertAlign w:val="subscript"/>
        </w:rPr>
        <w:t xml:space="preserve">4</w:t>
      </w:r>
      <w:r>
        <w:t xml:space="preserve"> được báo cáo bằng chênh lệch của chỉ số khả năng đầu tư bình quân giữa giai đoạn sau sự kiện và giai đoạn tham chiếu, kèm khoảng tin cậy bootstrap khối dừng trên chuỗi lợi suất tuần của hai rổ lấy mẫu đồng thời, và số mô hình có cùng dấu. Chênh lệch tỷ số Sharpe, một thước đo phụ, được kiểm định theo Ledoit và Wolf (2008).</w:t>
      </w:r>
    </w:p>
    <w:p>
      <w:pPr>
        <w:pStyle w:val="FirstParagraph"/>
      </w:pPr>
      <w:r>
        <w:t xml:space="preserve">Đề tài kiểm định H</w:t>
      </w:r>
      <w:r>
        <w:rPr>
          <w:vertAlign w:val="subscript"/>
        </w:rPr>
        <w:t xml:space="preserve">1</w:t>
      </w:r>
      <w:r>
        <w:t xml:space="preserve"> trên dữ liệu bảng của các trung tâm tài chính, theo cách tiếp cận của Naeem (2023). Với trung tâm i và kỳ công bố t, phương trình ước lượng là:</w:t>
      </w:r>
    </w:p>
    <w:p>
      <w:pPr>
        <w:pStyle w:val="Equation"/>
      </w:pPr>
      <w:r>
        <w:tab/>
      </w:r>
      <m:oMath>
        <m:sSub>
          <m:sSubPr>
            <m:ctrlPr>
              <w:rPr>
                <w:rFonts w:ascii="Cambria Math" w:hAnsi="Cambria Math"/>
              </w:rPr>
            </m:ctrlPr>
          </m:sSubPr>
          <m:e>
            <m:r>
              <w:rPr>
                <w:rFonts w:ascii="Cambria Math" w:hAnsi="Cambria Math"/>
              </w:rPr>
              <m:t xml:space="preserve">Z</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γ</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θ</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SMD</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p>
          <m:sSupPr>
            <m:ctrlPr>
              <w:rPr>
                <w:rFonts w:ascii="Cambria Math" w:hAnsi="Cambria Math"/>
              </w:rPr>
            </m:ctrlPr>
          </m:sSupPr>
          <m:e>
            <m:r>
              <w:rPr>
                <w:rFonts w:ascii="Cambria Math" w:hAnsi="Cambria Math"/>
              </w:rPr>
              <m:t xml:space="preserve">λ</m:t>
            </m:r>
          </m:e>
          <m:sup>
            <m:r>
              <m:rPr>
                <m:sty m:val="p"/>
              </m:rPr>
              <w:rPr>
                <w:rFonts w:ascii="Cambria Math" w:hAnsi="Cambria Math"/>
              </w:rPr>
              <m:t xml:space="preserve">′</m:t>
            </m:r>
          </m:sup>
        </m:sSup>
        <m:sSub>
          <m:sSubPr>
            <m:ctrlPr>
              <w:rPr>
                <w:rFonts w:ascii="Cambria Math" w:hAnsi="Cambria Math"/>
              </w:rPr>
            </m:ctrlPr>
          </m:sSubPr>
          <m:e>
            <m:r>
              <w:rPr>
                <w:rFonts w:ascii="Cambria Math" w:hAnsi="Cambria Math"/>
              </w:rPr>
              <m:t xml:space="preserve">W</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(7)</w:t>
      </w:r>
    </w:p>
    <w:p>
      <w:pPr>
        <w:pStyle w:val="FirstParagraph"/>
      </w:pPr>
      <w:r>
        <w:t xml:space="preserve">trong đó </w:t>
      </w:r>
      <w:r>
        <w:rPr>
          <w:i/>
          <w:iCs/>
        </w:rPr>
        <w:t xml:space="preserve">Z</w:t>
      </w:r>
      <w:r>
        <w:rPr>
          <w:vertAlign w:val="subscript"/>
        </w:rPr>
        <w:t xml:space="preserve">i,t</w:t>
      </w:r>
      <w:r>
        <w:t xml:space="preserve"> là điểm GFCI chuẩn hóa thành điểm z trong từng kỳ. Đề tài chuẩn hóa vì điểm GFCI được ước lượng lại mỗi kỳ và số trung tâm thay đổi giữa các kỳ. </w:t>
      </w:r>
      <w:r>
        <w:rPr>
          <w:i/>
          <w:iCs/>
        </w:rPr>
        <w:t xml:space="preserve">SMD</w:t>
      </w:r>
      <w:r>
        <w:rPr>
          <w:vertAlign w:val="subscript"/>
        </w:rPr>
        <w:t xml:space="preserve">c(i),y(t)−1</w:t>
      </w:r>
      <w:r>
        <w:t xml:space="preserve"> là chỉ báo phát triển thị trường cổ phiếu của quốc gia c(i) chứa trung tâm i trong năm liền trước năm y(t) của kỳ t, gộp từ tỷ lệ vòng quay và vốn hóa trên GDP (Čihák và cộng sự, 2012); </w:t>
      </w:r>
      <w:r>
        <w:rPr>
          <w:i/>
          <w:iCs/>
        </w:rPr>
        <w:t xml:space="preserve">W</w:t>
      </w:r>
      <w:r>
        <w:rPr>
          <w:vertAlign w:val="subscript"/>
        </w:rPr>
        <w:t xml:space="preserve">c(i),y(t)−1</w:t>
      </w:r>
      <w:r>
        <w:t xml:space="preserve"> là véc-tơ gồm thu nhập bình quân đầu người và chỉ số quản trị nhà nước (Kaufmann và cộng sự, 2011); </w:t>
      </w:r>
      <w:r>
        <w:rPr>
          <w:i/>
          <w:iCs/>
        </w:rPr>
        <w:t xml:space="preserve">γ</w:t>
      </w:r>
      <w:r>
        <w:rPr>
          <w:vertAlign w:val="subscript"/>
        </w:rPr>
        <w:t xml:space="preserve">i</w:t>
      </w:r>
      <w:r>
        <w:t xml:space="preserve"> và </w:t>
      </w:r>
      <w:r>
        <w:rPr>
          <w:i/>
          <w:iCs/>
        </w:rPr>
        <w:t xml:space="preserve">θ</w:t>
      </w:r>
      <w:r>
        <w:rPr>
          <w:vertAlign w:val="subscript"/>
        </w:rPr>
        <w:t xml:space="preserve">t</w:t>
      </w:r>
      <w:r>
        <w:t xml:space="preserve"> là hiệu ứng cố định theo trung tâm và theo kỳ. Nếu Cơ sở dữ liệu Phát triển Tài chính Toàn cầu không phủ các năm sau 2021, đề tài dùng số liệu của Liên đoàn các Sở Giao dịch Thế giới [CẦN XÁC MINH]. Sai số chuẩn được phân cụm theo quốc gia. Vì </w:t>
      </w:r>
      <w:r>
        <w:rPr>
          <w:i/>
          <w:iCs/>
        </w:rPr>
        <w:t xml:space="preserve">SMD</w:t>
      </w:r>
      <w:r>
        <w:t xml:space="preserve"> thay đổi chậm, </w:t>
      </w:r>
      <w:r>
        <w:rPr>
          <w:i/>
          <w:iCs/>
        </w:rPr>
        <w:t xml:space="preserve">β</w:t>
      </w:r>
      <w:r>
        <w:t xml:space="preserve"> chủ yếu được xác định từ biến thiên theo thời gian trong từng quốc gia; đề tài báo cáo thêm ước lượng không có hiệu ứng cố định theo trung tâm. </w:t>
      </w:r>
      <w:r>
        <w:rPr>
          <w:i/>
          <w:iCs/>
        </w:rPr>
        <w:t xml:space="preserve">SMD</w:t>
      </w:r>
      <w:r>
        <w:t xml:space="preserve"> khác với MQI ở phương trình (1) và không được quy đổi sang chỉ số đó. Vì điểm GFCI gộp kết quả khảo sát và có thể dùng chính các chỉ báo thị trường làm nhân tố đầu vào, và vì trung tâm mạnh có thể kéo theo giao dịch cổ phiếu, đề tài gọi </w:t>
      </w:r>
      <w:r>
        <w:rPr>
          <w:i/>
          <w:iCs/>
        </w:rPr>
        <w:t xml:space="preserve">β</w:t>
      </w:r>
      <w:r>
        <w:t xml:space="preserve"> là liên hệ có điều kiện. H</w:t>
      </w:r>
      <w:r>
        <w:rPr>
          <w:vertAlign w:val="subscript"/>
        </w:rPr>
        <w:t xml:space="preserve">1</w:t>
      </w:r>
      <w:r>
        <w:t xml:space="preserve"> được ủng hộ khi </w:t>
      </w:r>
      <w:r>
        <w:rPr>
          <w:i/>
          <w:iCs/>
        </w:rPr>
        <w:t xml:space="preserve">β</w:t>
      </w:r>
      <w:r>
        <w:t xml:space="preserve"> dương với giá trị p nhỏ hơn ngưỡng Holm tương ứng.</w:t>
      </w:r>
    </w:p>
    <w:p w14:paraId="082A0713" w14:textId="77777777" w:rsidR="005D3DB2" w:rsidRDefault="00000000">
      <w:pPr>
        <w:pStyle w:val="Heading3"/>
      </w:pPr>
      <w:bookmarkStart w:id="27" w:name="_Toc242353138"/>
      <w:bookmarkStart w:id="28" w:name="cơ-chế-giảm-thiểu"/>
      <w:bookmarkEnd w:id="26"/>
      <w:r>
        <w:t xml:space="preserve">4.3.8. </w:t>
      </w:r>
      <w:r>
        <w:t xml:space="preserve">Thiết kế khác biệt kép quanh ngày chuyển sàn</w:t>
      </w:r>
      <w:bookmarkEnd w:id="27"/>
    </w:p>
    <w:p w14:paraId="4F5E2790" w14:textId="77777777" w:rsidR="005D3DB2" w:rsidRDefault="00000000">
      <w:pPr>
        <w:pStyle w:val="FirstParagraph"/>
      </w:pPr>
      <w:r>
        <w:t xml:space="preserve">Đề tài kiểm tra ba giả định của thiết kế khác biệt kép. Thứ nhất, xu hướng song song, kiểm tra bằng các hệ số trước sự kiện của phương trình (6). Thứ hai, nhóm đối chứng không chịu tác động của sự kiện. Ba thay đổi trùng thời gian tác động lên nhóm đối chứng HOSE: FTSE Russell đưa cổ phiếu Việt Nam vào chỉ số theo bốn đợt từ tháng 9/2026 đến tháng 9/2027; HOSE phân loại cổ phiếu vào Bảng Chính và Bảng Tiêu chuẩn từ ngày 28/12/2026; và HOSE tiếp nhận khoảng 300 mã, đồng thời các mã này được đưa vào VN-Index sau ngày giao dịch đầu tiên theo quy tắc chỉ số của HOSE (Sở Giao dịch Chứng khoán Thành phố Hồ Chí Minh, 2026) [CẦN XÁC MINH các mốc FTSE và phân bảng]. Vì vậy nhóm đối chứng HOSE loại các mã thuộc danh sách dự kiến của FTSE Russell, </w:t>
      </w:r>
      <w:r>
        <w:rPr>
          <w:i/>
          <w:iCs/>
        </w:rPr>
        <w:t xml:space="preserve">δ</w:t>
      </w:r>
      <w:r>
        <w:t xml:space="preserve"> được ước lượng thêm với biến chỉ nhóm bảng phân loại, và đề tài báo cáo riêng thay đổi thanh khoản của từng nhóm đối chứng so với xu hướng trước của chính nhóm đó. Nếu nhóm đối chứng HOSE mất thanh khoản do dòng lệnh chuyển sang cổ phiếu chuyển sàn, </w:t>
      </w:r>
      <w:r>
        <w:rPr>
          <w:i/>
          <w:iCs/>
        </w:rPr>
        <w:t xml:space="preserve">δ</w:t>
      </w:r>
      <w:r>
        <w:t xml:space="preserve"> phóng đại tác động, nên ước lượng với nhóm đối chứng UPCoM được trình bày như một cận khác. Thứ ba, việc rời mẫu không liên quan đến sự kiện: đề tài báo cáo tỷ lệ mã hủy niêm yết sau sự kiện ở từng nhóm và ước lượng lại trên bảng cân bằng. Việc chuyển sàn đổi cùng lúc biên độ dao động giá, hệ thống giao dịch và tư cách thành phần chỉ số, nên </w:t>
      </w:r>
      <w:r>
        <w:rPr>
          <w:i/>
          <w:iCs/>
        </w:rPr>
        <w:t xml:space="preserve">δ</w:t>
      </w:r>
      <w:r>
        <w:t xml:space="preserve"> đo tác động gộp của sàn, không đo riêng từng quy tắc.</w:t>
      </w:r>
    </w:p>
    <w:p w14:paraId="6A2099F9" w14:textId="77777777" w:rsidR="005D3DB2" w:rsidRDefault="00000000">
      <w:pPr>
        <w:pStyle w:val="BodyText"/>
      </w:pPr>
      <w:r>
        <w:t xml:space="preserve">Từ bằng chứng đến định hướng cho Hà Nội. Sau hợp nhất, HNX tổ chức thị trường trái phiếu và chứng khoán phái sinh (Bộ Tài chính, 2023). Kết quả H</w:t>
      </w:r>
      <w:r>
        <w:rPr>
          <w:vertAlign w:val="subscript"/>
        </w:rPr>
        <w:t xml:space="preserve">2</w:t>
      </w:r>
      <w:r>
        <w:t xml:space="preserve">–H</w:t>
      </w:r>
      <w:r>
        <w:rPr>
          <w:vertAlign w:val="subscript"/>
        </w:rPr>
        <w:t xml:space="preserve">4</w:t>
      </w:r>
      <w:r>
        <w:t xml:space="preserve"> cho biết sàn giao dịch liên hệ thế nào với thanh khoản và khả năng đầu tư; kết quả H</w:t>
      </w:r>
      <w:r>
        <w:rPr>
          <w:vertAlign w:val="subscript"/>
        </w:rPr>
        <w:t xml:space="preserve">1</w:t>
      </w:r>
      <w:r>
        <w:t xml:space="preserve"> cho biết mức phát triển thị trường cổ phiếu liên hệ thế nào với vị thế trung tâm. Đề tài so sánh vai trò của Hà Nội với Bắc Kinh và Thượng Hải (Lai, 2012; Wang và cộng sự, 2007) và với Thành phố Hồ Chí Minh bằng văn bản chính sách và dữ liệu công khai, rồi đề xuất định hướng chuyên môn hóa cho các thị trường mà HNX tiếp tục vận hành. Phần này là tổng hợp định tính, không kiểm định giả thuyết. Nếu được các tổ chức đồng ý, thí sinh lấy ý kiến chuyên gia không chính thức [CẦN XÁC NHẬN với người hướng dẫn].</w:t>
      </w:r>
    </w:p>
    <w:p>
      <w:pPr>
        <w:pStyle w:val="BodyText"/>
      </w:pPr>
      <w:r>
        <w:t xml:space="preserve">Hai chỉ số được đóng gói thành mã nguồn mở, có tài liệu hướng dẫn. Chỉ số chất lượng thị trường vốn được cập nhật theo tháng cho UPCoM và HOSE khi có dữ liệu mới. Phần công khai gồm mã nguồn, chỉ số đã tính và tệp đăng ký trước; dữ liệu gốc từ nhà cung cấp thương mại được chia sẻ tùy điều khoản giấy phép.</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 xml:space="preserve">Hình 3 tóm tắt năm bước của quy trình: thu thập dữ liệu quốc tế và dữ liệu ba sàn; xây dựng Chỉ số chất lượng thị trường vốn và kiểm định H</w:t>
      </w:r>
      <w:r>
        <w:rPr>
          <w:vertAlign w:val="subscript"/>
        </w:rPr>
        <w:t xml:space="preserve">2</w:t>
      </w:r>
      <w:r>
        <w:t xml:space="preserve">; kiểm định H</w:t>
      </w:r>
      <w:r>
        <w:rPr>
          <w:vertAlign w:val="subscript"/>
        </w:rPr>
        <w:t xml:space="preserve">1</w:t>
      </w:r>
      <w:r>
        <w:t xml:space="preserve"> trên dữ liệu bảng quốc tế; ước lượng tác động của sự kiện chuyển sàn lên thanh khoản (H</w:t>
      </w:r>
      <w:r>
        <w:rPr>
          <w:vertAlign w:val="subscript"/>
        </w:rPr>
        <w:t xml:space="preserve">3</w:t>
      </w:r>
      <w:r>
        <w:t xml:space="preserve">) và khả năng đầu tư (H</w:t>
      </w:r>
      <w:r>
        <w:rPr>
          <w:vertAlign w:val="subscript"/>
        </w:rPr>
        <w:t xml:space="preserve">4</w:t>
      </w:r>
      <w:r>
        <w:t xml:space="preserve">); tổng hợp định hướng chuyên môn hóa cho thị trường vốn Hà Nội. Thí sinh đăng ký trước kế hoạch phân tích trước ngày 28/12/2026.</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Công suất của H</w:t>
      </w:r>
      <w:r>
        <w:rPr>
          <w:vertAlign w:val="subscript"/>
        </w:rPr>
        <w:t xml:space="preserve">3</w:t>
      </w:r>
      <w:r>
        <w:t xml:space="preserve"> phụ thuộc vào số tháng trước và sau sự kiện và vào độ lớn của cú sốc chung theo tháng, không phụ thuộc vào số cổ phiếu, vì mọi cổ phiếu chuyển sàn cùng một ngày. Thí sinh tính hiệu ứng nhỏ nhất phát hiện được trên chuỗi chênh lệch của giai đoạn 2009–2025 và ghi vào tệp đăng ký. H</w:t>
      </w:r>
      <w:r>
        <w:rPr>
          <w:vertAlign w:val="subscript"/>
        </w:rPr>
        <w:t xml:space="preserve">4</w:t>
      </w:r>
      <w:r>
        <w:t xml:space="preserve"> có ít cửa sổ nên chỉ được báo cáo ở dạng ước lượng. Các so sánh theo giai đoạn căng thẳng dựa trên hai đợt nên chỉ được báo cáo theo từng đợt ở dạng mô tả. Giá trị p đưa vào thủ tục Holm (1979) ở mức 5% là giá trị p phân cụm theo quốc gia cho H</w:t>
      </w:r>
      <w:r>
        <w:rPr>
          <w:vertAlign w:val="subscript"/>
        </w:rPr>
        <w:t xml:space="preserve">1</w:t>
      </w:r>
      <w:r>
        <w:t xml:space="preserve">, giá trị p bootstrap khối cho H</w:t>
      </w:r>
      <w:r>
        <w:rPr>
          <w:vertAlign w:val="subscript"/>
        </w:rPr>
        <w:t xml:space="preserve">2</w:t>
      </w:r>
      <w:r>
        <w:t xml:space="preserve"> và giá trị p hoán vị cho H</w:t>
      </w:r>
      <w:r>
        <w:rPr>
          <w:vertAlign w:val="subscript"/>
        </w:rPr>
        <w:t xml:space="preserve">3</w:t>
      </w:r>
      <w:r>
        <w:t xml:space="preserve">. Ở H</w:t>
      </w:r>
      <w:r>
        <w:rPr>
          <w:vertAlign w:val="subscript"/>
        </w:rPr>
        <w:t xml:space="preserve">1</w:t>
      </w:r>
      <w:r>
        <w:t xml:space="preserve">, đề tài kiểm tra độ bền trên mẫu các trung tâm có ít nhất năm kỳ, và báo cáo thêm ước lượng khi loại các nhân tố thị trường cổ phiếu khỏi đầu vào của GFCI nếu danh sách nhân tố cho phép. Nếu dữ liệu không ủng hộ giả thuyết, đề tài vẫn trả lời được câu hỏi nghiên cứu bằng kích thước hiệu ứng và khoảng tin cậy.</w:t>
      </w:r>
    </w:p>
    <w:p w14:paraId="37F1B519" w14:textId="77777777" w:rsidR="005D3DB2" w:rsidRDefault="00000000">
      <w:pPr>
        <w:pStyle w:val="BodyText"/>
      </w:pPr>
      <w:r>
        <w:t xml:space="preserve">Kế hoạch có bốn phương án dự phòng. Nếu không số hóa được điểm GFCI theo kỳ, câu hỏi 1 được trả lời ở dạng mô tả và H</w:t>
      </w:r>
      <w:r>
        <w:rPr>
          <w:vertAlign w:val="subscript"/>
        </w:rPr>
        <w:t xml:space="preserve">1</w:t>
      </w:r>
      <w:r>
        <w:t xml:space="preserve"> không được kiểm định. Nếu việc chuyển sàn bị lùi hoặc thực hiện theo nhiều đợt, đề tài dùng ngày thực tế của từng nhóm và bộ ước lượng khác biệt kép cho xử lý so le (Callaway &amp; Sant’Anna, 2021); nếu sự kiện không diễn ra, câu hỏi 3 dùng các mã đã tự chuyển từ HNX sang HOSE trước năm 2026. Nếu cả hai nhóm đối chứng không đạt kiểm tra xu hướng song song, đề tài dùng nhóm đối chứng tổng hợp từ các mã HOSE ngoài danh sách FTSE Russell và mã UPCoM. Nếu dữ liệu sau sự kiện ngắn hơn 24 tháng hoặc rổ chuyển sàn có ít hơn 30 cổ phiếu đủ thanh khoản, đề tài dùng toàn bộ tháng có sẵn và rổ 20 cổ phiếu. Các mã đã tự chuyển sàn trước năm 2026 còn được dùng làm phân tích phụ để tách tác động của biên độ giá. Thí sinh công khai mã nguồn và tệp đăng ký trước trên một kho lưu trữ mở, chậm nhất khi nộp luận án.</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t xml:space="preserve">Đối tượng nghiên cứu là tác động của sàn giao dịch lên chất lượng thị trường và khả năng đầu tư, quan sát qua đợt hợp nhất cổ phiếu niêm yết của HNX vào HOSE, đặt trong khung năng lực cạnh tranh của trung tâm tài chính.</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các trung tâm tài chính có điểm GFCI là mẫu của câu hỏi 1; sàn niêm yết HNX, UPCoM và HOSE là mẫu của câu hỏi 2; các cổ phiếu chuyển từ HNX sang HOSE ngày 28/12/2026 và các nhóm đối chứng là mẫu của câu hỏi 3.</w:t>
      </w:r>
    </w:p>
    <w:p w14:paraId="4992E0B9" w14:textId="77777777" w:rsidR="005D3DB2" w:rsidRDefault="00000000">
      <w:pPr>
        <w:pStyle w:val="BodyText"/>
      </w:pPr>
      <w:r>
        <w:t xml:space="preserve">+ Phạm vi thời gian: dữ liệu thị trường từ tháng 6/2009 đến hết 24 tháng sau sự kiện; dữ liệu GFCI từ kỳ 1 đến kỳ mới nhất tại thời điểm phân tích.</w:t>
      </w:r>
    </w:p>
    <w:p w14:paraId="22C3E4D0" w14:textId="77777777" w:rsidR="005D3DB2" w:rsidRDefault="00000000">
      <w:pPr>
        <w:pStyle w:val="BodyText"/>
      </w:pPr>
      <w:r>
        <w:t xml:space="preserve">+ Phạm vi nội dung: danh mục chỉ mua (không bán khống) là cấu hình cơ sở của bảy mô hình phân bổ. Phân tích định lượng không xét thị trường trái phiếu và phái sinh; hai thị trường này chỉ được xét trong phần định hướng chuyên môn hóa. Đề tài không đánh giá chính sách nào khác ngoài đợt chuyển sàn, không khảo sát nhà đầu tư và không vận hành dịch vụ thương mại.</w:t>
      </w:r>
    </w:p>
    <w:p w14:paraId="502DBD9A" w14:textId="77777777" w:rsidR="005D3DB2" w:rsidRDefault="00000000">
      <w:pPr>
        <w:pStyle w:val="BodyText"/>
      </w:pPr>
      <w:r>
        <w:t xml:space="preserve">+ Giới hạn khác: kết luận về H</w:t>
      </w:r>
      <w:r>
        <w:rPr>
          <w:vertAlign w:val="subscript"/>
        </w:rPr>
        <w:t xml:space="preserve">1</w:t>
      </w:r>
      <w:r>
        <w:t xml:space="preserve"> là liên hệ có điều kiện; kết luận về H</w:t>
      </w:r>
      <w:r>
        <w:rPr>
          <w:vertAlign w:val="subscript"/>
        </w:rPr>
        <w:t xml:space="preserve">3</w:t>
      </w:r>
      <w:r>
        <w:t xml:space="preserve"> là tác động gộp của sàn trong điều kiện các giả định ở mục 4.3.8 được thỏa mãn, và chỉ áp dụng cho một sự kiện; kết luận về H</w:t>
      </w:r>
      <w:r>
        <w:rPr>
          <w:vertAlign w:val="subscript"/>
        </w:rPr>
        <w:t xml:space="preserve">4</w:t>
      </w:r>
      <w:r>
        <w:t xml:space="preserve"> là ước lượng và chỉ áp dụng cho rổ 30 cổ phiếu chuyển sàn có thanh khoản cao nhất; định hướng chuyên môn hóa là tổng hợp có căn cứ.</w:t>
      </w:r>
    </w:p>
    <w:p>
      <w:pPr>
        <w:pStyle w:val="BodyText"/>
      </w:pPr>
      <w:r>
        <w:t xml:space="preserve">Đề tài không giải quyết trọn bài toán số 19; câu hỏi về công nghệ tài chính và nền tảng số nằm ngoài phạm vi. Người dùng dự kiến của kết quả gồm Ủy ban nhân dân thành phố Hà Nội, Ủy ban Chứng khoán Nhà nước, HNX, HOSE và các tổ chức đầu tư [CẦN XÁC MINH].</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 xml:space="preserve">Ngoài phần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t xml:space="preserve">Bảng </w:t>
      </w:r>
      <w:fldSimple w:instr=" SEQ Bảng \* ARABIC ">
        <w:r>
          <w:rPr>
            <w:noProof/>
          </w:rPr>
          <w:t>4</w:t>
        </w:r>
      </w:fldSimple>
      <w:r>
        <w:t>. Dự kiến bố cục các chương và tiểu mục của luận án</w:t>
      </w:r>
      <w:bookmarkEnd w:id="38"/>
    </w:p>
    <w:tbl>
      <w:tblPr>
        <w:tblStyle w:val="Table"/>
        <w:tblW w:w="5000" w:type="pct"/>
        <w:tblLook w:val="0020" w:firstRow="1" w:lastRow="0" w:firstColumn="0" w:lastColumn="0" w:noHBand="0" w:noVBand="0"/>
      </w:tblPr>
      <w:tblGrid>
        <w:gridCol w:w="993"/>
        <w:gridCol w:w="1530"/>
        <w:gridCol w:w="6255"/>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8617A13" w14:textId="77777777" w:rsidR="005D3DB2" w:rsidRDefault="00000000">
            <w:pPr>
              <w:pStyle w:val="Compact"/>
            </w:pPr>
            <w:r>
              <w:t>Chương</w:t>
            </w:r>
          </w:p>
        </w:tc>
        <w:tc>
          <w:tcPr>
            <w:tcW w:w="0" w:type="auto"/>
          </w:tcPr>
          <w:p w14:paraId="7E951140" w14:textId="77777777" w:rsidR="005D3DB2" w:rsidRDefault="00000000">
            <w:pPr>
              <w:pStyle w:val="Compact"/>
            </w:pPr>
            <w:r>
              <w:t>Tên chương</w:t>
            </w:r>
          </w:p>
        </w:tc>
        <w:tc>
          <w:tcPr>
            <w:tcW w:w="0" w:type="auto"/>
          </w:tcPr>
          <w:p w14:paraId="37C3C919" w14:textId="77777777" w:rsidR="005D3DB2" w:rsidRDefault="00000000">
            <w:pPr>
              <w:pStyle w:val="Compact"/>
            </w:pPr>
            <w:r>
              <w:t>Các tiểu mục chính (đến ba chữ số)</w:t>
            </w:r>
          </w:p>
        </w:tc>
      </w:tr>
      <w:tr w:rsidR="005D3DB2" w14:paraId="4C1B0FF7" w14:textId="77777777">
        <w:trPr>
          <w:cantSplit/>
        </w:trPr>
        <w:tc>
          <w:tcPr>
            <w:tcW w:w="0" w:type="auto"/>
          </w:tcPr>
          <w:p w14:paraId="322FF50B" w14:textId="77777777" w:rsidR="005D3DB2" w:rsidRDefault="00000000">
            <w:pPr>
              <w:pStyle w:val="Compact"/>
            </w:pPr>
            <w:r>
              <w:t>Chương 1</w:t>
            </w:r>
          </w:p>
        </w:tc>
        <w:tc>
          <w:tcPr>
            <w:tcW w:w="0" w:type="auto"/>
          </w:tcPr>
          <w:p w14:paraId="74D88853" w14:textId="77777777" w:rsidR="005D3DB2" w:rsidRDefault="00000000">
            <w:pPr>
              <w:pStyle w:val="Compact"/>
            </w:pPr>
            <w:r>
              <w:t>Giới thiệu nghiên cứu</w:t>
            </w:r>
          </w:p>
        </w:tc>
        <w:tc>
          <w:tcPr>
            <w:tcW w:w="0" w:type="auto"/>
          </w:tcPr>
          <w:p w14:paraId="31F2D67C" w14:textId="77777777" w:rsidR="005D3DB2" w:rsidRDefault="00000000">
            <w:pPr>
              <w:pStyle w:val="Compact"/>
            </w:pPr>
            <w:r>
              <w:t xml:space="preserve">1.1 Bối cảnh: Hà Nội, bài toán số 19 và đợt hợp nhất sàn năm 2026; 1.1.1 Trung tâm tài chính quốc tế của Việt Nam; 1.1.2 Lộ trình chuyển cổ phiếu niêm yết từ HNX sang HOSE; 1.2 Vấn đề nghiên cứu; 1.3 Mục tiêu và câu hỏi nghiên cứu; 1.4 Đối tượng và phạm vi; 1.5 Đóng góp dự kiến; 1.6 Kết cấu luận án</w:t>
            </w:r>
          </w:p>
        </w:tc>
      </w:tr>
      <w:tr w:rsidR="005D3DB2" w14:paraId="08EE8C98" w14:textId="77777777">
        <w:trPr>
          <w:cantSplit/>
        </w:trPr>
        <w:tc>
          <w:tcPr>
            <w:tcW w:w="0" w:type="auto"/>
          </w:tcPr>
          <w:p w14:paraId="4540440E" w14:textId="77777777" w:rsidR="005D3DB2" w:rsidRDefault="00000000">
            <w:pPr>
              <w:pStyle w:val="Compact"/>
            </w:pPr>
            <w:r>
              <w:t>Chương 2</w:t>
            </w:r>
          </w:p>
        </w:tc>
        <w:tc>
          <w:tcPr>
            <w:tcW w:w="0" w:type="auto"/>
          </w:tcPr>
          <w:p w14:paraId="4D7FB84F" w14:textId="77777777" w:rsidR="005D3DB2" w:rsidRDefault="00000000">
            <w:pPr>
              <w:pStyle w:val="Compact"/>
            </w:pPr>
            <w:r>
              <w:t xml:space="preserve">Tổng quan tài liệu và khung phân tích</w:t>
            </w:r>
          </w:p>
        </w:tc>
        <w:tc>
          <w:tcPr>
            <w:tcW w:w="0" w:type="auto"/>
          </w:tcPr>
          <w:p w14:paraId="37CE85C4" w14:textId="77777777" w:rsidR="005D3DB2" w:rsidRDefault="00000000">
            <w:pPr>
              <w:pStyle w:val="Compact"/>
            </w:pPr>
            <w:r>
              <w:t xml:space="preserve">2.1 Tích tụ và phân vai của trung tâm tài chính; 2.1.1 Phân vai các trung tâm trong một quốc gia; 2.2 Chất lượng thị trường vốn; 2.3 Đổi sàn và hợp nhất sàn; 2.3.1 Bằng chứng từ Euronext; 2.4 Đa dạng hóa danh mục khi tham số được ước lượng; 2.5 Nghiên cứu về Việt Nam; 2.6 Khoảng trống, khung phân tích và giả thuyết</w:t>
            </w:r>
          </w:p>
        </w:tc>
      </w:tr>
      <w:tr w:rsidR="005D3DB2" w14:paraId="14DA093A" w14:textId="77777777">
        <w:trPr>
          <w:cantSplit/>
        </w:trPr>
        <w:tc>
          <w:tcPr>
            <w:tcW w:w="0" w:type="auto"/>
          </w:tcPr>
          <w:p w14:paraId="42945545" w14:textId="77777777" w:rsidR="005D3DB2" w:rsidRDefault="00000000">
            <w:pPr>
              <w:pStyle w:val="Compact"/>
            </w:pPr>
            <w:r>
              <w:t>Chương 3</w:t>
            </w:r>
          </w:p>
        </w:tc>
        <w:tc>
          <w:tcPr>
            <w:tcW w:w="0" w:type="auto"/>
          </w:tcPr>
          <w:p w14:paraId="4F981ECB" w14:textId="77777777" w:rsidR="005D3DB2" w:rsidRDefault="00000000">
            <w:pPr>
              <w:pStyle w:val="Compact"/>
            </w:pPr>
            <w:r>
              <w:t xml:space="preserve">Dữ liệu và phương pháp</w:t>
            </w:r>
          </w:p>
        </w:tc>
        <w:tc>
          <w:tcPr>
            <w:tcW w:w="0" w:type="auto"/>
          </w:tcPr>
          <w:p w14:paraId="19E22CB6" w14:textId="77777777" w:rsidR="005D3DB2" w:rsidRDefault="00000000">
            <w:pPr>
              <w:pStyle w:val="Compact"/>
            </w:pPr>
            <w:r>
              <w:t xml:space="preserve">3.1 Dữ liệu quốc tế; 3.2 Dữ liệu HNX, UPCoM và HOSE; 3.2.1 Cổ phiếu chuyển sàn và thiên lệch sống sót; 3.2.2 Giai đoạn căng thẳng; 3.3 Chỉ số chất lượng thị trường vốn; 3.4 Chỉ số khả năng đầu tư; 3.5 Thiết kế khác biệt kép quanh ngày 28/12/2026; 3.5.1 Nhóm đối chứng và kiểm tra xu hướng trước sự kiện; 3.6 Đăng ký trước và các lệch khỏi kế hoạch</w:t>
            </w:r>
          </w:p>
        </w:tc>
      </w:tr>
      <w:tr w:rsidR="005D3DB2" w14:paraId="5FB26278" w14:textId="77777777">
        <w:trPr>
          <w:cantSplit/>
        </w:trPr>
        <w:tc>
          <w:tcPr>
            <w:tcW w:w="0" w:type="auto"/>
          </w:tcPr>
          <w:p w14:paraId="0BA0B803" w14:textId="77777777" w:rsidR="005D3DB2" w:rsidRDefault="00000000">
            <w:pPr>
              <w:pStyle w:val="Compact"/>
            </w:pPr>
            <w:r>
              <w:t>Chương 4</w:t>
            </w:r>
          </w:p>
        </w:tc>
        <w:tc>
          <w:tcPr>
            <w:tcW w:w="0" w:type="auto"/>
          </w:tcPr>
          <w:p w14:paraId="2FBFF893" w14:textId="77777777" w:rsidR="005D3DB2" w:rsidRDefault="00000000">
            <w:pPr>
              <w:pStyle w:val="Compact"/>
            </w:pPr>
            <w:r>
              <w:t xml:space="preserve">Phát triển thị trường cổ phiếu và năng lực cạnh tranh của trung tâm tài chính: bằng chứng quốc tế</w:t>
            </w:r>
          </w:p>
        </w:tc>
        <w:tc>
          <w:tcPr>
            <w:tcW w:w="0" w:type="auto"/>
          </w:tcPr>
          <w:p w14:paraId="72AFDCB1" w14:textId="77777777" w:rsidR="005D3DB2" w:rsidRDefault="00000000">
            <w:pPr>
              <w:pStyle w:val="Compact"/>
            </w:pPr>
            <w:r>
              <w:t xml:space="preserve">4.1 Dữ liệu bảng các trung tâm tài chính; 4.1.1 Số hóa và chuẩn hóa điểm GFCI; 4.2 Kiểm định H</w:t>
            </w:r>
            <w:r>
              <w:rPr>
                <w:vertAlign w:val="subscript"/>
              </w:rPr>
              <w:t xml:space="preserve">1</w:t>
            </w:r>
            <w:r>
              <w:t xml:space="preserve">; 4.3 Kiểm tra độ bền; 4.4 Thảo luận: Thành phố Hồ Chí Minh, Đà Nẵng và Hà Nội</w:t>
            </w:r>
          </w:p>
        </w:tc>
      </w:tr>
      <w:tr w:rsidR="005D3DB2" w14:paraId="2E8DF854" w14:textId="77777777">
        <w:trPr>
          <w:cantSplit/>
        </w:trPr>
        <w:tc>
          <w:tcPr>
            <w:tcW w:w="0" w:type="auto"/>
          </w:tcPr>
          <w:p w14:paraId="59786C49" w14:textId="77777777" w:rsidR="005D3DB2" w:rsidRDefault="00000000">
            <w:pPr>
              <w:pStyle w:val="Compact"/>
            </w:pPr>
            <w:r>
              <w:t>Chương 5</w:t>
            </w:r>
          </w:p>
        </w:tc>
        <w:tc>
          <w:tcPr>
            <w:tcW w:w="0" w:type="auto"/>
          </w:tcPr>
          <w:p w14:paraId="7BDF0C6D" w14:textId="77777777" w:rsidR="005D3DB2" w:rsidRDefault="00000000">
            <w:pPr>
              <w:pStyle w:val="Compact"/>
            </w:pPr>
            <w:r>
              <w:t xml:space="preserve">Chất lượng thị trường vốn trước hợp nhất: HNX, UPCoM và HOSE</w:t>
            </w:r>
          </w:p>
        </w:tc>
        <w:tc>
          <w:tcPr>
            <w:tcW w:w="0" w:type="auto"/>
          </w:tcPr>
          <w:p w14:paraId="36EC9E9F" w14:textId="77777777" w:rsidR="005D3DB2" w:rsidRDefault="00000000">
            <w:pPr>
              <w:pStyle w:val="Compact"/>
            </w:pPr>
            <w:r>
              <w:t xml:space="preserve">5.1 Các chỉ báo thành phần; 5.1.1 Ảnh hưởng của biên độ dao động giá; 5.2 Chỉ số theo sàn và kiểm định H</w:t>
            </w:r>
            <w:r>
              <w:rPr>
                <w:vertAlign w:val="subscript"/>
              </w:rPr>
              <w:t xml:space="preserve">2</w:t>
            </w:r>
            <w:r>
              <w:t xml:space="preserve">; 5.3 Giai đoạn căng thẳng (mô tả); 5.4 Thảo luận</w:t>
            </w:r>
          </w:p>
        </w:tc>
      </w:tr>
      <w:tr w:rsidR="005D3DB2" w14:paraId="0FC30B1D" w14:textId="77777777">
        <w:trPr>
          <w:cantSplit/>
        </w:trPr>
        <w:tc>
          <w:tcPr>
            <w:tcW w:w="0" w:type="auto"/>
          </w:tcPr>
          <w:p w14:paraId="177C7BB2" w14:textId="77777777" w:rsidR="005D3DB2" w:rsidRDefault="00000000">
            <w:pPr>
              <w:pStyle w:val="Compact"/>
            </w:pPr>
            <w:r>
              <w:t>Chương 6</w:t>
            </w:r>
          </w:p>
        </w:tc>
        <w:tc>
          <w:tcPr>
            <w:tcW w:w="0" w:type="auto"/>
          </w:tcPr>
          <w:p w14:paraId="1DA21297" w14:textId="77777777" w:rsidR="005D3DB2" w:rsidRDefault="00000000">
            <w:pPr>
              <w:pStyle w:val="Compact"/>
            </w:pPr>
            <w:r>
              <w:t xml:space="preserve">Tác động của việc chuyển sàn và định hướng cho thị trường vốn Hà Nội</w:t>
            </w:r>
          </w:p>
        </w:tc>
        <w:tc>
          <w:tcPr>
            <w:tcW w:w="0" w:type="auto"/>
          </w:tcPr>
          <w:p w14:paraId="6DAFE3CC" w14:textId="77777777" w:rsidR="005D3DB2" w:rsidRDefault="00000000">
            <w:pPr>
              <w:pStyle w:val="Compact"/>
            </w:pPr>
            <w:r>
              <w:t xml:space="preserve">6.1 Thanh khoản quanh ngày 28/12/2026 và kiểm định H</w:t>
            </w:r>
            <w:r>
              <w:rPr>
                <w:vertAlign w:val="subscript"/>
              </w:rPr>
              <w:t xml:space="preserve">3</w:t>
            </w:r>
            <w:r>
              <w:t xml:space="preserve">; 6.1.1 Khác biệt theo quy mô doanh nghiệp; 6.2 Khả năng đầu tư trước và sau sự kiện và kiểm định H</w:t>
            </w:r>
            <w:r>
              <w:rPr>
                <w:vertAlign w:val="subscript"/>
              </w:rPr>
              <w:t xml:space="preserve">4</w:t>
            </w:r>
            <w:r>
              <w:t xml:space="preserve">; 6.3 Định hướng chuyên môn hóa cho thị trường vốn Hà Nội; 6.4 Đề xuất chính sách và hạ tầng dữ liệu</w:t>
            </w:r>
          </w:p>
        </w:tc>
      </w:tr>
      <w:tr w:rsidR="005D3DB2" w14:paraId="6BAE9A11" w14:textId="77777777">
        <w:trPr>
          <w:cantSplit/>
        </w:trPr>
        <w:tc>
          <w:tcPr>
            <w:tcW w:w="0" w:type="auto"/>
          </w:tcPr>
          <w:p w14:paraId="488E10B5" w14:textId="77777777" w:rsidR="005D3DB2" w:rsidRDefault="00000000">
            <w:pPr>
              <w:pStyle w:val="Compact"/>
            </w:pPr>
            <w:r>
              <w:t>Kết luận</w:t>
            </w:r>
          </w:p>
        </w:tc>
        <w:tc>
          <w:tcPr>
            <w:tcW w:w="0" w:type="auto"/>
          </w:tcPr>
          <w:p w14:paraId="0D23B9F0" w14:textId="77777777" w:rsidR="005D3DB2" w:rsidRDefault="005D3DB2">
            <w:pPr>
              <w:pStyle w:val="Compact"/>
            </w:pPr>
          </w:p>
        </w:tc>
        <w:tc>
          <w:tcPr>
            <w:tcW w:w="0" w:type="auto"/>
          </w:tcPr>
          <w:p w14:paraId="2EA0D8EC" w14:textId="77777777" w:rsidR="005D3DB2" w:rsidRDefault="00000000">
            <w:pPr>
              <w:pStyle w:val="Compact"/>
            </w:pPr>
            <w:r>
              <w:t xml:space="preserve">Trả lời ba câu hỏi nghiên cứu; hạn chế (một sự kiện duy nhất, độ dài dữ liệu sau sự kiện, các cú sốc trùng thời gian, H</w:t>
            </w:r>
            <w:r>
              <w:rPr>
                <w:vertAlign w:val="subscript"/>
              </w:rPr>
              <w:t xml:space="preserve">1</w:t>
            </w:r>
            <w:r>
              <w:t xml:space="preserve"> là liên hệ có điều kiện);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Lý do đầu tiên là sự phù hợp về chuyên môn: theo Thông báo tuyển sinh năm 2026, chương trình Tiến sĩ Kinh tế và Quản lý có tính liên ngành và tập trung vào kinh tế hành vi và quản lý trong lĩnh vực kinh tế, </w:t>
      </w:r>
      <w:r>
        <w:t xml:space="preserve">còn đề tài thuộc tài chính định lượng và quản lý, </w:t>
      </w:r>
      <w:r>
        <w:t xml:space="preserve">và giao thoa với quản lý ở phần </w:t>
      </w:r>
      <w:r>
        <w:t xml:space="preserve">định hướng chuyên môn hóa thị trường vốn Hà Nội</w:t>
      </w:r>
      <w:r>
        <w:t xml:space="preserve">.</w:t>
      </w:r>
      <w:r>
        <w:t xml:space="preserve"> Lý do thứ hai là ngôn ngữ đào tạo: </w:t>
      </w:r>
      <w:r>
        <w:t xml:space="preserve">chương trình giảng dạy bằng tiếng Anh hoặc tiếng Việt; </w:t>
      </w:r>
      <w:r>
        <w:t xml:space="preserve">học bằng tiếng Anh thuận lợi</w:t>
      </w:r>
      <w:r>
        <w:t xml:space="preserve"> cho công bố quốc tế, và thí sinh có</w:t>
      </w:r>
      <w:r>
        <w:t xml:space="preserve"> chứng chỉ tiếng Anh Bậc 4 theo Khung năng lực ngoại ngữ 6 bậc dùng cho Việt Nam. Lý do thứ ba là điều kiện dự tuyển: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w:t>
      </w:r>
      <w:r>
        <w:t xml:space="preserve">ước lượng tác động của một sự kiện duy nhất với suy luận phù hợp</w:t>
      </w:r>
      <w:r>
        <w:t xml:space="preserve">, và báo cáo trung thực </w:t>
      </w:r>
      <w:r>
        <w:t xml:space="preserve">cả những kết quả chưa đủ cơ sở kết luận.</w:t>
      </w:r>
      <w:r>
        <w:t xml:space="preserve">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nhà nghiên cứu về trung tâm tài chính và cấu trúc thị trường; và Ủy ban nhân dân thành phố Hà Nội, cơ quan quản lý thị trường chứng khoán, HNX và các tổ chức đầu tư. Thí sinh mong kết quả của luận án là một đóng góp nhỏ, có kiểm chứng, cho câu hỏi số 1 và số 3 của bài toán số 19 (mục 4.1), đúng vào thời điểm thị trường vốn Hà Nội thay đổi cấu trúc. Thí sinh mong muốn công bố kết quả trên các tạp chí quốc tế có phản biện, theo quy định công bố của chương trình đào tạo tiến sĩ.</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Trong hai quý đầu năm thứ nhất, thí sinh hoàn thành 9 tín chỉ học bổ sung (học phần Hành vi tổ chức và Lãnh đạo cùng hai học phần tự chọn) và các học phần theo chương trình. Thí sinh ưu tiên học phần tự chọn về kinh tế lượng chuỗi thời gian và phương pháp nghiên cứu định lượng, vì đây là công cụ trực tiếp của luận án.</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tổng quan lý thuyết về trung tâm tài chính, cấu trúc sàn và hợp nhất sàn; (ii) chất lượng thị trường vốn của HNX, UPCoM và HOSE trước hợp nhất; (iii) tác động của hợp nhất sàn lên thanh khoản và khả năng đầu tư. Mỗi chuyên đề đứng độc lập được và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 xml:space="preserve">Thí sinh dự kiến công bố ba bài báo trên tạp chí khoa học có phản biện và trình bày một đến hai báo cáo tại hội thảo khoa học. Bài báo 1 trình bày Chỉ số chất lượng thị trường vốn và so sánh HNX với HOSE (H</w:t>
      </w:r>
      <w:r>
        <w:rPr>
          <w:vertAlign w:val="subscript"/>
        </w:rPr>
        <w:t xml:space="preserve">2</w:t>
      </w:r>
      <w:r>
        <w:t xml:space="preserve">); bài báo 2 trình bày tác động của việc chuyển sàn lên thanh khoản và khả năng đầu tư (H</w:t>
      </w:r>
      <w:r>
        <w:rPr>
          <w:vertAlign w:val="subscript"/>
        </w:rPr>
        <w:t xml:space="preserve">3</w:t>
      </w:r>
      <w:r>
        <w:t xml:space="preserve">, H</w:t>
      </w:r>
      <w:r>
        <w:rPr>
          <w:vertAlign w:val="subscript"/>
        </w:rPr>
        <w:t xml:space="preserve">4</w:t>
      </w:r>
      <w:r>
        <w:t xml:space="preserve">); bài báo 3 trình bày bằng chứng quốc tế (H</w:t>
      </w:r>
      <w:r>
        <w:rPr>
          <w:vertAlign w:val="subscript"/>
        </w:rPr>
        <w:t xml:space="preserve">1</w:t>
      </w:r>
      <w:r>
        <w:t xml:space="preserve">) và định hướng cho Hà Nội. Số bài là mục tiêu; kết quả cụ thể phụ thuộc vào dữ liệu và quy trình phản biện của tạp chí.</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Thời gian đào tạo đối với người có bằng đại học là bốn năm.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5</w:t>
        </w:r>
      </w:fldSimple>
      <w:r>
        <w:t>. Kế hoạch thực hiện luận án theo bốn năm và sản phẩm dự kiến</w:t>
      </w:r>
      <w:bookmarkEnd w:id="53"/>
    </w:p>
    <w:tbl>
      <w:tblPr>
        <w:tblStyle w:val="Table"/>
        <w:tblW w:w="5000" w:type="pct"/>
        <w:tblLook w:val="0020" w:firstRow="1" w:lastRow="0" w:firstColumn="0" w:lastColumn="0" w:noHBand="0" w:noVBand="0"/>
      </w:tblPr>
      <w:tblGrid>
        <w:gridCol w:w="668"/>
        <w:gridCol w:w="6050"/>
        <w:gridCol w:w="2060"/>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D0347E4" w14:textId="77777777" w:rsidR="005D3DB2" w:rsidRDefault="00000000">
            <w:pPr>
              <w:pStyle w:val="Compact"/>
            </w:pPr>
            <w:r>
              <w:t>Năm</w:t>
            </w:r>
          </w:p>
        </w:tc>
        <w:tc>
          <w:tcPr>
            <w:tcW w:w="0" w:type="auto"/>
          </w:tcPr>
          <w:p w14:paraId="21E9C063" w14:textId="77777777" w:rsidR="005D3DB2" w:rsidRDefault="00000000">
            <w:pPr>
              <w:pStyle w:val="Compact"/>
            </w:pPr>
            <w:r>
              <w:t>Nội dung</w:t>
            </w:r>
          </w:p>
        </w:tc>
        <w:tc>
          <w:tcPr>
            <w:tcW w:w="0" w:type="auto"/>
          </w:tcPr>
          <w:p w14:paraId="1F86562E" w14:textId="77777777" w:rsidR="005D3DB2" w:rsidRDefault="00000000">
            <w:pPr>
              <w:pStyle w:val="Compact"/>
            </w:pPr>
            <w:r>
              <w:t>Sản phẩm</w:t>
            </w:r>
          </w:p>
        </w:tc>
      </w:tr>
      <w:tr w:rsidR="005D3DB2" w14:paraId="489CA679" w14:textId="77777777">
        <w:trPr>
          <w:cantSplit/>
        </w:trPr>
        <w:tc>
          <w:tcPr>
            <w:tcW w:w="0" w:type="auto"/>
          </w:tcPr>
          <w:p w14:paraId="758DF502" w14:textId="77777777" w:rsidR="005D3DB2" w:rsidRDefault="00000000">
            <w:pPr>
              <w:pStyle w:val="Compact"/>
            </w:pPr>
            <w:r>
              <w:t>Năm 1</w:t>
            </w:r>
          </w:p>
        </w:tc>
        <w:tc>
          <w:tcPr>
            <w:tcW w:w="0" w:type="auto"/>
          </w:tcPr>
          <w:p w14:paraId="61FD355A" w14:textId="77777777" w:rsidR="005D3DB2" w:rsidRDefault="00000000">
            <w:pPr>
              <w:pStyle w:val="Compact"/>
            </w:pPr>
            <w:r>
              <w:t xml:space="preserve">Trước khi nhập học: đăng ký trước kế hoạch phân tích (trước ngày 28/12/2026). Quý 1: xác nhận nguồn và giấy phép dữ liệu HNX, UPCoM, HOSE, dữ liệu công bố và báo cáo GFCI. Quý 1–2: học bổ sung 9 tín chỉ và các học phần theo chương trình. Quý 2–3: làm sạch dữ liệu 2009–2026, tính các chỉ báo thành phần, tính hiệu ứng nhỏ nhất phát hiện được. Quý 4: xây dựng Chỉ số chất lượng thị trường vốn, kiểm định H</w:t>
            </w:r>
            <w:r>
              <w:rPr>
                <w:vertAlign w:val="subscript"/>
              </w:rPr>
              <w:t xml:space="preserve">2</w:t>
            </w:r>
          </w:p>
        </w:tc>
        <w:tc>
          <w:tcPr>
            <w:tcW w:w="0" w:type="auto"/>
          </w:tcPr>
          <w:p w14:paraId="49F49FA0" w14:textId="77777777" w:rsidR="005D3DB2" w:rsidRDefault="00000000">
            <w:pPr>
              <w:pStyle w:val="Compact"/>
            </w:pPr>
            <w:r>
              <w:t xml:space="preserve">Tệp đăng ký trước; tổng quan nghiên cứu; chuyên đề 1; chỉ số chất lượng bản đầu</w:t>
            </w:r>
          </w:p>
        </w:tc>
      </w:tr>
      <w:tr w:rsidR="005D3DB2" w14:paraId="475714BB" w14:textId="77777777">
        <w:trPr>
          <w:cantSplit/>
        </w:trPr>
        <w:tc>
          <w:tcPr>
            <w:tcW w:w="0" w:type="auto"/>
          </w:tcPr>
          <w:p w14:paraId="3CAB58A2" w14:textId="77777777" w:rsidR="005D3DB2" w:rsidRDefault="00000000">
            <w:pPr>
              <w:pStyle w:val="Compact"/>
            </w:pPr>
            <w:r>
              <w:t>Năm 2</w:t>
            </w:r>
          </w:p>
        </w:tc>
        <w:tc>
          <w:tcPr>
            <w:tcW w:w="0" w:type="auto"/>
          </w:tcPr>
          <w:p w14:paraId="14740F2D" w14:textId="77777777" w:rsidR="005D3DB2" w:rsidRDefault="00000000">
            <w:pPr>
              <w:pStyle w:val="Compact"/>
            </w:pPr>
            <w:r>
              <w:t xml:space="preserve">Quý 1–2: viết bài báo 1 (H</w:t>
            </w:r>
            <w:r>
              <w:rPr>
                <w:vertAlign w:val="subscript"/>
              </w:rPr>
              <w:t xml:space="preserve">2</w:t>
            </w:r>
            <w:r>
              <w:t xml:space="preserve">); số hóa điểm GFCI và kiểm định H</w:t>
            </w:r>
            <w:r>
              <w:rPr>
                <w:vertAlign w:val="subscript"/>
              </w:rPr>
              <w:t xml:space="preserve">1</w:t>
            </w:r>
            <w:r>
              <w:t xml:space="preserve">. Quý 3–4: ước lượng giữa kỳ cho H</w:t>
            </w:r>
            <w:r>
              <w:rPr>
                <w:vertAlign w:val="subscript"/>
              </w:rPr>
              <w:t xml:space="preserve">3</w:t>
            </w:r>
            <w:r>
              <w:t xml:space="preserve"> với 12 tháng dữ liệu sau sự kiện, báo cáo là kết quả giữa kỳ theo tệp đăng ký</w:t>
            </w:r>
          </w:p>
        </w:tc>
        <w:tc>
          <w:tcPr>
            <w:tcW w:w="0" w:type="auto"/>
          </w:tcPr>
          <w:p w14:paraId="43770066" w14:textId="77777777" w:rsidR="005D3DB2" w:rsidRDefault="00000000">
            <w:pPr>
              <w:pStyle w:val="Compact"/>
            </w:pPr>
            <w:r>
              <w:t xml:space="preserve">Bài báo 1; kết quả giữa kỳ H</w:t>
            </w:r>
            <w:r>
              <w:rPr>
                <w:vertAlign w:val="subscript"/>
              </w:rPr>
              <w:t xml:space="preserve">3</w:t>
            </w:r>
            <w:r>
              <w:t xml:space="preserve">; báo cáo hội thảo; chuyên đề 2</w:t>
            </w:r>
          </w:p>
        </w:tc>
      </w:tr>
      <w:tr w:rsidR="005D3DB2" w14:paraId="4FE2EDEA" w14:textId="77777777">
        <w:trPr>
          <w:cantSplit/>
        </w:trPr>
        <w:tc>
          <w:tcPr>
            <w:tcW w:w="0" w:type="auto"/>
          </w:tcPr>
          <w:p w14:paraId="72C3354E" w14:textId="77777777" w:rsidR="005D3DB2" w:rsidRDefault="00000000">
            <w:pPr>
              <w:pStyle w:val="Compact"/>
            </w:pPr>
            <w:r>
              <w:t>Năm 3</w:t>
            </w:r>
          </w:p>
        </w:tc>
        <w:tc>
          <w:tcPr>
            <w:tcW w:w="0" w:type="auto"/>
          </w:tcPr>
          <w:p w14:paraId="45E0D657" w14:textId="77777777" w:rsidR="005D3DB2" w:rsidRDefault="00000000">
            <w:pPr>
              <w:pStyle w:val="Compact"/>
            </w:pPr>
            <w:r>
              <w:t xml:space="preserve">Quý 1–2: hoàn tất 24 tháng dữ liệu sau sự kiện; kiểm định H</w:t>
            </w:r>
            <w:r>
              <w:rPr>
                <w:vertAlign w:val="subscript"/>
              </w:rPr>
              <w:t xml:space="preserve">3</w:t>
            </w:r>
            <w:r>
              <w:t xml:space="preserve"> và ước lượng H</w:t>
            </w:r>
            <w:r>
              <w:rPr>
                <w:vertAlign w:val="subscript"/>
              </w:rPr>
              <w:t xml:space="preserve">4</w:t>
            </w:r>
            <w:r>
              <w:t xml:space="preserve">; viết bài báo 2 (H</w:t>
            </w:r>
            <w:r>
              <w:rPr>
                <w:vertAlign w:val="subscript"/>
              </w:rPr>
              <w:t xml:space="preserve">3</w:t>
            </w:r>
            <w:r>
              <w:t xml:space="preserve">, H</w:t>
            </w:r>
            <w:r>
              <w:rPr>
                <w:vertAlign w:val="subscript"/>
              </w:rPr>
              <w:t xml:space="preserve">4</w:t>
            </w:r>
            <w:r>
              <w:t xml:space="preserve">). Quý 3–4: so sánh Hà Nội với Bắc Kinh, Thành phố Hồ Chí Minh và các trung tâm khu vực; viết bài báo 3 (H</w:t>
            </w:r>
            <w:r>
              <w:rPr>
                <w:vertAlign w:val="subscript"/>
              </w:rPr>
              <w:t xml:space="preserve">1</w:t>
            </w:r>
            <w:r>
              <w:t xml:space="preserve">)</w:t>
            </w:r>
          </w:p>
        </w:tc>
        <w:tc>
          <w:tcPr>
            <w:tcW w:w="0" w:type="auto"/>
          </w:tcPr>
          <w:p w14:paraId="5D8B9BC0" w14:textId="77777777" w:rsidR="005D3DB2" w:rsidRDefault="00000000">
            <w:pPr>
              <w:pStyle w:val="Compact"/>
            </w:pPr>
            <w:r>
              <w:t xml:space="preserve">Bài báo 2; chỉ số khả năng đầu tư; chuyên đề 3</w:t>
            </w:r>
          </w:p>
        </w:tc>
      </w:tr>
      <w:tr w:rsidR="005D3DB2" w14:paraId="315046A8" w14:textId="77777777">
        <w:trPr>
          <w:cantSplit/>
        </w:trPr>
        <w:tc>
          <w:tcPr>
            <w:tcW w:w="0" w:type="auto"/>
          </w:tcPr>
          <w:p w14:paraId="4FCE09B1" w14:textId="77777777" w:rsidR="005D3DB2" w:rsidRDefault="00000000">
            <w:pPr>
              <w:pStyle w:val="Compact"/>
            </w:pPr>
            <w:r>
              <w:t>Năm 4</w:t>
            </w:r>
          </w:p>
        </w:tc>
        <w:tc>
          <w:tcPr>
            <w:tcW w:w="0" w:type="auto"/>
          </w:tcPr>
          <w:p w14:paraId="2E56A36B" w14:textId="77777777" w:rsidR="005D3DB2" w:rsidRDefault="00000000">
            <w:pPr>
              <w:pStyle w:val="Compact"/>
            </w:pPr>
            <w:r>
              <w:t xml:space="preserve">Quý 1–2: đề xuất định hướng chuyên môn hóa và chính sách cho thị trường vốn Hà Nội; công bố mã nguồn hai chỉ số. Quý 3–4: hoàn thiện luận án, chỉnh sửa theo góp ý và bảo vệ</w:t>
            </w:r>
          </w:p>
        </w:tc>
        <w:tc>
          <w:tcPr>
            <w:tcW w:w="0" w:type="auto"/>
          </w:tcPr>
          <w:p w14:paraId="4CC80AB9" w14:textId="77777777" w:rsidR="005D3DB2" w:rsidRDefault="00000000">
            <w:pPr>
              <w:pStyle w:val="Compact"/>
            </w:pPr>
            <w:r>
              <w:t xml:space="preserve">Bài báo 3; luận án; hai chỉ số mã nguồn mở</w:t>
            </w:r>
          </w:p>
        </w:tc>
      </w:tr>
    </w:tbl>
    <w:p w14:paraId="6FB360A3" w14:textId="77777777" w:rsidR="005D3DB2" w:rsidRDefault="00000000">
      <w:pPr>
        <w:pStyle w:val="SourceNote"/>
      </w:pPr>
      <w:r>
        <w:t>Nguồn: Thí sinh đề xuất</w:t>
      </w:r>
    </w:p>
    <w:p w14:paraId="4F8F439A" w14:textId="77777777" w:rsidR="005D3DB2" w:rsidRDefault="00000000">
      <w:pPr>
        <w:pStyle w:val="BodyText"/>
      </w:pPr>
      <w:r>
        <w:t xml:space="preserve">Kế hoạch có bốn phương án dự phòng (mục 4.3.10): không số hóa được điểm GFCI; sự kiện bị lùi, thực hiện theo nhiều đợt hoặc không diễn ra; nhóm đối chứng không đạt kiểm tra xu hướng song song; dữ liệu sau sự kiện ngắn hơn 24 tháng hoặc rổ chuyển sàn quá ít mã. Phương án xử lý từng trường hợp được ghi trong tệp đăng ký trước.</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6</w:t>
        </w:r>
      </w:fldSimple>
      <w:r>
        <w:t>. Công trình đã công bố hoặc đã được chấp nhận đăng</w:t>
      </w:r>
      <w:bookmarkEnd w:id="58"/>
    </w:p>
    <w:tbl>
      <w:tblPr>
        <w:tblStyle w:val="Table"/>
        <w:tblW w:w="5000" w:type="pct"/>
        <w:tblLook w:val="0020" w:firstRow="1" w:lastRow="0" w:firstColumn="0" w:lastColumn="0" w:noHBand="0" w:noVBand="0"/>
      </w:tblPr>
      <w:tblGrid>
        <w:gridCol w:w="477"/>
        <w:gridCol w:w="3587"/>
        <w:gridCol w:w="2959"/>
        <w:gridCol w:w="1755"/>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F46F851" w14:textId="77777777" w:rsidR="005D3DB2" w:rsidRDefault="00000000">
            <w:pPr>
              <w:pStyle w:val="Compact"/>
            </w:pPr>
            <w:r>
              <w:t>TT</w:t>
            </w:r>
          </w:p>
        </w:tc>
        <w:tc>
          <w:tcPr>
            <w:tcW w:w="0" w:type="auto"/>
          </w:tcPr>
          <w:p w14:paraId="60B13376" w14:textId="77777777" w:rsidR="005D3DB2" w:rsidRDefault="00000000">
            <w:pPr>
              <w:pStyle w:val="Compact"/>
            </w:pPr>
            <w:r>
              <w:t>Công trình</w:t>
            </w:r>
          </w:p>
        </w:tc>
        <w:tc>
          <w:tcPr>
            <w:tcW w:w="0" w:type="auto"/>
          </w:tcPr>
          <w:p w14:paraId="09100F43" w14:textId="77777777" w:rsidR="005D3DB2" w:rsidRDefault="00000000">
            <w:pPr>
              <w:pStyle w:val="Compact"/>
            </w:pPr>
            <w:r>
              <w:t>Tạp chí; ISSN</w:t>
            </w:r>
          </w:p>
        </w:tc>
        <w:tc>
          <w:tcPr>
            <w:tcW w:w="0" w:type="auto"/>
          </w:tcPr>
          <w:p w14:paraId="48262534" w14:textId="77777777" w:rsidR="005D3DB2" w:rsidRDefault="00000000">
            <w:pPr>
              <w:pStyle w:val="Compact"/>
            </w:pPr>
            <w:r>
              <w:t>Trạng thái</w:t>
            </w:r>
          </w:p>
        </w:tc>
      </w:tr>
      <w:tr w:rsidR="005D3DB2" w14:paraId="223C44CB" w14:textId="77777777">
        <w:trPr>
          <w:cantSplit/>
        </w:trPr>
        <w:tc>
          <w:tcPr>
            <w:tcW w:w="0" w:type="auto"/>
          </w:tcPr>
          <w:p w14:paraId="6A2810EB" w14:textId="77777777" w:rsidR="005D3DB2" w:rsidRDefault="00000000">
            <w:pPr>
              <w:pStyle w:val="Compact"/>
            </w:pPr>
            <w:r>
              <w:t>1</w:t>
            </w:r>
          </w:p>
        </w:tc>
        <w:tc>
          <w:tcPr>
            <w:tcW w:w="0" w:type="auto"/>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&amp; Nguyễn, 2026b)</w:t>
            </w:r>
          </w:p>
        </w:tc>
        <w:tc>
          <w:tcPr>
            <w:tcW w:w="0" w:type="auto"/>
          </w:tcPr>
          <w:p w14:paraId="7C63DA21" w14:textId="77777777" w:rsidR="005D3DB2" w:rsidRDefault="00000000">
            <w:pPr>
              <w:pStyle w:val="Compact"/>
            </w:pPr>
            <w:r>
              <w:t>Tạp chí Kinh tế - Luật và Ngân hàng; ISSN 3030-4199; Tập 28, Số 9, tr. 52–64; DOI 10.59276/3030-4199/jelb.bav.895</w:t>
            </w:r>
          </w:p>
        </w:tc>
        <w:tc>
          <w:tcPr>
            <w:tcW w:w="0" w:type="auto"/>
          </w:tcPr>
          <w:p w14:paraId="1DB41FFF" w14:textId="77777777" w:rsidR="005D3DB2" w:rsidRDefault="00000000">
            <w:pPr>
              <w:pStyle w:val="Compact"/>
            </w:pPr>
            <w:r>
              <w:t>Đã công bố</w:t>
            </w:r>
          </w:p>
        </w:tc>
      </w:tr>
      <w:tr w:rsidR="005D3DB2" w14:paraId="136CE50D" w14:textId="77777777">
        <w:trPr>
          <w:cantSplit/>
        </w:trPr>
        <w:tc>
          <w:tcPr>
            <w:tcW w:w="0" w:type="auto"/>
          </w:tcPr>
          <w:p w14:paraId="7D27DA56" w14:textId="77777777" w:rsidR="005D3DB2" w:rsidRDefault="00000000">
            <w:pPr>
              <w:pStyle w:val="Compact"/>
            </w:pPr>
            <w:r>
              <w:t>2</w:t>
            </w:r>
          </w:p>
        </w:tc>
        <w:tc>
          <w:tcPr>
            <w:tcW w:w="0" w:type="auto"/>
          </w:tcPr>
          <w:p w14:paraId="7CF01717" w14:textId="77777777" w:rsidR="005D3DB2" w:rsidRDefault="00000000">
            <w:pPr>
              <w:pStyle w:val="Compact"/>
            </w:pPr>
            <w:r>
              <w:t>Nguyễn Thanh Bình, Nguyễn Văn Trung, “Black-Litterman portfolio optimization using regime switching CAPM and ABC-MCMC: Empirical evidence from the Vietnamese stock market period 2019 - 2025” (Nguyen &amp; Nguyen, 2026a)</w:t>
            </w:r>
          </w:p>
        </w:tc>
        <w:tc>
          <w:tcPr>
            <w:tcW w:w="0" w:type="auto"/>
          </w:tcPr>
          <w:p w14:paraId="21B2C551" w14:textId="77777777" w:rsidR="005D3DB2" w:rsidRDefault="00000000">
            <w:pPr>
              <w:pStyle w:val="Compact"/>
            </w:pPr>
            <w:r>
              <w:t>Tạp chí Nghiên cứu Chính sách và Phát triển; ISSN 3030-4091; Tập 3, Số 1, tr. 81–99; DOI 10.63640/3030-4091/jpd.apd.194</w:t>
            </w:r>
          </w:p>
        </w:tc>
        <w:tc>
          <w:tcPr>
            <w:tcW w:w="0" w:type="auto"/>
          </w:tcPr>
          <w:p w14:paraId="624886EC" w14:textId="77777777" w:rsidR="005D3DB2" w:rsidRDefault="00000000">
            <w:pPr>
              <w:pStyle w:val="Compact"/>
            </w:pPr>
            <w:r>
              <w:t>Đã công bố</w:t>
            </w:r>
          </w:p>
        </w:tc>
      </w:tr>
      <w:tr w:rsidR="005D3DB2" w14:paraId="33E29DC0" w14:textId="77777777">
        <w:trPr>
          <w:cantSplit/>
        </w:trPr>
        <w:tc>
          <w:tcPr>
            <w:tcW w:w="0" w:type="auto"/>
          </w:tcPr>
          <w:p w14:paraId="539BEAFB" w14:textId="77777777" w:rsidR="005D3DB2" w:rsidRDefault="00000000">
            <w:pPr>
              <w:pStyle w:val="Compact"/>
            </w:pPr>
            <w:r>
              <w:t>3</w:t>
            </w:r>
          </w:p>
        </w:tc>
        <w:tc>
          <w:tcPr>
            <w:tcW w:w="0" w:type="auto"/>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0" w:type="auto"/>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0" w:type="auto"/>
          </w:tcPr>
          <w:p w14:paraId="6213FD20" w14:textId="77777777" w:rsidR="005D3DB2" w:rsidRDefault="00000000">
            <w:pPr>
              <w:pStyle w:val="Compact"/>
            </w:pPr>
            <w:r>
              <w:t>Đã được chấp nhận đăng năm 2026, chưa xuất bản tại ngày 30/09/2026</w:t>
            </w:r>
          </w:p>
        </w:tc>
      </w:tr>
    </w:tbl>
    <w:p w14:paraId="17CAA286" w14:textId="77777777" w:rsidR="005D3DB2" w:rsidRDefault="00000000">
      <w:pPr>
        <w:pStyle w:val="SourceNote"/>
      </w:pPr>
      <w:r>
        <w:t xml:space="preserve">Ghi chú: (*) Tác giả liên hệ. Tên bài báo bằng tiếng Anh </w:t>
      </w:r>
      <w:r>
        <w:t xml:space="preserve">giữ nguyên như khi công bố. Trạng thái tính đến ngày 30/09/2026.</w:t>
      </w:r>
    </w:p>
    <w:p w14:paraId="53C9A500" w14:textId="77777777" w:rsidR="005D3DB2" w:rsidRDefault="00000000">
      <w:pPr>
        <w:pStyle w:val="BodyText"/>
      </w:pPr>
      <w:r>
        <w:t>Ngoài các công trình trên, thí sinh có chín bản thảo đang ở các bước phản biện hoặc xét duyệt (Bảng 7), trong đó ba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7</w:t>
        </w:r>
      </w:fldSimple>
      <w:r>
        <w:t>. Bản thảo đã gửi tạp chí, chưa công bố tại ngày 30/09/2026</w:t>
      </w:r>
      <w:bookmarkEnd w:id="59"/>
    </w:p>
    <w:tbl>
      <w:tblPr>
        <w:tblStyle w:val="Table"/>
        <w:tblW w:w="5000" w:type="pct"/>
        <w:tblLook w:val="0020" w:firstRow="1" w:lastRow="0" w:firstColumn="0" w:lastColumn="0" w:noHBand="0" w:noVBand="0"/>
      </w:tblPr>
      <w:tblGrid>
        <w:gridCol w:w="478"/>
        <w:gridCol w:w="2830"/>
        <w:gridCol w:w="531"/>
        <w:gridCol w:w="2211"/>
        <w:gridCol w:w="1679"/>
        <w:gridCol w:w="1049"/>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E281E21" w14:textId="77777777" w:rsidR="005D3DB2" w:rsidRDefault="00000000">
            <w:pPr>
              <w:pStyle w:val="Compact"/>
            </w:pPr>
            <w:r>
              <w:t>TT</w:t>
            </w:r>
          </w:p>
        </w:tc>
        <w:tc>
          <w:tcPr>
            <w:tcW w:w="0" w:type="auto"/>
          </w:tcPr>
          <w:p w14:paraId="04188E2A" w14:textId="77777777" w:rsidR="005D3DB2" w:rsidRDefault="00000000">
            <w:pPr>
              <w:pStyle w:val="Compact"/>
            </w:pPr>
            <w:r>
              <w:t>Tên bài báo</w:t>
            </w:r>
          </w:p>
        </w:tc>
        <w:tc>
          <w:tcPr>
            <w:tcW w:w="0" w:type="auto"/>
          </w:tcPr>
          <w:p w14:paraId="3D12A13F" w14:textId="77777777" w:rsidR="005D3DB2" w:rsidRDefault="00000000">
            <w:pPr>
              <w:pStyle w:val="Compact"/>
            </w:pPr>
            <w:r>
              <w:t>Số tác giả</w:t>
            </w:r>
          </w:p>
        </w:tc>
        <w:tc>
          <w:tcPr>
            <w:tcW w:w="0" w:type="auto"/>
          </w:tcPr>
          <w:p w14:paraId="0EC0CC60" w14:textId="77777777" w:rsidR="005D3DB2" w:rsidRDefault="00000000">
            <w:pPr>
              <w:pStyle w:val="Compact"/>
            </w:pPr>
            <w:r>
              <w:t>Tạp chí; ISSN</w:t>
            </w:r>
          </w:p>
        </w:tc>
        <w:tc>
          <w:tcPr>
            <w:tcW w:w="0" w:type="auto"/>
          </w:tcPr>
          <w:p w14:paraId="156D343A" w14:textId="77777777" w:rsidR="005D3DB2" w:rsidRDefault="00000000">
            <w:pPr>
              <w:pStyle w:val="Compact"/>
            </w:pPr>
            <w:r>
              <w:t>Trạng thái (mã bài)</w:t>
            </w:r>
          </w:p>
        </w:tc>
        <w:tc>
          <w:tcPr>
            <w:tcW w:w="0" w:type="auto"/>
          </w:tcPr>
          <w:p w14:paraId="19795523" w14:textId="77777777" w:rsidR="005D3DB2" w:rsidRDefault="00000000">
            <w:pPr>
              <w:pStyle w:val="Compact"/>
            </w:pPr>
            <w:r>
              <w:t>Liên quan đến đề tài</w:t>
            </w:r>
          </w:p>
        </w:tc>
      </w:tr>
      <w:tr w:rsidR="005D3DB2" w14:paraId="722A5281" w14:textId="77777777">
        <w:trPr>
          <w:cantSplit/>
        </w:trPr>
        <w:tc>
          <w:tcPr>
            <w:tcW w:w="0" w:type="auto"/>
          </w:tcPr>
          <w:p w14:paraId="1B475C6E" w14:textId="77777777" w:rsidR="005D3DB2" w:rsidRDefault="00000000">
            <w:pPr>
              <w:pStyle w:val="Compact"/>
            </w:pPr>
            <w:r>
              <w:t>1</w:t>
            </w:r>
          </w:p>
        </w:tc>
        <w:tc>
          <w:tcPr>
            <w:tcW w:w="0" w:type="auto"/>
          </w:tcPr>
          <w:p w14:paraId="1BB1A867" w14:textId="77777777" w:rsidR="005D3DB2" w:rsidRDefault="00000000">
            <w:pPr>
              <w:pStyle w:val="Compact"/>
            </w:pPr>
            <w:r>
              <w:t>Portfolio optimization with the inverse Black-Litterman framework and clustering machine-learning models: Evidence from Vietnamese bank stocks</w:t>
            </w:r>
          </w:p>
        </w:tc>
        <w:tc>
          <w:tcPr>
            <w:tcW w:w="0" w:type="auto"/>
          </w:tcPr>
          <w:p w14:paraId="099632FD" w14:textId="77777777" w:rsidR="005D3DB2" w:rsidRDefault="00000000">
            <w:pPr>
              <w:pStyle w:val="Compact"/>
            </w:pPr>
            <w:r>
              <w:t>5</w:t>
            </w:r>
          </w:p>
        </w:tc>
        <w:tc>
          <w:tcPr>
            <w:tcW w:w="0" w:type="auto"/>
          </w:tcPr>
          <w:p w14:paraId="622ED6E5" w14:textId="77777777" w:rsidR="005D3DB2" w:rsidRDefault="00000000">
            <w:pPr>
              <w:pStyle w:val="Compact"/>
            </w:pPr>
            <w:r>
              <w:t>Multidisciplinary Science Journal; ISSN 2675-1240; Scopus Q3</w:t>
            </w:r>
          </w:p>
        </w:tc>
        <w:tc>
          <w:tcPr>
            <w:tcW w:w="0" w:type="auto"/>
          </w:tcPr>
          <w:p w14:paraId="39F6F7DE" w14:textId="77777777" w:rsidR="005D3DB2" w:rsidRDefault="00000000">
            <w:pPr>
              <w:pStyle w:val="Compact"/>
            </w:pPr>
            <w:r>
              <w:t>Đã sửa xong vòng 2 (mã 19322)</w:t>
            </w:r>
          </w:p>
        </w:tc>
        <w:tc>
          <w:tcPr>
            <w:tcW w:w="0" w:type="auto"/>
          </w:tcPr>
          <w:p w14:paraId="528FCFF9" w14:textId="77777777" w:rsidR="005D3DB2" w:rsidRDefault="00000000">
            <w:pPr>
              <w:pStyle w:val="Compact"/>
            </w:pPr>
            <w:r>
              <w:t>Có (mô hình danh mục)</w:t>
            </w:r>
          </w:p>
        </w:tc>
      </w:tr>
      <w:tr w:rsidR="005D3DB2" w14:paraId="636303B6" w14:textId="77777777">
        <w:trPr>
          <w:cantSplit/>
        </w:trPr>
        <w:tc>
          <w:tcPr>
            <w:tcW w:w="0" w:type="auto"/>
          </w:tcPr>
          <w:p w14:paraId="5CAC10E7" w14:textId="77777777" w:rsidR="005D3DB2" w:rsidRDefault="00000000">
            <w:pPr>
              <w:pStyle w:val="Compact"/>
            </w:pPr>
            <w:r>
              <w:t>2</w:t>
            </w:r>
          </w:p>
        </w:tc>
        <w:tc>
          <w:tcPr>
            <w:tcW w:w="0" w:type="auto"/>
          </w:tcPr>
          <w:p w14:paraId="5011594A" w14:textId="77777777" w:rsidR="005D3DB2" w:rsidRDefault="00000000">
            <w:pPr>
              <w:pStyle w:val="Compact"/>
            </w:pPr>
            <w:r>
              <w:t>Tác động của cấu trúc sở hữu lên ổn định tài chính của các ngân hàng thương mại Việt Nam</w:t>
            </w:r>
          </w:p>
        </w:tc>
        <w:tc>
          <w:tcPr>
            <w:tcW w:w="0" w:type="auto"/>
          </w:tcPr>
          <w:p w14:paraId="449B50E3" w14:textId="77777777" w:rsidR="005D3DB2" w:rsidRDefault="00000000">
            <w:pPr>
              <w:pStyle w:val="Compact"/>
            </w:pPr>
            <w:r>
              <w:t>2</w:t>
            </w:r>
          </w:p>
        </w:tc>
        <w:tc>
          <w:tcPr>
            <w:tcW w:w="0" w:type="auto"/>
          </w:tcPr>
          <w:p w14:paraId="157AE89D" w14:textId="77777777" w:rsidR="005D3DB2" w:rsidRDefault="00000000">
            <w:pPr>
              <w:pStyle w:val="Compact"/>
            </w:pPr>
            <w:r>
              <w:t>Tạp chí Kinh tế - Luật và Ngân hàng; ISSN 3030-4199</w:t>
            </w:r>
          </w:p>
        </w:tc>
        <w:tc>
          <w:tcPr>
            <w:tcW w:w="0" w:type="auto"/>
          </w:tcPr>
          <w:p w14:paraId="273A81D7" w14:textId="77777777" w:rsidR="005D3DB2" w:rsidRDefault="00000000">
            <w:pPr>
              <w:pStyle w:val="Compact"/>
            </w:pPr>
            <w:r>
              <w:t>Qua 2 vòng phản biện, đang chỉnh sửa (mã 3129)</w:t>
            </w:r>
          </w:p>
        </w:tc>
        <w:tc>
          <w:tcPr>
            <w:tcW w:w="0" w:type="auto"/>
          </w:tcPr>
          <w:p w14:paraId="0A93CE6E" w14:textId="77777777" w:rsidR="005D3DB2" w:rsidRDefault="00000000">
            <w:pPr>
              <w:pStyle w:val="Compact"/>
            </w:pPr>
            <w:r>
              <w:t>Không</w:t>
            </w:r>
          </w:p>
        </w:tc>
      </w:tr>
      <w:tr w:rsidR="005D3DB2" w14:paraId="7954A65C" w14:textId="77777777">
        <w:trPr>
          <w:cantSplit/>
        </w:trPr>
        <w:tc>
          <w:tcPr>
            <w:tcW w:w="0" w:type="auto"/>
          </w:tcPr>
          <w:p w14:paraId="68924E55" w14:textId="77777777" w:rsidR="005D3DB2" w:rsidRDefault="00000000">
            <w:pPr>
              <w:pStyle w:val="Compact"/>
            </w:pPr>
            <w:r>
              <w:t>3</w:t>
            </w:r>
          </w:p>
        </w:tc>
        <w:tc>
          <w:tcPr>
            <w:tcW w:w="0" w:type="auto"/>
          </w:tcPr>
          <w:p w14:paraId="4FD3FE53" w14:textId="77777777" w:rsidR="005D3DB2" w:rsidRDefault="00000000">
            <w:pPr>
              <w:pStyle w:val="Compact"/>
            </w:pPr>
            <w:r>
              <w:t>Limits to arbitrage in the Vietnamese physical gold market: The failure of short-term momentum</w:t>
            </w:r>
          </w:p>
        </w:tc>
        <w:tc>
          <w:tcPr>
            <w:tcW w:w="0" w:type="auto"/>
          </w:tcPr>
          <w:p w14:paraId="12D0A221" w14:textId="77777777" w:rsidR="005D3DB2" w:rsidRDefault="00000000">
            <w:pPr>
              <w:pStyle w:val="Compact"/>
            </w:pPr>
            <w:r>
              <w:t>3</w:t>
            </w:r>
          </w:p>
        </w:tc>
        <w:tc>
          <w:tcPr>
            <w:tcW w:w="0" w:type="auto"/>
          </w:tcPr>
          <w:p w14:paraId="68E875A5" w14:textId="77777777" w:rsidR="005D3DB2" w:rsidRDefault="00000000">
            <w:pPr>
              <w:pStyle w:val="Compact"/>
            </w:pPr>
            <w:r>
              <w:t>Journal of Economic and Banking Studies; ISSN 2734-9853</w:t>
            </w:r>
          </w:p>
        </w:tc>
        <w:tc>
          <w:tcPr>
            <w:tcW w:w="0" w:type="auto"/>
          </w:tcPr>
          <w:p w14:paraId="38F63AD8" w14:textId="77777777" w:rsidR="005D3DB2" w:rsidRDefault="00000000">
            <w:pPr>
              <w:pStyle w:val="Compact"/>
            </w:pPr>
            <w:r>
              <w:t>Đang sửa vòng 1 (mã JEBS.1563)</w:t>
            </w:r>
          </w:p>
        </w:tc>
        <w:tc>
          <w:tcPr>
            <w:tcW w:w="0" w:type="auto"/>
          </w:tcPr>
          <w:p w14:paraId="593C4CA1" w14:textId="77777777" w:rsidR="005D3DB2" w:rsidRDefault="00000000">
            <w:pPr>
              <w:pStyle w:val="Compact"/>
            </w:pPr>
            <w:r>
              <w:t>Không</w:t>
            </w:r>
          </w:p>
        </w:tc>
      </w:tr>
      <w:tr w:rsidR="005D3DB2" w14:paraId="455EFBD7" w14:textId="77777777">
        <w:trPr>
          <w:cantSplit/>
        </w:trPr>
        <w:tc>
          <w:tcPr>
            <w:tcW w:w="0" w:type="auto"/>
          </w:tcPr>
          <w:p w14:paraId="3F7F0A83" w14:textId="77777777" w:rsidR="005D3DB2" w:rsidRDefault="00000000">
            <w:pPr>
              <w:pStyle w:val="Compact"/>
            </w:pPr>
            <w:r>
              <w:t>4</w:t>
            </w:r>
          </w:p>
        </w:tc>
        <w:tc>
          <w:tcPr>
            <w:tcW w:w="0" w:type="auto"/>
          </w:tcPr>
          <w:p w14:paraId="07C31D6F" w14:textId="77777777" w:rsidR="005D3DB2" w:rsidRDefault="00000000">
            <w:pPr>
              <w:pStyle w:val="Compact"/>
            </w:pPr>
            <w:r>
              <w:t>Corporate Brownwashing and Firm Valuation in ASEAN-5 Disclosure Regimes</w:t>
            </w:r>
          </w:p>
        </w:tc>
        <w:tc>
          <w:tcPr>
            <w:tcW w:w="0" w:type="auto"/>
          </w:tcPr>
          <w:p w14:paraId="634CD6A2" w14:textId="77777777" w:rsidR="005D3DB2" w:rsidRDefault="00000000">
            <w:pPr>
              <w:pStyle w:val="Compact"/>
            </w:pPr>
            <w:r>
              <w:t>2</w:t>
            </w:r>
          </w:p>
        </w:tc>
        <w:tc>
          <w:tcPr>
            <w:tcW w:w="0" w:type="auto"/>
          </w:tcPr>
          <w:p w14:paraId="15D2DE3E" w14:textId="77777777" w:rsidR="005D3DB2" w:rsidRDefault="00000000">
            <w:pPr>
              <w:pStyle w:val="Compact"/>
            </w:pPr>
            <w:r>
              <w:t>Cogent Business &amp; Management; ISSN 2331-1975; Scopus Q2</w:t>
            </w:r>
          </w:p>
        </w:tc>
        <w:tc>
          <w:tcPr>
            <w:tcW w:w="0" w:type="auto"/>
          </w:tcPr>
          <w:p w14:paraId="55A4BEBF" w14:textId="77777777" w:rsidR="005D3DB2" w:rsidRDefault="00000000">
            <w:pPr>
              <w:pStyle w:val="Compact"/>
            </w:pPr>
            <w:r>
              <w:t>Đang phản biện vòng 1 (mã 260865765)</w:t>
            </w:r>
          </w:p>
        </w:tc>
        <w:tc>
          <w:tcPr>
            <w:tcW w:w="0" w:type="auto"/>
          </w:tcPr>
          <w:p w14:paraId="2C369781" w14:textId="77777777" w:rsidR="005D3DB2" w:rsidRDefault="00000000">
            <w:pPr>
              <w:pStyle w:val="Compact"/>
            </w:pPr>
            <w:r>
              <w:t>Không</w:t>
            </w:r>
          </w:p>
        </w:tc>
      </w:tr>
      <w:tr w:rsidR="005D3DB2" w14:paraId="4E668E66" w14:textId="77777777">
        <w:trPr>
          <w:cantSplit/>
        </w:trPr>
        <w:tc>
          <w:tcPr>
            <w:tcW w:w="0" w:type="auto"/>
          </w:tcPr>
          <w:p w14:paraId="67F047FC" w14:textId="77777777" w:rsidR="005D3DB2" w:rsidRDefault="00000000">
            <w:pPr>
              <w:pStyle w:val="Compact"/>
            </w:pPr>
            <w:r>
              <w:t>5</w:t>
            </w:r>
          </w:p>
        </w:tc>
        <w:tc>
          <w:tcPr>
            <w:tcW w:w="0" w:type="auto"/>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0" w:type="auto"/>
          </w:tcPr>
          <w:p w14:paraId="7DD3169A" w14:textId="77777777" w:rsidR="005D3DB2" w:rsidRDefault="00000000">
            <w:pPr>
              <w:pStyle w:val="Compact"/>
            </w:pPr>
            <w:r>
              <w:t>6</w:t>
            </w:r>
          </w:p>
        </w:tc>
        <w:tc>
          <w:tcPr>
            <w:tcW w:w="0" w:type="auto"/>
          </w:tcPr>
          <w:p w14:paraId="26170363" w14:textId="77777777" w:rsidR="005D3DB2" w:rsidRDefault="00000000">
            <w:pPr>
              <w:pStyle w:val="Compact"/>
            </w:pPr>
            <w:r>
              <w:t>Asian Journal of Economics and Banking; ISSN 2615-9821</w:t>
            </w:r>
          </w:p>
        </w:tc>
        <w:tc>
          <w:tcPr>
            <w:tcW w:w="0" w:type="auto"/>
          </w:tcPr>
          <w:p w14:paraId="5BE9C6F4" w14:textId="77777777" w:rsidR="005D3DB2" w:rsidRDefault="00000000">
            <w:pPr>
              <w:pStyle w:val="Compact"/>
            </w:pPr>
            <w:r>
              <w:t>Chờ phân công phản biện (mã AJEB-08-2026-0208)</w:t>
            </w:r>
          </w:p>
        </w:tc>
        <w:tc>
          <w:tcPr>
            <w:tcW w:w="0" w:type="auto"/>
          </w:tcPr>
          <w:p w14:paraId="32825E40" w14:textId="77777777" w:rsidR="005D3DB2" w:rsidRDefault="00000000">
            <w:pPr>
              <w:pStyle w:val="Compact"/>
            </w:pPr>
            <w:r>
              <w:t xml:space="preserve">Có (chỉ báo thanh khoản, điểm gãy)</w:t>
            </w:r>
          </w:p>
        </w:tc>
      </w:tr>
      <w:tr w:rsidR="005D3DB2" w14:paraId="28605037" w14:textId="77777777">
        <w:trPr>
          <w:cantSplit/>
        </w:trPr>
        <w:tc>
          <w:tcPr>
            <w:tcW w:w="0" w:type="auto"/>
          </w:tcPr>
          <w:p w14:paraId="4F71AE07" w14:textId="77777777" w:rsidR="005D3DB2" w:rsidRDefault="00000000">
            <w:pPr>
              <w:pStyle w:val="Compact"/>
            </w:pPr>
            <w:r>
              <w:t>6</w:t>
            </w:r>
          </w:p>
        </w:tc>
        <w:tc>
          <w:tcPr>
            <w:tcW w:w="0" w:type="auto"/>
          </w:tcPr>
          <w:p w14:paraId="572E2D9D" w14:textId="77777777" w:rsidR="005D3DB2" w:rsidRDefault="00000000">
            <w:pPr>
              <w:pStyle w:val="Compact"/>
            </w:pPr>
            <w:r>
              <w:t>Nested equity index correlations overstate true co-movement: Evidence from Vietnam</w:t>
            </w:r>
          </w:p>
        </w:tc>
        <w:tc>
          <w:tcPr>
            <w:tcW w:w="0" w:type="auto"/>
          </w:tcPr>
          <w:p w14:paraId="2198CF88" w14:textId="77777777" w:rsidR="005D3DB2" w:rsidRDefault="00000000">
            <w:pPr>
              <w:pStyle w:val="Compact"/>
            </w:pPr>
            <w:r>
              <w:t>4</w:t>
            </w:r>
          </w:p>
        </w:tc>
        <w:tc>
          <w:tcPr>
            <w:tcW w:w="0" w:type="auto"/>
          </w:tcPr>
          <w:p w14:paraId="7E5E52AB" w14:textId="77777777" w:rsidR="005D3DB2" w:rsidRDefault="00000000">
            <w:pPr>
              <w:pStyle w:val="Compact"/>
            </w:pPr>
            <w:r>
              <w:t>Asia-Pacific Financial Markets; ISSN 1387-2834; Scopus Q2</w:t>
            </w:r>
          </w:p>
        </w:tc>
        <w:tc>
          <w:tcPr>
            <w:tcW w:w="0" w:type="auto"/>
          </w:tcPr>
          <w:p w14:paraId="03966828" w14:textId="77777777" w:rsidR="005D3DB2" w:rsidRDefault="00000000">
            <w:pPr>
              <w:pStyle w:val="Compact"/>
            </w:pPr>
            <w:r>
              <w:t>Ban biên tập đang xem xét (mã FEJM-D-26-00726)</w:t>
            </w:r>
          </w:p>
        </w:tc>
        <w:tc>
          <w:tcPr>
            <w:tcW w:w="0" w:type="auto"/>
          </w:tcPr>
          <w:p w14:paraId="3C266793" w14:textId="77777777" w:rsidR="005D3DB2" w:rsidRDefault="00000000">
            <w:pPr>
              <w:pStyle w:val="Compact"/>
            </w:pPr>
            <w:r>
              <w:t xml:space="preserve">Không</w:t>
            </w:r>
          </w:p>
        </w:tc>
      </w:tr>
      <w:tr w:rsidR="005D3DB2" w14:paraId="789C5D6A" w14:textId="77777777">
        <w:trPr>
          <w:cantSplit/>
        </w:trPr>
        <w:tc>
          <w:tcPr>
            <w:tcW w:w="0" w:type="auto"/>
          </w:tcPr>
          <w:p w14:paraId="11F21158" w14:textId="77777777" w:rsidR="005D3DB2" w:rsidRDefault="00000000">
            <w:pPr>
              <w:pStyle w:val="Compact"/>
            </w:pPr>
            <w:r>
              <w:t>7</w:t>
            </w:r>
          </w:p>
        </w:tc>
        <w:tc>
          <w:tcPr>
            <w:tcW w:w="0" w:type="auto"/>
          </w:tcPr>
          <w:p w14:paraId="0E901BC3" w14:textId="77777777" w:rsidR="005D3DB2" w:rsidRDefault="00000000">
            <w:pPr>
              <w:pStyle w:val="Compact"/>
            </w:pPr>
            <w:r>
              <w:t>Who gains from a market upgrade? Stock liquidity and prices around Vietnam’s FTSE Russell reclassification</w:t>
            </w:r>
          </w:p>
        </w:tc>
        <w:tc>
          <w:tcPr>
            <w:tcW w:w="0" w:type="auto"/>
          </w:tcPr>
          <w:p w14:paraId="4985C38F" w14:textId="77777777" w:rsidR="005D3DB2" w:rsidRDefault="00000000">
            <w:pPr>
              <w:pStyle w:val="Compact"/>
            </w:pPr>
            <w:r>
              <w:t>4</w:t>
            </w:r>
          </w:p>
        </w:tc>
        <w:tc>
          <w:tcPr>
            <w:tcW w:w="0" w:type="auto"/>
          </w:tcPr>
          <w:p w14:paraId="2BAC15E0" w14:textId="77777777" w:rsidR="005D3DB2" w:rsidRDefault="00000000">
            <w:pPr>
              <w:pStyle w:val="Compact"/>
            </w:pPr>
            <w:r>
              <w:t>Finance Research Open; ISSN 3050-7006</w:t>
            </w:r>
          </w:p>
        </w:tc>
        <w:tc>
          <w:tcPr>
            <w:tcW w:w="0" w:type="auto"/>
          </w:tcPr>
          <w:p w14:paraId="03CFEC73" w14:textId="77777777" w:rsidR="005D3DB2" w:rsidRDefault="00000000">
            <w:pPr>
              <w:pStyle w:val="Compact"/>
            </w:pPr>
            <w:r>
              <w:t>Ban biên tập đang xem xét (mã FINR-D-26-00823)</w:t>
            </w:r>
          </w:p>
        </w:tc>
        <w:tc>
          <w:tcPr>
            <w:tcW w:w="0" w:type="auto"/>
          </w:tcPr>
          <w:p w14:paraId="5AAEA27C" w14:textId="77777777" w:rsidR="005D3DB2" w:rsidRDefault="00000000">
            <w:pPr>
              <w:pStyle w:val="Compact"/>
            </w:pPr>
            <w:r>
              <w:t xml:space="preserve">Có (thanh khoản thị trường)</w:t>
            </w:r>
          </w:p>
        </w:tc>
      </w:tr>
      <w:tr w:rsidR="005D3DB2" w14:paraId="1C874A09" w14:textId="77777777">
        <w:trPr>
          <w:cantSplit/>
        </w:trPr>
        <w:tc>
          <w:tcPr>
            <w:tcW w:w="0" w:type="auto"/>
          </w:tcPr>
          <w:p w14:paraId="21B89AB4" w14:textId="77777777" w:rsidR="005D3DB2" w:rsidRDefault="00000000">
            <w:pPr>
              <w:pStyle w:val="Compact"/>
            </w:pPr>
            <w:r>
              <w:t>8</w:t>
            </w:r>
          </w:p>
        </w:tc>
        <w:tc>
          <w:tcPr>
            <w:tcW w:w="0" w:type="auto"/>
          </w:tcPr>
          <w:p w14:paraId="4213B425" w14:textId="77777777" w:rsidR="005D3DB2" w:rsidRDefault="00000000">
            <w:pPr>
              <w:pStyle w:val="Compact"/>
            </w:pPr>
            <w:r>
              <w:t>Rated at the peak? Firm valuation around the first LSEG ESG score in five Southeast Asian markets</w:t>
            </w:r>
          </w:p>
        </w:tc>
        <w:tc>
          <w:tcPr>
            <w:tcW w:w="0" w:type="auto"/>
          </w:tcPr>
          <w:p w14:paraId="08F2D798" w14:textId="77777777" w:rsidR="005D3DB2" w:rsidRDefault="00000000">
            <w:pPr>
              <w:pStyle w:val="Compact"/>
            </w:pPr>
            <w:r>
              <w:t>4</w:t>
            </w:r>
          </w:p>
        </w:tc>
        <w:tc>
          <w:tcPr>
            <w:tcW w:w="0" w:type="auto"/>
          </w:tcPr>
          <w:p w14:paraId="6745A820" w14:textId="77777777" w:rsidR="005D3DB2" w:rsidRDefault="00000000">
            <w:pPr>
              <w:pStyle w:val="Compact"/>
            </w:pPr>
            <w:r>
              <w:t>Sustainable Finance Review; ISSN 2977-7542</w:t>
            </w:r>
          </w:p>
        </w:tc>
        <w:tc>
          <w:tcPr>
            <w:tcW w:w="0" w:type="auto"/>
          </w:tcPr>
          <w:p w14:paraId="764FBF85" w14:textId="77777777" w:rsidR="005D3DB2" w:rsidRDefault="00000000">
            <w:pPr>
              <w:pStyle w:val="Compact"/>
            </w:pPr>
            <w:r>
              <w:t>Chờ xử lý tại tòa soạn (mã SFR-09-2026-0113)</w:t>
            </w:r>
          </w:p>
        </w:tc>
        <w:tc>
          <w:tcPr>
            <w:tcW w:w="0" w:type="auto"/>
          </w:tcPr>
          <w:p w14:paraId="6C7340BB" w14:textId="77777777" w:rsidR="005D3DB2" w:rsidRDefault="00000000">
            <w:pPr>
              <w:pStyle w:val="Compact"/>
            </w:pPr>
            <w:r>
              <w:t>Không</w:t>
            </w:r>
          </w:p>
        </w:tc>
      </w:tr>
      <w:tr w:rsidR="005D3DB2" w14:paraId="56719B6F" w14:textId="77777777">
        <w:trPr>
          <w:cantSplit/>
        </w:trPr>
        <w:tc>
          <w:tcPr>
            <w:tcW w:w="0" w:type="auto"/>
          </w:tcPr>
          <w:p w14:paraId="0D2FF7BD" w14:textId="77777777" w:rsidR="005D3DB2" w:rsidRDefault="00000000">
            <w:pPr>
              <w:pStyle w:val="Compact"/>
            </w:pPr>
            <w:r>
              <w:t>9</w:t>
            </w:r>
          </w:p>
        </w:tc>
        <w:tc>
          <w:tcPr>
            <w:tcW w:w="0" w:type="auto"/>
          </w:tcPr>
          <w:p w14:paraId="043FD78B" w14:textId="77777777" w:rsidR="005D3DB2" w:rsidRDefault="00000000">
            <w:pPr>
              <w:pStyle w:val="Compact"/>
            </w:pPr>
            <w:r>
              <w:t>Sales-based real earnings management and the cost of debt: Evidence from five ASEAN markets</w:t>
            </w:r>
          </w:p>
        </w:tc>
        <w:tc>
          <w:tcPr>
            <w:tcW w:w="0" w:type="auto"/>
          </w:tcPr>
          <w:p w14:paraId="203CA6B8" w14:textId="77777777" w:rsidR="005D3DB2" w:rsidRDefault="00000000">
            <w:pPr>
              <w:pStyle w:val="Compact"/>
            </w:pPr>
            <w:r>
              <w:t>5</w:t>
            </w:r>
          </w:p>
        </w:tc>
        <w:tc>
          <w:tcPr>
            <w:tcW w:w="0" w:type="auto"/>
          </w:tcPr>
          <w:p w14:paraId="51D4B5A9" w14:textId="77777777" w:rsidR="005D3DB2" w:rsidRDefault="00000000">
            <w:pPr>
              <w:pStyle w:val="Compact"/>
            </w:pPr>
            <w:r>
              <w:t>Accounting Open; ISSN 3050-5461</w:t>
            </w:r>
          </w:p>
        </w:tc>
        <w:tc>
          <w:tcPr>
            <w:tcW w:w="0" w:type="auto"/>
          </w:tcPr>
          <w:p w14:paraId="684A05E9" w14:textId="77777777" w:rsidR="005D3DB2" w:rsidRDefault="00000000">
            <w:pPr>
              <w:pStyle w:val="Compact"/>
            </w:pPr>
            <w:r>
              <w:t>Ban biên tập đang xem xét (mã ACCOP-D-26-00232)</w:t>
            </w:r>
          </w:p>
        </w:tc>
        <w:tc>
          <w:tcPr>
            <w:tcW w:w="0" w:type="auto"/>
          </w:tcPr>
          <w:p w14:paraId="7AD19C99" w14:textId="77777777" w:rsidR="005D3DB2" w:rsidRDefault="00000000">
            <w:pPr>
              <w:pStyle w:val="Compact"/>
            </w:pPr>
            <w:r>
              <w:t>Không</w:t>
            </w:r>
          </w:p>
        </w:tc>
      </w:tr>
    </w:tbl>
    <w:p w14:paraId="5F64C2EB" w14:textId="77777777" w:rsidR="005D3DB2" w:rsidRDefault="00000000">
      <w:pPr>
        <w:pStyle w:val="SourceNote"/>
      </w:pPr>
      <w:r>
        <w:t xml:space="preserve">Ghi chú: Thí sinh là tác giả liên hệ của </w:t>
      </w:r>
      <w:r>
        <w:t xml:space="preserve">cả chín bản thảo</w:t>
      </w:r>
      <w:r>
        <w:t xml:space="preserve">.</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 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07/2026. Về ngoại ngữ, thí sinh có </w:t>
      </w:r>
      <w:r>
        <w:t xml:space="preserve">chứng chỉ tiếng Anh Bậc 4 (VSTEP, Vietnamese Standardized Test of English Proficiency)</w:t>
      </w:r>
      <w:r>
        <w:t xml:space="preserve">,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 Bản thảo về thanh khoản cổ phiếu quanh đợt nâng hạng thị trường của FTSE Russell (bản thảo số 7 ở Bảng 7) cho thí sinh kinh nghiệm với nghiên cứu sự kiện trên thanh khoản cấp cổ phiếu, công cụ trực tiếp của H</w:t>
      </w:r>
      <w:r>
        <w:rPr>
          <w:vertAlign w:val="subscript"/>
        </w:rPr>
        <w:t xml:space="preserve">3</w:t>
      </w:r>
      <w:r>
        <w:t xml:space="preserve">. Bản thảo về điểm gãy cấu trúc của thanh khoản (bản thảo số 5) cho thí sinh kinh nghiệm với độ phi thanh khoản Amihud và phương pháp Bai-Perron. Bài báo Nguyen và Nguyen (2026a) cho thí sinh kinh nghiệm với mô hình Black-Litterman và phương pháp tính toán Bayes xấp xỉ, nền của mô hình M</w:t>
      </w:r>
      <w:r>
        <w:rPr>
          <w:vertAlign w:val="subscript"/>
        </w:rPr>
        <w:t xml:space="preserve">5</w:t>
      </w:r>
      <w:r>
        <w:t xml:space="preserve">. Bản thảo về mô hình Black-Litterman nghịch đảo kết hợp học máy phân cụm (bản thảo số 1) giúp thí sinh làm quen với việc so sánh nhiều mô hình danh mục trên cùng dữ liệu.</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 xml:space="preserve">Sau khi tốt nghiệp, thí sinh dự kiến làm nghiên cứu và giảng dạy tài chính tại trường đại học hoặc viện nghiên cứu, hoặc làm việc ở bộ phận dữ liệu và phân tích thị trường của sở giao dịch hay cơ quan quản lý. Ở cả hai hướng, thí sinh có thể duy trì Chỉ số chất lượng thị trường vốn cùng người dùng thực tế.</w:t>
      </w:r>
    </w:p>
    <w:p w14:paraId="03A74E3B" w14:textId="77777777" w:rsidR="005D3DB2" w:rsidRDefault="00000000">
      <w:pPr>
        <w:pStyle w:val="BodyText"/>
      </w:pPr>
      <w:r>
        <w:t xml:space="preserve">Về nghiên cứu, thí sinh dự kiến mở rộng đề tài theo ba hướng: mở rộng Chỉ số chất lượng thị trường vốn sang thị trường trái phiếu chính phủ và phái sinh do HNX vận hành; đánh giá tác động dài hạn của đợt hợp nhất khi có thêm dữ liệu; và so sánh vai trò của Hà Nội với các thủ đô khác trong khu vực.</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w:t>
      </w:r>
      <w:r>
        <w:t xml:space="preserve">“chính sách tài khóa, tài chính tiền tệ, phát triển thị trường tài chính, tái cấu trúc hệ thống ngân hàng, quản trị tài chính, quản trị ngân hàng”</w:t>
      </w:r>
      <w:r>
        <w:t xml:space="preserve"> trong danh mục của Nhà trường năm 2026; người hướng dẫn thứ hai là nhà khoa học ngoài Trường.</w:t>
      </w:r>
    </w:p>
    <w:p w14:paraId="3E69A737" w14:textId="77777777" w:rsidR="00F612F2" w:rsidRDefault="00F612F2" w:rsidP="00194512">
      <w:pPr>
        <w:pStyle w:val="FirstParagraph"/>
      </w:pPr>
      <w:r>
        <w:t xml:space="preserve">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w:t>
      </w:r>
      <w:r>
        <w:t xml:space="preserve">cấu trúc và chất lượng thị trường vốn mới nổi, nghiên cứu sự kiện trên thị trường và quyết định danh mục</w:t>
      </w:r>
      <w:r>
        <w:t xml:space="preserve">.</w:t>
      </w:r>
    </w:p>
    <w:p w14:paraId="26F0D74C" w14:textId="29A52359" w:rsidR="00F612F2" w:rsidRPr="00F612F2" w:rsidRDefault="00F612F2" w:rsidP="00194512">
      <w:pPr>
        <w:pStyle w:val="FirstParagraph"/>
      </w:pPr>
      <w:r>
        <w:t xml:space="preserve">Người hướng dẫn thứ hai (dự kiến): PGS.TS. Hà Hồng Hạnh, Trường Đại học Kinh tế Quốc dân. Người hướng dẫn hỗ trợ </w:t>
      </w:r>
      <w:r>
        <w:t xml:space="preserve">phần hàm ý chính sách và quản trị của đề tài</w:t>
      </w:r>
      <w:r>
        <w:t xml:space="preserve">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pPr>
        <w:pStyle w:val="Reference"/>
      </w:pPr>
      <w:r>
        <w:t xml:space="preserve">Bộ Tài chính (2023), Văn bản hợp nhất Thông tư số 57/2021/TT-BTC ngày 12/7/2021 và Thông tư số 69/2023/TT-BTC ngày 15/11/2023 quy định lộ trình sắp xếp lại thị trường giao dịch cổ phiếu, trái phiếu, chứng khoán phái sinh và các loại chứng khoán khác.</w:t>
      </w:r>
    </w:p>
    <w:p>
      <w:pPr>
        <w:pStyle w:val="Reference"/>
      </w:pPr>
      <w:r>
        <w:t xml:space="preserve">Bộ Tài chính (2025), Thông tư số 139/2025/TT-BTC ngày 30/12/2025 sửa đổi, bổ sung một số điều của Thông tư số 57/2021/TT-BTC được sửa đổi, bổ sung bởi Thông tư số 69/2023/TT-BTC.</w:t>
      </w:r>
    </w:p>
    <w:p w14:paraId="6DB249FB" w14:textId="77777777" w:rsidR="005D3DB2" w:rsidRDefault="00000000">
      <w:pPr>
        <w:pStyle w:val="Reference"/>
      </w:pPr>
      <w:r>
        <w:t xml:space="preserve">Nguyễn Thanh Bình, Nguyễn Văn Trung (2026b), “Tiền gửi không kỳ hạn, hiệu quả hoạt động và ổn định tài chính ngân hàng: Bằng chứng từ mô hình ngưỡng tại Việt Nam”, </w:t>
      </w:r>
      <w:r>
        <w:rPr>
          <w:i/>
          <w:iCs/>
        </w:rPr>
        <w:t>Tạp chí Kinh tế - Luật và Ngân hàng</w:t>
      </w:r>
      <w:r>
        <w:t>, 28(9), tr. 52–64, DOI: 10.59276/3030-4199/jelb.bav.895.</w:t>
      </w:r>
    </w:p>
    <w:p>
      <w:pPr>
        <w:pStyle w:val="Reference"/>
      </w:pPr>
      <w:r>
        <w:t xml:space="preserve">Quốc hội (2025), Nghị quyết số 222/2025/QH15 ngày 27/6/2025 về Trung tâm tài chính quốc tế tại Việt Nam.</w:t>
      </w:r>
    </w:p>
    <w:p>
      <w:pPr>
        <w:pStyle w:val="Reference"/>
      </w:pPr>
      <w:r>
        <w:t xml:space="preserve">Sở Giao dịch Chứng khoán Thành phố Hồ Chí Minh (2026), Quyết định ban hành Quy tắc tính toán và quản lý chỉ số VN-Index, ngày 29/9/2026 [CẦN BỔ SUNG số quyết định].</w:t>
      </w:r>
    </w:p>
    <w:p>
      <w:pPr>
        <w:pStyle w:val="Reference"/>
      </w:pPr>
      <w:r>
        <w:t xml:space="preserve">Thời báo Tài chính Việt Nam (2026), “Chốt thời điểm chuyển toàn bộ cổ phiếu niêm yết về HOSE”, https://thoibaotaichinhvietnam.vn/chot-thoi-diem-chuyen-toan-bo-co-phieu-niem-yet-ve-hose-204623.html.</w:t>
      </w:r>
    </w:p>
    <w:p>
      <w:pPr>
        <w:pStyle w:val="Reference"/>
      </w:pPr>
      <w:r>
        <w:t xml:space="preserve">Ủy ban nhân dân thành phố Hà Nội (2026), </w:t>
      </w:r>
      <w:r>
        <w:rPr>
          <w:i/>
          <w:iCs/>
        </w:rPr>
        <w:t xml:space="preserve">Quyết định số 1193/QĐ-UBND ngày 18/03/2026 công bố Danh mục các bài toán lớn của thành phố Hà Nội giai đoạn 2026–2030 (đợt 1)</w:t>
      </w:r>
      <w:r>
        <w:t xml:space="preserve">, Hà Nội [CẦN ĐỐI CHIẾU bản chính thức].</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Journal of Financial Markets</w:t>
      </w:r>
      <w:r>
        <w:t>, 5(1), pp. 31–56.</w:t>
      </w:r>
    </w:p>
    <w:p>
      <w:pPr>
        <w:pStyle w:val="Reference"/>
      </w:pPr>
      <w:r>
        <w:t xml:space="preserve">Amihud, Y., Mendelson, H., Lauterbach, B. (1997), “Market microstructure and securities values: Evidence from the Tel Aviv Stock Exchange”, </w:t>
      </w:r>
      <w:r>
        <w:rPr>
          <w:i/>
          <w:iCs/>
        </w:rPr>
        <w:t xml:space="preserve">Journal of Financial Economics</w:t>
      </w:r>
      <w:r>
        <w:t xml:space="preserve">, 45(3), pp. 365–390.</w:t>
      </w:r>
    </w:p>
    <w:p>
      <w:pPr>
        <w:pStyle w:val="Reference"/>
      </w:pPr>
      <w:r>
        <w:t xml:space="preserve">Bae, K.-H., Chan, K., Ng, A. (2004), “Investibility and return volatility”, </w:t>
      </w:r>
      <w:r>
        <w:rPr>
          <w:i/>
          <w:iCs/>
        </w:rPr>
        <w:t xml:space="preserve">Journal of Financial Economics</w:t>
      </w:r>
      <w:r>
        <w:t xml:space="preserve">, 71(2), pp. 239–263.</w:t>
      </w:r>
    </w:p>
    <w:p w14:paraId="63C4F7D7" w14:textId="77777777" w:rsidR="005D3DB2" w:rsidRDefault="00000000">
      <w:pPr>
        <w:pStyle w:val="Reference"/>
      </w:pPr>
      <w:r>
        <w:t xml:space="preserve">Bai, J., Perron, P. (1998), “Estimating and testing linear models with multiple structural changes”, </w:t>
      </w:r>
      <w:r>
        <w:rPr>
          <w:i/>
          <w:iCs/>
        </w:rPr>
        <w:t>Econometrica</w:t>
      </w:r>
      <w:r>
        <w:t>, 66(1), pp. 47–78.</w:t>
      </w:r>
    </w:p>
    <w:p>
      <w:pPr>
        <w:pStyle w:val="Reference"/>
      </w:pPr>
      <w:r>
        <w:t xml:space="preserve">Bekaert, G., Harvey, C. R., Lundblad, C. (2007), “Liquidity and expected returns: Lessons from emerging markets”, </w:t>
      </w:r>
      <w:r>
        <w:rPr>
          <w:i/>
          <w:iCs/>
        </w:rPr>
        <w:t xml:space="preserve">Review of Financial Studies</w:t>
      </w:r>
      <w:r>
        <w:t xml:space="preserve">, 20(6), pp. 1783–1831.</w:t>
      </w:r>
    </w:p>
    <w:p w14:paraId="50DA7DE5" w14:textId="77777777" w:rsidR="005D3DB2" w:rsidRDefault="00000000">
      <w:pPr>
        <w:pStyle w:val="Reference"/>
      </w:pPr>
      <w:r>
        <w:t xml:space="preserve">Bessler, W., Opfer, H., Wolff, D. (2017), “Multi-asset portfolio optimization and out-of-sample performance: An evaluation of Black-Litterman, mean-variance, and naïve diversification approaches”, </w:t>
      </w:r>
      <w:r>
        <w:rPr>
          <w:i/>
          <w:iCs/>
        </w:rPr>
        <w:t>European Journal of Finance</w:t>
      </w:r>
      <w:r>
        <w:t>, 23(1), pp. 1–30.</w:t>
      </w:r>
    </w:p>
    <w:p w14:paraId="691C8D36" w14:textId="77777777" w:rsidR="005D3DB2" w:rsidRDefault="00000000">
      <w:pPr>
        <w:pStyle w:val="Reference"/>
      </w:pPr>
      <w:r>
        <w:t xml:space="preserve">Black, F., Litterman, R. (1992), “Global portfolio optimization”, </w:t>
      </w:r>
      <w:r>
        <w:rPr>
          <w:i/>
          <w:iCs/>
        </w:rPr>
        <w:t>Financial Analysts Journal</w:t>
      </w:r>
      <w:r>
        <w:t>, 48(5), pp. 28–43.</w:t>
      </w:r>
    </w:p>
    <w:p>
      <w:pPr>
        <w:pStyle w:val="Reference"/>
      </w:pPr>
      <w:r>
        <w:t xml:space="preserve">Callaway, B., Sant’Anna, P. H. C. (2021), “Difference-in-differences with multiple time periods”, </w:t>
      </w:r>
      <w:r>
        <w:rPr>
          <w:i/>
          <w:iCs/>
        </w:rPr>
        <w:t xml:space="preserve">Journal of Econometrics</w:t>
      </w:r>
      <w:r>
        <w:t xml:space="preserve">, 225(2), pp. 200–230.</w:t>
      </w:r>
    </w:p>
    <w:p>
      <w:pPr>
        <w:pStyle w:val="Reference"/>
      </w:pPr>
      <w:r>
        <w:t xml:space="preserve">Cetorelli, N., Peristiani, S. (2013), “Prestigious stock exchanges: A network analysis of international financial centers”, </w:t>
      </w:r>
      <w:r>
        <w:rPr>
          <w:i/>
          <w:iCs/>
        </w:rPr>
        <w:t xml:space="preserve">Journal of Banking &amp; Finance</w:t>
      </w:r>
      <w:r>
        <w:t xml:space="preserve">, 37(5), pp. 1543–1551.</w:t>
      </w:r>
    </w:p>
    <w:p>
      <w:pPr>
        <w:pStyle w:val="Reference"/>
      </w:pPr>
      <w:r>
        <w:t xml:space="preserve">Chen, K., Chen, G. (2015), “The rise of international financial centers in mainland China”, </w:t>
      </w:r>
      <w:r>
        <w:rPr>
          <w:i/>
          <w:iCs/>
        </w:rPr>
        <w:t xml:space="preserve">Cities</w:t>
      </w:r>
      <w:r>
        <w:t xml:space="preserve">, 47, pp. 10–22.</w:t>
      </w:r>
    </w:p>
    <w:p>
      <w:pPr>
        <w:pStyle w:val="Reference"/>
      </w:pPr>
      <w:r>
        <w:t xml:space="preserve">Christie, W. G., Huang, R. D. (1994), “Market structures and liquidity: A transactions data study of exchange listings”, </w:t>
      </w:r>
      <w:r>
        <w:rPr>
          <w:i/>
          <w:iCs/>
        </w:rPr>
        <w:t xml:space="preserve">Journal of Financial Intermediation</w:t>
      </w:r>
      <w:r>
        <w:t xml:space="preserve">, 3(3), pp. 300–326.</w:t>
      </w:r>
    </w:p>
    <w:p>
      <w:pPr>
        <w:pStyle w:val="Reference"/>
      </w:pPr>
      <w:r>
        <w:t xml:space="preserve">Čihák, M., Demirgüç-Kunt, A., Feyen, E., Levine, R. (2012), “Benchmarking financial systems around the world”, </w:t>
      </w:r>
      <w:r>
        <w:rPr>
          <w:i/>
          <w:iCs/>
        </w:rPr>
        <w:t xml:space="preserve">Policy Research Working Paper</w:t>
      </w:r>
      <w:r>
        <w:t xml:space="preserve"> 6175, World Bank, Washington, DC.</w:t>
      </w:r>
    </w:p>
    <w:p>
      <w:pPr>
        <w:pStyle w:val="Reference"/>
      </w:pPr>
      <w:r>
        <w:t xml:space="preserve">Conley, T. G., Taber, C. R. (2011), “Inference with “difference in differences” with a small number of policy changes”, </w:t>
      </w:r>
      <w:r>
        <w:rPr>
          <w:i/>
          <w:iCs/>
        </w:rPr>
        <w:t xml:space="preserve">Review of Economics and Statistics</w:t>
      </w:r>
      <w:r>
        <w:t xml:space="preserve">, 93(1), pp. 113–125.</w:t>
      </w:r>
    </w:p>
    <w:p>
      <w:pPr>
        <w:pStyle w:val="Reference"/>
      </w:pPr>
      <w:r>
        <w:t xml:space="preserve">Corwin, S. A., Schultz, P. (2012), “A simple way to estimate bid-ask spreads from daily high and low prices”, </w:t>
      </w:r>
      <w:r>
        <w:rPr>
          <w:i/>
          <w:iCs/>
        </w:rPr>
        <w:t xml:space="preserve">Journal of Finance</w:t>
      </w:r>
      <w:r>
        <w:t xml:space="preserve">, 67(2), pp. 719–760.</w:t>
      </w:r>
    </w:p>
    <w:p w14:paraId="6BACEDDA" w14:textId="77777777" w:rsidR="005D3DB2" w:rsidRDefault="00000000">
      <w:pPr>
        <w:pStyle w:val="Reference"/>
      </w:pPr>
      <w:r>
        <w:t xml:space="preserve">Dao, V. H., Nguyen, T. M. H., Vu, T. D. (2021), “The impact of COVID-19 on stock market returns in Vietnam”, </w:t>
      </w:r>
      <w:r>
        <w:rPr>
          <w:i/>
          <w:iCs/>
        </w:rPr>
        <w:t>Journal of Risk and Financial Management</w:t>
      </w:r>
      <w:r>
        <w:t>, 14(9), Article 441, DOI: 10.3390/jrfm14090441.</w:t>
      </w:r>
    </w:p>
    <w:p w14:paraId="642DAD51" w14:textId="77777777" w:rsidR="005D3DB2" w:rsidRDefault="00000000">
      <w:pPr>
        <w:pStyle w:val="Reference"/>
      </w:pPr>
      <w:r>
        <w:t xml:space="preserve">DeMiguel, V., Garlappi, L., Uppal, R. (2009), “Optimal versus naive diversification: How inefficient is the 1/N portfolio strategy?”, </w:t>
      </w:r>
      <w:r>
        <w:rPr>
          <w:i/>
          <w:iCs/>
        </w:rPr>
        <w:t>Review of Financial Studies</w:t>
      </w:r>
      <w:r>
        <w:t>, 22(5), pp. 1915–1953.</w:t>
      </w:r>
    </w:p>
    <w:p>
      <w:pPr>
        <w:pStyle w:val="Reference"/>
      </w:pPr>
      <w:r>
        <w:t xml:space="preserve">Eichengreen, B., Shah, N. (2020), “The correlates of international financial-center status”, </w:t>
      </w:r>
      <w:r>
        <w:rPr>
          <w:i/>
          <w:iCs/>
        </w:rPr>
        <w:t xml:space="preserve">Review of International Economics</w:t>
      </w:r>
      <w:r>
        <w:t xml:space="preserve">, 28(1), pp. 62–81.</w:t>
      </w:r>
    </w:p>
    <w:p>
      <w:pPr>
        <w:pStyle w:val="Reference"/>
      </w:pPr>
      <w:r>
        <w:t xml:space="preserve">Elliott, D. J. (2011), </w:t>
      </w:r>
      <w:r>
        <w:rPr>
          <w:i/>
          <w:iCs/>
        </w:rPr>
        <w:t xml:space="preserve">Building a Global Financial Center in Shanghai: Observations from Other Centers</w:t>
      </w:r>
      <w:r>
        <w:t xml:space="preserve">, Brookings Institution, Washington, DC.</w:t>
      </w:r>
    </w:p>
    <w:p>
      <w:pPr>
        <w:pStyle w:val="Reference"/>
      </w:pPr>
      <w:r>
        <w:t xml:space="preserve">Fong, K. Y. L., Holden, C. W., Trzcinka, C. A. (2017), “What are the best liquidity proxies for global research?”, </w:t>
      </w:r>
      <w:r>
        <w:rPr>
          <w:i/>
          <w:iCs/>
        </w:rPr>
        <w:t xml:space="preserve">Review of Finance</w:t>
      </w:r>
      <w:r>
        <w:t xml:space="preserve">, 21(4), pp. 1355–1401.</w:t>
      </w:r>
    </w:p>
    <w:p w14:paraId="2B09AD08" w14:textId="77777777" w:rsidR="005D3DB2" w:rsidRDefault="00000000">
      <w:pPr>
        <w:pStyle w:val="Reference"/>
      </w:pPr>
      <w:r>
        <w:t xml:space="preserve">Garlappi, L., Uppal, R., Wang, T. (2007), “Portfolio selection with parameter and model uncertainty: A multi-prior approach”, </w:t>
      </w:r>
      <w:r>
        <w:rPr>
          <w:i/>
          <w:iCs/>
        </w:rPr>
        <w:t>Review of Financial Studies</w:t>
      </w:r>
      <w:r>
        <w:t>, 20(1), pp. 41–81.</w:t>
      </w:r>
    </w:p>
    <w:p>
      <w:pPr>
        <w:pStyle w:val="Reference"/>
      </w:pPr>
      <w:r>
        <w:t xml:space="preserve">Gehrig, T. (2000), “Cities and the geography of financial centers”, trong Huriot, J.-M., Thisse, J.-F. (Eds.), </w:t>
      </w:r>
      <w:r>
        <w:rPr>
          <w:i/>
          <w:iCs/>
        </w:rPr>
        <w:t xml:space="preserve">Economics of Cities: Theoretical Perspectives</w:t>
      </w:r>
      <w:r>
        <w:t xml:space="preserve">, Cambridge University Press, Cambridge [CẦN BỔ SUNG số trang].</w:t>
      </w:r>
    </w:p>
    <w:p w14:paraId="06E207A0" w14:textId="77777777" w:rsidR="005D3DB2" w:rsidRDefault="00000000">
      <w:pPr>
        <w:pStyle w:val="Reference"/>
      </w:pPr>
      <w:r>
        <w:t xml:space="preserve">Goutte, S., Le, H.-V., Liu, F., von Mettenheim, H.-J. (2025), “MCDA strategies for portfolio optimization: A case study on Vietnamese stock market dynamics”, </w:t>
      </w:r>
      <w:r>
        <w:rPr>
          <w:i/>
          <w:iCs/>
        </w:rPr>
        <w:t>Annals of Operations Research</w:t>
      </w:r>
      <w:r>
        <w:t>, 353(1), pp. 321–351.</w:t>
      </w:r>
    </w:p>
    <w:p>
      <w:pPr>
        <w:pStyle w:val="Reference"/>
      </w:pPr>
      <w:r>
        <w:t xml:space="preserve">Griffin, J. M., Kelly, P. J., Nardari, F. (2010), “Do market efficiency measures yield correct inferences? A comparison of developed and emerging markets”, </w:t>
      </w:r>
      <w:r>
        <w:rPr>
          <w:i/>
          <w:iCs/>
        </w:rPr>
        <w:t xml:space="preserve">Review of Financial Studies</w:t>
      </w:r>
      <w:r>
        <w:t xml:space="preserve">, 23(8), pp. 3225–3277.</w:t>
      </w:r>
    </w:p>
    <w:p w14:paraId="6685779C" w14:textId="77777777" w:rsidR="005D3DB2" w:rsidRDefault="00000000">
      <w:pPr>
        <w:pStyle w:val="Reference"/>
      </w:pPr>
      <w:r>
        <w:t xml:space="preserve">Hamilton, J. D. (1989), “A new approach to the economic analysis of nonstationary time series and the business cycle”, </w:t>
      </w:r>
      <w:r>
        <w:rPr>
          <w:i/>
          <w:iCs/>
        </w:rPr>
        <w:t>Econometrica</w:t>
      </w:r>
      <w:r>
        <w:t>, 57(2), pp. 357–384.</w:t>
      </w:r>
    </w:p>
    <w:p>
      <w:pPr>
        <w:pStyle w:val="Reference"/>
      </w:pPr>
      <w:r>
        <w:t xml:space="preserve">Hisada, T. (2018), “The effect of investor sentiment toward an exchange merger on liquidity”, </w:t>
      </w:r>
      <w:r>
        <w:rPr>
          <w:i/>
          <w:iCs/>
        </w:rPr>
        <w:t xml:space="preserve">International Journal of Economics and Financial Issues</w:t>
      </w:r>
      <w:r>
        <w:t xml:space="preserve">, 8(2), pp. 315–318.</w:t>
      </w:r>
    </w:p>
    <w:p w14:paraId="657A6141" w14:textId="77777777" w:rsidR="005D3DB2" w:rsidRDefault="00000000">
      <w:pPr>
        <w:pStyle w:val="Reference"/>
      </w:pPr>
      <w:r>
        <w:t>Hoang, V.-M. D., Luu, D. T. (2024), “Modelling volatility dynamics and identifying regime switching in a frontier stock market: The case of Vietnam”, SSRN Working Paper No. 4867203, đăng 25/06/2024, sửa 17/09/2025.</w:t>
      </w:r>
    </w:p>
    <w:p w14:paraId="35DFD03D" w14:textId="77777777" w:rsidR="005D3DB2" w:rsidRDefault="00000000">
      <w:pPr>
        <w:pStyle w:val="Reference"/>
      </w:pPr>
      <w:r>
        <w:t xml:space="preserve">Holm, S. (1979), “A simple sequentially rejective multiple test procedure”, </w:t>
      </w:r>
      <w:r>
        <w:rPr>
          <w:i/>
          <w:iCs/>
        </w:rPr>
        <w:t>Scandinavian Journal of Statistics</w:t>
      </w:r>
      <w:r>
        <w:t>, 6(2), pp. 65–70.</w:t>
      </w:r>
    </w:p>
    <w:p>
      <w:pPr>
        <w:pStyle w:val="Reference"/>
      </w:pPr>
      <w:r>
        <w:t xml:space="preserve">Hou, K., Moskowitz, T. J. (2005), “Market frictions, price delay, and the cross-section of expected returns”, </w:t>
      </w:r>
      <w:r>
        <w:rPr>
          <w:i/>
          <w:iCs/>
        </w:rPr>
        <w:t xml:space="preserve">Review of Financial Studies</w:t>
      </w:r>
      <w:r>
        <w:t xml:space="preserve">, 18(3), pp. 981–1020.</w:t>
      </w:r>
    </w:p>
    <w:p>
      <w:pPr>
        <w:pStyle w:val="Reference"/>
      </w:pPr>
      <w:r>
        <w:t xml:space="preserve">Huang, R. D., Stoll, H. R. (1996), “Dealer versus auction markets: A paired comparison of execution costs on NASDAQ and the NYSE”, </w:t>
      </w:r>
      <w:r>
        <w:rPr>
          <w:i/>
          <w:iCs/>
        </w:rPr>
        <w:t xml:space="preserve">Journal of Financial Economics</w:t>
      </w:r>
      <w:r>
        <w:t xml:space="preserve">, 41(3), pp. 313–357.</w:t>
      </w:r>
    </w:p>
    <w:p w14:paraId="6644927E" w14:textId="77777777" w:rsidR="005D3DB2" w:rsidRDefault="00000000">
      <w:pPr>
        <w:pStyle w:val="Reference"/>
      </w:pPr>
      <w:r>
        <w:t xml:space="preserve">International Monetary Fund (2023), </w:t>
      </w:r>
      <w:r>
        <w:rPr>
          <w:i/>
          <w:iCs/>
        </w:rPr>
        <w:t>Vietnam: 2023 Article IV Consultation</w:t>
      </w:r>
      <w:r>
        <w:t>, IMF Country Report No. 23/338, Washington, DC, https://www.elibrary.imf.org/view/journals/002/2023/338/article-A001-en.xml (truy cập 30/09/2026).</w:t>
      </w:r>
    </w:p>
    <w:p w14:paraId="08FEDC51" w14:textId="77777777" w:rsidR="005D3DB2" w:rsidRDefault="00000000">
      <w:pPr>
        <w:pStyle w:val="Reference"/>
      </w:pPr>
      <w:r>
        <w:t xml:space="preserve">Kan, R., Zhou, G. (2007), “Optimal portfolio choice with parameter uncertainty”, </w:t>
      </w:r>
      <w:r>
        <w:rPr>
          <w:i/>
          <w:iCs/>
        </w:rPr>
        <w:t>Journal of Financial and Quantitative Analysis</w:t>
      </w:r>
      <w:r>
        <w:t>, 42(3), pp. 621–656.</w:t>
      </w:r>
    </w:p>
    <w:p>
      <w:pPr>
        <w:pStyle w:val="Reference"/>
      </w:pPr>
      <w:r>
        <w:t xml:space="preserve">Kaufmann, D., Kraay, A., Mastruzzi, M. (2011), “The Worldwide Governance Indicators: Methodology and analytical issues”, </w:t>
      </w:r>
      <w:r>
        <w:rPr>
          <w:i/>
          <w:iCs/>
        </w:rPr>
        <w:t xml:space="preserve">Hague Journal on the Rule of Law</w:t>
      </w:r>
      <w:r>
        <w:t xml:space="preserve">, 3(2), pp. 220–246.</w:t>
      </w:r>
    </w:p>
    <w:p>
      <w:pPr>
        <w:pStyle w:val="Reference"/>
      </w:pPr>
      <w:r>
        <w:t xml:space="preserve">Kindleberger, C. P. (1974), </w:t>
      </w:r>
      <w:r>
        <w:rPr>
          <w:i/>
          <w:iCs/>
        </w:rPr>
        <w:t xml:space="preserve">The Formation of Financial Centers: A Study in Comparative Economic History</w:t>
      </w:r>
      <w:r>
        <w:t xml:space="preserve">, Princeton Studies in International Finance No. 36, Princeton University, Princeton.</w:t>
      </w:r>
    </w:p>
    <w:p w14:paraId="012396B6" w14:textId="77777777" w:rsidR="005D3DB2" w:rsidRDefault="00000000">
      <w:pPr>
        <w:pStyle w:val="Reference"/>
      </w:pPr>
      <w:r>
        <w:t xml:space="preserve">Kritzman, M., Page, S., Turkington, D. (2012), “Regime shifts: Implications for dynamic strategies”, </w:t>
      </w:r>
      <w:r>
        <w:rPr>
          <w:i/>
          <w:iCs/>
        </w:rPr>
        <w:t>Financial Analysts Journal</w:t>
      </w:r>
      <w:r>
        <w:t>, 68(3), pp. 22–39.</w:t>
      </w:r>
    </w:p>
    <w:p>
      <w:pPr>
        <w:pStyle w:val="Reference"/>
      </w:pPr>
      <w:r>
        <w:t xml:space="preserve">Lai, K. P. Y. (2012), “Differentiated markets: Shanghai, Beijing and Hong Kong in China’s financial centre network”, </w:t>
      </w:r>
      <w:r>
        <w:rPr>
          <w:i/>
          <w:iCs/>
        </w:rPr>
        <w:t xml:space="preserve">Urban Studies</w:t>
      </w:r>
      <w:r>
        <w:t xml:space="preserve">, 49(6), pp. 1275–1296.</w:t>
      </w:r>
    </w:p>
    <w:p>
      <w:pPr>
        <w:pStyle w:val="Reference"/>
      </w:pPr>
      <w:r>
        <w:t xml:space="preserve">Lang, M., Lins, K. V., Maffett, M. (2012), “Transparency, liquidity, and valuation: International evidence on when transparency matters most”, </w:t>
      </w:r>
      <w:r>
        <w:rPr>
          <w:i/>
          <w:iCs/>
        </w:rPr>
        <w:t xml:space="preserve">Journal of Accounting Research</w:t>
      </w:r>
      <w:r>
        <w:t xml:space="preserve">, 50(3), pp. 729–774.</w:t>
      </w:r>
    </w:p>
    <w:p w14:paraId="7E0E3FB7" w14:textId="77777777" w:rsidR="005D3DB2" w:rsidRDefault="00000000">
      <w:pPr>
        <w:pStyle w:val="Reference"/>
      </w:pPr>
      <w:r>
        <w:t xml:space="preserve">Ledoit, O., Wolf, M. (2004), “A well-conditioned estimator for large-dimensional covariance matrices”, </w:t>
      </w:r>
      <w:r>
        <w:rPr>
          <w:i/>
          <w:iCs/>
        </w:rPr>
        <w:t>Journal of Multivariate Analysis</w:t>
      </w:r>
      <w:r>
        <w:t>, 88(2), pp. 365–411.</w:t>
      </w:r>
    </w:p>
    <w:p w14:paraId="03AF3DA1" w14:textId="77777777" w:rsidR="005D3DB2" w:rsidRDefault="00000000">
      <w:pPr>
        <w:pStyle w:val="Reference"/>
      </w:pPr>
      <w:r>
        <w:t xml:space="preserve">Ledoit, O., Wolf, M. (2008), “Robust performance hypothesis testing with the Sharpe ratio”, </w:t>
      </w:r>
      <w:r>
        <w:rPr>
          <w:i/>
          <w:iCs/>
        </w:rPr>
        <w:t>Journal of Empirical Finance</w:t>
      </w:r>
      <w:r>
        <w:t>, 15(5), pp. 850–859.</w:t>
      </w:r>
    </w:p>
    <w:p>
      <w:pPr>
        <w:pStyle w:val="Reference"/>
      </w:pPr>
      <w:r>
        <w:t xml:space="preserve">Lesmond, D. A. (2005), “Liquidity of emerging markets”, </w:t>
      </w:r>
      <w:r>
        <w:rPr>
          <w:i/>
          <w:iCs/>
        </w:rPr>
        <w:t xml:space="preserve">Journal of Financial Economics</w:t>
      </w:r>
      <w:r>
        <w:t xml:space="preserve">, 77(2), pp. 411–452.</w:t>
      </w:r>
    </w:p>
    <w:p>
      <w:pPr>
        <w:pStyle w:val="Reference"/>
      </w:pPr>
      <w:r>
        <w:t xml:space="preserve">Lesmond, D. A., Ogden, J. P., Trzcinka, C. A. (1999), “A new estimate of transaction costs”, </w:t>
      </w:r>
      <w:r>
        <w:rPr>
          <w:i/>
          <w:iCs/>
        </w:rPr>
        <w:t xml:space="preserve">Review of Financial Studies</w:t>
      </w:r>
      <w:r>
        <w:t xml:space="preserve">, 12(5), pp. 1113–1141.</w:t>
      </w:r>
    </w:p>
    <w:p>
      <w:pPr>
        <w:pStyle w:val="Reference"/>
      </w:pPr>
      <w:r>
        <w:t xml:space="preserve">Lo, A. W., MacKinlay, A. C. (1988), “Stock market prices do not follow random walks: Evidence from a simple specification test”, </w:t>
      </w:r>
      <w:r>
        <w:rPr>
          <w:i/>
          <w:iCs/>
        </w:rPr>
        <w:t xml:space="preserve">Review of Financial Studies</w:t>
      </w:r>
      <w:r>
        <w:t xml:space="preserve">, 1(1), pp. 41–66.</w:t>
      </w:r>
    </w:p>
    <w:p w14:paraId="25400127" w14:textId="77777777" w:rsidR="005D3DB2" w:rsidRDefault="00000000">
      <w:pPr>
        <w:pStyle w:val="Reference"/>
      </w:pPr>
      <w:r>
        <w:t xml:space="preserve">Markowitz, H. (1952), “Portfolio selection”, </w:t>
      </w:r>
      <w:r>
        <w:rPr>
          <w:i/>
          <w:iCs/>
        </w:rPr>
        <w:t>Journal of Finance</w:t>
      </w:r>
      <w:r>
        <w:t>, 7(1), pp. 77–91.</w:t>
      </w:r>
    </w:p>
    <w:p w14:paraId="237905A5" w14:textId="77777777" w:rsidR="005D3DB2" w:rsidRDefault="00000000">
      <w:pPr>
        <w:pStyle w:val="Reference"/>
      </w:pPr>
      <w:r>
        <w:t xml:space="preserve">Michaud, R. O. (1989), “The Markowitz optimization enigma: Is ‘optimized’ optimal?”, </w:t>
      </w:r>
      <w:r>
        <w:rPr>
          <w:i/>
          <w:iCs/>
        </w:rPr>
        <w:t>Financial Analysts Journal</w:t>
      </w:r>
      <w:r>
        <w:t>, 45(1), pp. 31–42.</w:t>
      </w:r>
    </w:p>
    <w:p>
      <w:pPr>
        <w:pStyle w:val="Reference"/>
      </w:pPr>
      <w:r>
        <w:t xml:space="preserve">Moosa, I., Li, L., Jiang, R. (2016), “Determinants of the status of an international financial centre”, </w:t>
      </w:r>
      <w:r>
        <w:rPr>
          <w:i/>
          <w:iCs/>
        </w:rPr>
        <w:t xml:space="preserve">The World Economy</w:t>
      </w:r>
      <w:r>
        <w:t xml:space="preserve">, 39(12), pp. 2074–2096.</w:t>
      </w:r>
    </w:p>
    <w:p>
      <w:pPr>
        <w:pStyle w:val="Reference"/>
      </w:pPr>
      <w:r>
        <w:t xml:space="preserve">Naeem, M. M. F. (2023), </w:t>
      </w:r>
      <w:r>
        <w:rPr>
          <w:i/>
          <w:iCs/>
        </w:rPr>
        <w:t xml:space="preserve">What makes an International Financial Centre (IFC) Competitive?</w:t>
      </w:r>
      <w:r>
        <w:t xml:space="preserve">, Luận án tiến sĩ, Durham University, https://etheses.durham.ac.uk/id/eprint/15102/.</w:t>
      </w:r>
    </w:p>
    <w:p w14:paraId="74DA4190" w14:textId="77777777" w:rsidR="005D3DB2" w:rsidRDefault="00000000">
      <w:pPr>
        <w:pStyle w:val="Reference"/>
      </w:pPr>
      <w:r>
        <w:t xml:space="preserve">Nguyen, N., Nguyen, T., Tran, T., Mai, A. (2020), “Shrinkage model selection for portfolio optimization on Vietnam stock market”, </w:t>
      </w:r>
      <w:r>
        <w:rPr>
          <w:i/>
          <w:iCs/>
        </w:rPr>
        <w:t>Journal of Asian Finance, Economics and Business</w:t>
      </w:r>
      <w:r>
        <w:t>, 7(9), pp. 135–145.</w:t>
      </w:r>
    </w:p>
    <w:p w14:paraId="74121B1C" w14:textId="77777777" w:rsidR="005D3DB2" w:rsidRDefault="00000000">
      <w:pPr>
        <w:pStyle w:val="Reference"/>
      </w:pPr>
      <w:r>
        <w:t xml:space="preserve">Nguyen, T. B., Nguyen, V. T. (2026a), “Black-Litterman portfolio optimization using regime switching CAPM and ABC-MCMC: Empirical evidence from the Vietnamese stock market period 2019 - 2025”, </w:t>
      </w:r>
      <w:r>
        <w:rPr>
          <w:i/>
          <w:iCs/>
        </w:rPr>
        <w:t>Tạp chí Nghiên cứu Chính sách và Phát triển (Journal of Policy and Development Research)</w:t>
      </w:r>
      <w:r>
        <w:t>, 3(1), pp. 81–99, DOI: 10.63640/3030-4091/jpd.apd.194.</w:t>
      </w:r>
    </w:p>
    <w:p>
      <w:pPr>
        <w:pStyle w:val="Reference"/>
      </w:pPr>
      <w:r>
        <w:t xml:space="preserve">Nielsson, U. (2009), “Stock exchange merger and liquidity: The case of Euronext”, </w:t>
      </w:r>
      <w:r>
        <w:rPr>
          <w:i/>
          <w:iCs/>
        </w:rPr>
        <w:t xml:space="preserve">Journal of Financial Markets</w:t>
      </w:r>
      <w:r>
        <w:t xml:space="preserve">, 12(2), pp. 229–267.</w:t>
      </w:r>
    </w:p>
    <w:p>
      <w:pPr>
        <w:pStyle w:val="Reference"/>
      </w:pPr>
      <w:r>
        <w:t xml:space="preserve">OECD (2008), </w:t>
      </w:r>
      <w:r>
        <w:rPr>
          <w:i/>
          <w:iCs/>
        </w:rPr>
        <w:t xml:space="preserve">Handbook on Constructing Composite Indicators: Methodology and User Guide</w:t>
      </w:r>
      <w:r>
        <w:t xml:space="preserve">, OECD Publishing, Paris.</w:t>
      </w:r>
    </w:p>
    <w:p w14:paraId="75A6ED4A" w14:textId="77777777" w:rsidR="005D3DB2" w:rsidRDefault="00000000">
      <w:pPr>
        <w:pStyle w:val="Reference"/>
      </w:pPr>
      <w:r>
        <w:t xml:space="preserve">Pflug, G. C., Pichler, A., Wozabal, D. (2012), “The 1/N investment strategy is optimal under high model ambiguity”, </w:t>
      </w:r>
      <w:r>
        <w:rPr>
          <w:i/>
          <w:iCs/>
        </w:rPr>
        <w:t>Journal of Banking &amp; Finance</w:t>
      </w:r>
      <w:r>
        <w:t>, 36(2), pp. 410–417.</w:t>
      </w:r>
    </w:p>
    <w:p w14:paraId="1FEA3449" w14:textId="77777777" w:rsidR="005D3DB2" w:rsidRDefault="00000000">
      <w:pPr>
        <w:pStyle w:val="Reference"/>
      </w:pPr>
      <w:r>
        <w:t xml:space="preserve">Politis, D. N., Romano, J. P. (1994), “The stationary bootstrap”, </w:t>
      </w:r>
      <w:r>
        <w:rPr>
          <w:i/>
          <w:iCs/>
        </w:rPr>
        <w:t>Journal of the American Statistical Association</w:t>
      </w:r>
      <w:r>
        <w:t>, 89(428), pp. 1303–1313.</w:t>
      </w:r>
    </w:p>
    <w:p>
      <w:pPr>
        <w:pStyle w:val="Reference"/>
      </w:pPr>
      <w:r>
        <w:t xml:space="preserve">Rambachan, A., Roth, J. (2023), “A more credible approach to parallel trends”, </w:t>
      </w:r>
      <w:r>
        <w:rPr>
          <w:i/>
          <w:iCs/>
        </w:rPr>
        <w:t xml:space="preserve">Review of Economic Studies</w:t>
      </w:r>
      <w:r>
        <w:t xml:space="preserve">, 90(5), pp. 2555–2591.</w:t>
      </w:r>
    </w:p>
    <w:p w14:paraId="3C6B5147" w14:textId="77777777" w:rsidR="005D3DB2" w:rsidRDefault="00000000">
      <w:pPr>
        <w:pStyle w:val="Reference"/>
      </w:pPr>
      <w:r>
        <w:t xml:space="preserve">Ta, B. Q., Vuong, T. (2020), “The Black-Litterman model for portfolio optimization on Vietnam stock market”, </w:t>
      </w:r>
      <w:r>
        <w:rPr>
          <w:i/>
          <w:iCs/>
        </w:rPr>
        <w:t>International Journal of Uncertainty, Fuzziness and Knowledge-Based Systems</w:t>
      </w:r>
      <w:r>
        <w:t>, 28(Supp01), pp. 99–111.</w:t>
      </w:r>
    </w:p>
    <w:p>
      <w:pPr>
        <w:pStyle w:val="Reference"/>
      </w:pPr>
      <w:r>
        <w:t xml:space="preserve">VietnamPlus (2026a), “Ho Chi Minh City jumps 17 places in Global Financial Centres Index”, https://en.vietnamplus.vn/ho-chi-minh-city-jumps-17-places-in-global-financial-centres-index-post352894.vnp.</w:t>
      </w:r>
    </w:p>
    <w:p>
      <w:pPr>
        <w:pStyle w:val="Reference"/>
      </w:pPr>
      <w:r>
        <w:t xml:space="preserve">VietnamPlus (2026b), “Vietnam International Financial Centre in Da Nang ranked 71st globally”, https://en.vietnamplus.vn/vietnam-international-financial-centre-in-da-nang-ranked-71st-globally-post352933.vnp.</w:t>
      </w:r>
    </w:p>
    <w:p w14:paraId="34825CEE" w14:textId="77777777" w:rsidR="005D3DB2" w:rsidRDefault="00000000">
      <w:pPr>
        <w:pStyle w:val="Reference"/>
      </w:pPr>
      <w:r>
        <w:t xml:space="preserve">Vo, X. V., Phan, D. B. A. (2017), “Further evidence on the herd behavior in Vietnam stock market”, </w:t>
      </w:r>
      <w:r>
        <w:rPr>
          <w:i/>
          <w:iCs/>
        </w:rPr>
        <w:t>Journal of Behavioral and Experimental Finance</w:t>
      </w:r>
      <w:r>
        <w:t>, 13, pp. 33–41.</w:t>
      </w:r>
    </w:p>
    <w:p w14:paraId="0833EDC2" w14:textId="77777777" w:rsidR="005D3DB2" w:rsidRDefault="00000000">
      <w:pPr>
        <w:pStyle w:val="Reference"/>
      </w:pPr>
      <w:r>
        <w:t xml:space="preserve">Vu, T. L., Luong, N. H., Nguyen, P. N. (2024), “Stock crash and how it spreads over the Vietnamese stock market”, </w:t>
      </w:r>
      <w:r>
        <w:rPr>
          <w:i/>
          <w:iCs/>
        </w:rPr>
        <w:t>VNU Journal of Economics and Business</w:t>
      </w:r>
      <w:r>
        <w:t>, 4(3), pp. 107–116, DOI: 10.57110/vnu-jeb.v4i3.339.</w:t>
      </w:r>
    </w:p>
    <w:p>
      <w:pPr>
        <w:pStyle w:val="Reference"/>
      </w:pPr>
      <w:r>
        <w:t xml:space="preserve">Wang, D. T., Zhao, S. X., Wang, D. (2007), “‘Information hinterland’: A base for financial centre development. The case of Beijing versus Shanghai in China”, </w:t>
      </w:r>
      <w:r>
        <w:rPr>
          <w:i/>
          <w:iCs/>
        </w:rPr>
        <w:t xml:space="preserve">Tijdschrift voor Economische en Sociale Geografie</w:t>
      </w:r>
      <w:r>
        <w:t xml:space="preserve">, 98(1), pp. 102–120.</w:t>
      </w:r>
    </w:p>
    <w:p>
      <w:pPr>
        <w:pStyle w:val="Reference"/>
      </w:pPr>
      <w:r>
        <w:t xml:space="preserve">Wójcik, D. (2007), “Geography and the future of stock exchanges: Between real and virtual space”, </w:t>
      </w:r>
      <w:r>
        <w:rPr>
          <w:i/>
          <w:iCs/>
        </w:rPr>
        <w:t xml:space="preserve">Growth and Change</w:t>
      </w:r>
      <w:r>
        <w:t xml:space="preserve">, 38(2), pp. 200–223.</w:t>
      </w:r>
    </w:p>
    <w:p>
      <w:pPr>
        <w:pStyle w:val="Reference"/>
      </w:pPr>
      <w:r>
        <w:t xml:space="preserve">Yao, J.-M. (2012), </w:t>
      </w:r>
      <w:r>
        <w:rPr>
          <w:i/>
          <w:iCs/>
        </w:rPr>
        <w:t xml:space="preserve">Compétitivité et attractivité des places financières internationales: Application à l’industrie des fonds d’investissement au Luxembourg</w:t>
      </w:r>
      <w:r>
        <w:t xml:space="preserve">, Luận án tiến sĩ Kinh tế học, Université de Strasbourg, Strasbourg.</w:t>
      </w:r>
    </w:p>
    <w:p w14:paraId="4B34D00B" w14:textId="77777777" w:rsidR="005D3DB2" w:rsidRDefault="005D3DB2">
      <w:pPr>
        <w:spacing w:after="240"/>
        <w:jc w:val="center"/>
      </w:pPr>
    </w:p>
    <w:p w14:paraId="441E020C" w14:textId="77777777" w:rsidR="005D3DB2" w:rsidRDefault="00000000">
      <w:pPr>
        <w:spacing w:after="60"/>
        <w:jc w:val="right"/>
      </w:pPr>
      <w:r>
        <w:rPr>
          <w:i/>
          <w:iCs/>
        </w:rPr>
        <w:t>Hà Nội, ngày 30 tháng 9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85" w:type="dxa"/>
        <w:bottom w:w="28" w:type="dxa"/>
        <w:right w:w="85" w:type="dxa"/>
      </w:tblCellMar>
    </w:tblPr>
    <w:tblStylePr w:type="firstRow">
      <w:rPr>
        <w:b/>
        <w:bCs/>
      </w:r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Điểm GFCI, dữ liệu Ngân hàng Thế giới</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Giá, khối lượng, công bố của ba sàn</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Chỉ số chất lượng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Thanh khoản, hiệu quả, minh bạch</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Trước hợp nhất, HNX so với HOSE: H2</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Bằng chứng quốc tế</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Hồi quy dữ liệu bảng điểm GFCI</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Kiểm định H1</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Sự kiện chuyển sàn</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Khác biệt kép quanh 28/12/2026: H3</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Khả năng đầu tư trước và sau: H4 (ước lượng)</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Hàm ý cho Hà Nội</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Tổng hợp định hướng chuyên môn hóa</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Đề xuất chính sách, hạ tầng dữ liệu</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Điểm GFCI, dữ liệu Ngân hàng Thế giới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khối lượng, công bố của ba sàn</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Thanh khoản, hiệu quả, minh bạch</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Trước hợp nhất, HNX so với HOSE: H2</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Chỉ số chất lượng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dữ liệu bảng điểm GFCI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Kiểm định H1</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Bằng chứng quốc tế</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Khác biệt kép quanh 28/12/2026: H3</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Khả năng đầu tư trước và sau: H4 (ước lượng)</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Sự kiện chuyển sàn</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Tổng hợp định hướng chuyên môn hóa</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Đề xuất chính sách, hạ tầng dữ liệu</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Hàm ý cho Hà Nội</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