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w:t>
      </w:r>
      <w:r>
        <w:rPr>
          <w:b/>
          <w:bCs/>
        </w:rPr>
        <w:t xml:space="preserve">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w:t>
      </w:r>
      <w:r>
        <w:t xml:space="preserve">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w:t>
        </w:r>
        <w:r>
          <w:rPr>
            <w:rStyle w:val="Hyperlink"/>
            <w:noProof/>
          </w:rPr>
          <w:t xml:space="preserve">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w:t>
        </w:r>
        <w:r>
          <w:rPr>
            <w:rStyle w:val="Hyperlink"/>
            <w:noProof/>
          </w:rPr>
          <w:t xml:space="preserve">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w:t>
        </w:r>
        <w:r>
          <w:rPr>
            <w:rStyle w:val="Hyperlink"/>
            <w:noProof/>
          </w:rPr>
          <w:t xml:space="preserve">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w:t>
        </w:r>
        <w:r>
          <w:rPr>
            <w:rStyle w:val="Hyperlink"/>
            <w:noProof/>
          </w:rPr>
          <w:t xml:space="preserve">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w:t>
        </w:r>
        <w:r>
          <w:rPr>
            <w:rStyle w:val="Hyperlink"/>
            <w:noProof/>
          </w:rPr>
          <w:t xml:space="preserve">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Bảng 7. Bản thảo đã gửi tạp chí, chưa công bố tại ngày 30/09/2026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w:t>
        </w:r>
        <w:r>
          <w:rPr>
            <w:rStyle w:val="Hyperlink"/>
            <w:noProof/>
          </w:rPr>
          <w:t xml:space="preserve">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w:t>
        </w:r>
        <w:r>
          <w:rPr>
            <w:rStyle w:val="Hyperlink"/>
            <w:noProof/>
          </w:rPr>
          <w:t xml:space="preserve">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CS: rổ cổ phiếu chuyển sàn</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GFCI: Chỉ số Trung tâm Tài chính Toàn cầu (Global Financial Centres Index)</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 rổ cổ phiếu HOSE được ghép với rổ CS</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HNX: Sở Giao dịch Chứng khoán Hà Nội</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HOSE: Sở Giao dịch Chứng khoán Thành phố Hồ Chí Minh</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MQI: Chỉ số chất lượng thị trường vốn (Market Quality Index)</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OSF: Open Science Framework</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SMD: chỉ báo phát triển thị trường cổ phiếu (Stock Market Development)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UPCoM: thị trường giao dịch cổ phiếu của công ty đại chúng chưa niêm yết</w:t>
      </w:r>
    </w:p>
    <w:p>
      <w:pPr>
        <w:pStyle w:val="TableofFigures"/>
        <w:rPr>
          <w:rFonts w:asciiTheme="minorHAnsi" w:eastAsiaTheme="minorEastAsia" w:hAnsiTheme="minorHAnsi" w:cstheme="minorBidi"/>
          <w:noProof/>
          <w:kern w:val="2"/>
          <w:sz w:val="24"/>
          <w:szCs w:val="24"/>
          <w:lang w:val="en-US"/>
          <w14:ligatures w14:val="standardContextual"/>
        </w:rPr>
      </w:pPr>
      <w:r>
        <w:rPr>
          <w:rStyle w:val="Hyperlink"/>
          <w:noProof/>
        </w:rPr>
        <w:t xml:space="preserve">VNX: Sở Giao dịch Chứng khoán Việt Nam</w:t>
      </w:r>
    </w:p>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w:t>
      </w:r>
      <w:r>
        <w:t xml:space="preserve"> Danh mục bài toán lớn giai đoạn 2026–2030 dưới dạng bài toán số 19: “Phương thức nào để xây dựng Hà Nội thành trung tâm tài chính và dịch vụ chất lượng cao quốc tế?” </w:t>
      </w:r>
      <w:r>
        <w:t xml:space="preserve">(Ủy ban nhân dân thành phố Hà Nội, 2026, Phụ lục, bài toán số 19)</w:t>
      </w:r>
      <w:r>
        <w:t xml:space="preserve">. Trong các câu hỏi khoa học công nghệ chính của bài toán, câu hỏi thứ nhất hỏi mô hình trung tâm tài chính nào phù hợp với Hà Nội, và </w:t>
      </w:r>
      <w:r>
        <w:t xml:space="preserve">câu hỏi thứ ba hỏi những nền tảng công nghệ nào giúp tăng cường minh bạch và hiệu quả của thị trường tài chính.</w:t>
      </w:r>
      <w:r>
        <w:t xml:space="preserve"> Đề tài không đề xuất mô hình hay nền tảng công nghệ. Đề tài cung cấp thước đo nền cho hai câu hỏi này: chất lượng thị trường vốn của Hà Nội thay đổi thế nào khi cấu trúc sàn giao dịch thay đổi.</w:t>
      </w:r>
    </w:p>
    <w:p w14:paraId="2EA2BE63" w14:textId="77777777" w:rsidR="005D3DB2" w:rsidRDefault="00000000">
      <w:pPr>
        <w:pStyle w:val="BodyText"/>
      </w:pPr>
      <w:r>
        <w:t xml:space="preserve">Đề cương dùng năm khái niệm với nghĩa cố định. Năng lực cạnh tranh của trung tâm tài chính là khả năng giữ và thu hút các tổ chức tài chính và cung cấp dịch vụ đáp ứng nhu cầu trong nước và quốc tế (Yao, 2012); </w:t>
      </w:r>
      <w:r>
        <w:t xml:space="preserve">đề tài đo khái niệm này bằng điểm GFCI; Naeem (2023) dùng thứ hạng GFCI cho cùng mục đích.</w:t>
      </w:r>
      <w:r>
        <w:t xml:space="preserve">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đề tài đo khả năng đầu tư của các cổ phiếu chuyển sàn bằng một rổ cố định gồm những mã thanh khoản nhất của nhóm này. Khái niệm này khác với khả năng đầu tư theo nghĩa giới hạn sở hữu của nhà đầu tư nước ngoài (Bae và cộng sự, 2004). Hợp nhất sàn là việc chuyển toàn bộ cổ phiếu niêm yết từ Sở Giao dịch Chứng khoán Hà Nội (HNX) sang Sở Giao dịch Chứng khoán Thành phố Hồ Chí Minh (HOSE). </w:t>
      </w:r>
      <w:r>
        <w:t xml:space="preserve">Thị trường vốn Hà Nội là các thị trường do HNX tiếp tục vận hành sau hợp nhất: trái phiếu và chứng khoán phái sinh, cùng UPCoM trong thời gian UPCoM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còn Đà Nẵng lần đầu vào chỉ số ở vị trí 71 (VietnamPlus, 2026a, 2026b) [CẦN ĐỐI CHIẾU báo cáo gốc]; thí sinh chưa thấy Hà Nội trong bảng xếp hạng. </w:t>
      </w:r>
      <w:r>
        <w:t xml:space="preserve">Lộ trình sắp xếp lại thị trường được quy định từ Thông tư số 57/2021/TT-BTC, với mốc ban đầu là HNX ngừng nhận hồ sơ niêm yết cổ phiếu mới từ ngày 01/7/2023 và hoàn thành chuyển cổ phiếu niêm yết sang HOSE trong năm 2023; Thông tư số 69/2023/TT-BTC lùi hai mốc này thành ngày 01/7/2025 và hết năm 2025 (Bộ Tài chính, 2023).</w:t>
      </w:r>
      <w:r>
        <w:t xml:space="preserve"> Thông tư số 139/2025/TT-BTC ngày 30/12/2025 lùi hạn này đến hết ngày 31/12/2026 (Bộ Tài chính, 2025). Theo lịch do Sở Giao dịch Chứng khoán Việt Nam (VNX) công bố ngày 30/9/2026, cổ phiếu niêm yết tại HNX giao dịch phiên cuối ngày 23/12/2026 và giao dịch trên HOSE từ ngày 28/12/2026 (Thời báo Tài chính Việt Nam, 2026). </w:t>
      </w:r>
      <w:r>
        <w:t xml:space="preserve">Văn bản hợp nhất cũng quy định HNX hoàn thành việc chuyển cổ phiếu của tổ chức đăng ký giao dịch trên thị trường giao dịch cổ phiếu của công ty đại chúng chưa niêm yết (UPCoM) sang HOSE chậm nhất đến hết ngày 31/12/2026 (Bộ Tài chính, 2023); Thông tư số 139/2025/TT-BTC không sửa mốc này. Lịch chuyển UPCoM chưa được công bố tại thời điểm viết đề cương [CẦN XÁC MINH văn bản hoặc kế hoạch của VNX về UPCoM].</w:t>
      </w:r>
      <w:r>
        <w:t xml:space="preserve"> Sau hợp nhất, HNX giữ vai trò tổ chức thị trường trái phiếu và chứng khoán phái sinh (Bộ Tài chính, 2023).</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(Kindleberger, 1974; Gehrig, 2000). Khi một quốc gia có nhiều trung tâm, các trung tâm phân vai thay vì cạnh tranh trực diện. Lai (2012) cho thấy Thượng Hải phát triển thành trung tâm thương mại, Bắc Kinh thành trung tâm chính trị và quản lý, Hồng Kông thành trung tâm hải ngoại, và ba vai trò này bổ sung cho nhau. Wang và cộng sự (2007) giải thích lợi thế của Bắc Kinh bằng vùng thông tin chính sách mà thủ đô nắm giữ. Cặp Hà Nội và Thành phố Hồ Chí Minh có thể so sánh với cặp Bắc Kinh và Thượng Hải, </w:t>
      </w:r>
      <w:r>
        <w:t xml:space="preserve">dù Bắc Kinh từng là trung tâm tài chính lớn khi chưa có sở giao dịch chứng khoán (Naeem, 2023) và chỉ có sở giao dịch tầm quốc gia từ năm 2021 [CẦN XÁC MINH năm thành lập Sở Giao dịch Chứng khoán Bắc Kinh],</w:t>
      </w:r>
      <w:r>
        <w:t xml:space="preserve"> nên câu hỏi chuyên môn hóa (Yao, 2012) đặt ra cho Hà Nội sau đợt hợp nhất.</w:t>
      </w:r>
    </w:p>
    <w:p>
      <w:pPr>
        <w:pStyle w:val="BodyText"/>
      </w:pPr>
      <w:r>
        <w:t xml:space="preserve">Bằng chứng quốc tế cho thấy sàn giao dịch ảnh hưởng tới chất lượng giao dịch của cùng một cổ phiếu. </w:t>
      </w:r>
      <w:r>
        <w:t xml:space="preserve">Amihud và cộng sự (1997) nghiên cứu việc Sở Giao dịch Chứng khoán Tel Aviv chuyển dần cổ phiếu từ một phiên khớp lệnh định kỳ mỗi ngày sang cơ chế có thêm các phiên giao dịch liên tục, và thấy lợi suất bất thường tích lũy điều chỉnh theo thị trường đạt khoảng 5,5% trong giai đoạn từ năm ngày trước công bố đến 30 ngày sau khi cổ phiếu giao dịch theo cơ chế mới, đồng thời mức tăng thanh khoản đi cùng mức tăng giá.</w:t>
      </w:r>
      <w:r>
        <w:t xml:space="preserve"> Nielsson (2009) thấy việc hình thành Euronext làm thanh khoản tăng ở doanh nghiệp lớn và doanh nghiệp có doanh thu nước ngoài, nhưng không tăng ở doanh nghiệp nhỏ. Ngược lại, Hisada (2018) nghiên cứu việc chuyển cổ phiếu từ Sở Giao dịch Chứng khoán Osaka sang Sở Giao dịch Chứng khoán Tokyo ngày 16/7/2013 </w:t>
      </w:r>
      <w:r>
        <w:t xml:space="preserve">và thấy thanh khoản tăng trong ngắn hạn nhờ hiệu ứng cộng hưởng và tâm lý nhà đầu tư, trong đó hiệu ứng tâm lý mạnh hơn ở cổ phiếu nhỏ, rồi thanh khoản giảm sau một năm.</w:t>
      </w:r>
      <w:r>
        <w:t xml:space="preserve"> Đợt hợp nhất ở Việt Nam đổi sàn của khoảng 300 doanh nghiệp trong cùng một ngày [CẦN ĐỐI CHIẾU danh sách VNX]. Sự kiện này cho phép so sánh cùng các cổ phiếu trước và sau khi đổi sàn với một nhóm đối chứng. Với nhà đầu tư, tác động của sàn biểu hiện thành khả năng đầu tư, được đo trên bảy mô hình phân bổ vì không mô hình nào thắng ổn định (DeMiguel và cộng sự, 2009).</w:t>
      </w:r>
    </w:p>
    <w:p w14:paraId="019D1985" w14:textId="77777777" w:rsidR="005D3DB2" w:rsidRDefault="00000000">
      <w:pPr>
        <w:pStyle w:val="BodyText"/>
      </w:pPr>
      <w:r>
        <w:t xml:space="preserve">Tài liệu hiện có để ngỏ ba vấn đề. Thứ nhất, các nghiên cứu về yếu tố quyết định vị thế trung tâm tài chính xét nhiều nhóm yếu tố cùng lúc (Moosa và cộng sự, 2016; Eichengreen &amp; Shah, 2020); Naeem (2023) chọn 17 yếu tố bằng phương pháp cây quyết định và không có chỉ báo nào về thị trường cổ phiếu. Thứ hai, bằng chứng về hợp nhất sàn chủ yếu đến từ thị trường phát triển (Nielsson, 2009; Hisada, 2018), cho kết quả trái chiều theo quy mô doanh nghiệp, và chỉ đo thanh khoản. Thứ ba, các công trình về Việt Nam tập trung vào HOSE và VN-Index (Vo &amp; Phan, 2017; Hoang &amp; Luu, 2024; Goutte và cộng sự, 2025) và chưa có nghiên cứu nào về đợt hợp nhất năm 2026. Phạm vi tìm kiếm làm căn cứ cho các nhận định này được nêu ở cuối mục 4.2.</w:t>
      </w:r>
    </w:p>
    <w:p w14:paraId="02E8B3B9" w14:textId="77777777" w:rsidR="005D3DB2" w:rsidRDefault="00000000">
      <w:pPr>
        <w:pStyle w:val="BodyText"/>
      </w:pPr>
      <w:r>
        <w:rPr>
          <w:b/>
          <w:bCs/>
        </w:rPr>
        <w:t>Câu hỏi nghiên cứu.</w:t>
      </w:r>
      <w:r>
        <w:t xml:space="preserve"> Từ những vấn đề trên, </w:t>
      </w:r>
      <w:r>
        <w:t xml:space="preserve">đề tài đặt ra </w:t>
      </w:r>
      <w:r>
        <w:t xml:space="preserve">ba câu hỏi</w:t>
      </w:r>
      <w:r>
        <w:t xml:space="preserve">, mỗi câu gắn với câu hỏi chính của bài toán số 19:</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Mục tiêu nghiên cứu.</w:t>
      </w:r>
      <w:r>
        <w:t xml:space="preserve"> </w:t>
      </w:r>
      <w:r>
        <w:t xml:space="preserve">Mục tiêu tổng quát là đo khoảng cách chất lượng thị trường giữa hai sàn trước hợp nhất và lượng hóa tác động của việc chuyển sàn năm 2026 lên thanh khoản và khả năng đầu tư của các cổ phiếu chuyển sàn,</w:t>
      </w:r>
      <w:r>
        <w:t xml:space="preserve"> làm căn cứ cho định hướng chuyên môn hóa của thị trường vốn Hà Nội. Đề tài có bốn mục tiêu cụ thể. Mục tiêu (i) là ước lượng liên hệ giữa mức phát triển thị trường cổ phiếu và điểm GFCI trên dữ liệu bảng quốc tế. Mục tiêu (ii) là xây dựng Chỉ số chất lượng thị trường vốn theo tháng cho sàn niêm yết HNX, UPCoM và HOSE. Mục tiêu (iii) là ước lượng tác động của việc chuyển sàn lên thanh khoản và khả năng đầu tư. </w:t>
      </w:r>
      <w:r>
        <w:t xml:space="preserve">Mục tiêu (iv) là tổng hợp các kết quả thành định hướng chuyên môn hóa và hạ tầng dữ liệu cho thị trường vốn Hà Nội; mục tiêu này là tổng hợp định tính, không kiểm định giả thuyết.</w:t>
      </w:r>
    </w:p>
    <w:p w14:paraId="05CFA613" w14:textId="77777777" w:rsidR="005D3DB2" w:rsidRDefault="00000000">
      <w:pPr>
        <w:pStyle w:val="BodyText"/>
      </w:pPr>
      <w:r>
        <w:rPr/>
        <w:t xml:space="preserve">Đóng góp dự kiến. Đề tài khác các công trình gần nhất ở ba điểm. So với Yao (2012), Eichengreen và Shah (2020) và Naeem (2023), đề tài đặt riêng mức phát triển thị trường cổ phiếu vào mô hình điểm GFCI. So với Nielsson (2009) và Hisada (2018), đề tài nghiên cứu việc hợp nhất hai sàn trong cùng một quốc gia ở thị trường mới nổi, với suy luận phù hợp cho một sự kiện duy nhất, và ước lượng thêm tác động lên khả năng đầu tư. So với các công trình về Việt Nam (Vo &amp; Phan, 2017; Goutte và cộng sự, 2025; Nguyen &amp; Nguyen, 2026a),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đề tài dự kiến </w:t>
      </w:r>
      <w:r>
        <w:t xml:space="preserve">hai kết quả gắn với các sản phẩm mà bài toán số 19 nêu</w:t>
      </w:r>
      <w:r>
        <w:t xml:space="preserve"> và một thước đo dùng chung. Thứ nhất là Chỉ số chất lượng thị trường vốn, mã nguồn mở, cập nhật theo tháng, </w:t>
      </w:r>
      <w:r>
        <w:t xml:space="preserve">có thể là một cấu phần của sản phẩm “Hệ thống dữ liệu tài chính đô thị”.</w:t>
      </w:r>
      <w:r>
        <w:t xml:space="preserve"> Thứ hai là báo cáo định hướng chuyên môn hóa cho thị trường vốn Hà Nội sau hợp nhất, </w:t>
      </w:r>
      <w:r>
        <w:t xml:space="preserve">là một đầu vào phân tích cho sản phẩm “Trung tâm tài chính quốc tế tại Hà Nội”; đề tài không thiết kế sản phẩm này, và Nghị quyết số 222/2025/QH15 hiện chỉ đặt trung tâm tài chính quốc tế tại Thành phố Hồ Chí Minh và Đà Nẵng.</w:t>
      </w:r>
      <w:r>
        <w:t xml:space="preserve"> Thứ ba, Chỉ số khả năng đầu tư là một thước đo mà các dịch vụ đầu tư mới có thể dùng để so sánh, không phải một sản phẩm của bài toán. Các chỉ số và tệp đăng ký trước có được bất kể kết quả kiểm định.</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rPr/>
        <w:t xml:space="preserve"> Kindleberger (1974) và Gehrig (2000) giải thích sự tập trung của hoạt động tài chính bằng lợi thế quy mô và thông tin. Yao (2012) xác định các yếu tố quyết định sức hấp dẫn của trung tâm tài chính đối với ngành quỹ đầu tư qua trường hợp Luxembourg. Moosa và cộng sự (2016) kiểm tra độ vững của các yếu tố quyết định vị thế trung tâm bằng phân tích giới hạn cực trị, và Eichengreen và Shah (2020) xếp các yếu tố thành năm nhóm, trong đó một nhóm gồm mức phát triển tài chính và vốn hóa thị trường. </w:t>
      </w:r>
      <w:r>
        <w:rPr/>
        <w:t xml:space="preserve">Naeem (2023) dùng dữ liệu 196 trung tâm tài chính, tính theo khu vực tài phán, giai đoạn 2007–2020,</w:t>
      </w:r>
      <w:r>
        <w:rPr/>
        <w:t xml:space="preserve"> chọn 17 yếu tố bằng phương pháp cây quyết định </w:t>
      </w:r>
      <w:r>
        <w:rPr/>
        <w:t xml:space="preserve">và ước lượng hồi quy dữ liệu bảng với biến phụ thuộc là thứ hạng GFCI;</w:t>
      </w:r>
      <w:r>
        <w:rPr/>
        <w:t xml:space="preserve"> các yếu tố này không gồm chỉ báo thị trường cổ phiếu. Cetorelli và Peristiani (2013) đo vị thế của trung tâm qua mạng lưới niêm yết quốc tế của sàn chứng khoán. Ở Trung Quốc, Lai (2012) và Wang và cộng sự (2007) mô tả sự phân vai giữa Bắc Kinh, Thượng Hải và Hồng Kông, Chen và Chen (2015) nhấn mạnh vai trò dẫn dắt của nhà nước, còn Elliott (2011) rút ra rằng không có công thức chung để xây dựng một trung tâm toàn cầu.</w:t>
      </w:r>
    </w:p>
    <w:p>
      <w:pPr>
        <w:pStyle w:val="FirstParagraph"/>
      </w:pPr>
      <w:r>
        <w:rPr>
          <w:i/>
          <w:iCs/>
        </w:rPr>
        <w:t xml:space="preserve">(B) Chất lượng thị trường vốn.</w:t>
      </w:r>
      <w:r>
        <w:rPr/>
        <w:t xml:space="preserve"> Amihud (2002) đề xuất độ phi thanh khoản, tỷ số giữa lợi suất tuyệt đối và giá trị giao dịch. Lesmond và cộng sự (1999) ước lượng chi phí giao dịch từ tần suất ngày có lợi suất bằng 0, Corwin và Schultz (2012) ước lượng chênh lệch mua-bán từ giá cao nhất và thấp nhất trong ngày, và Bekaert và cộng sự (2007) dùng tỷ lệ ngày lợi suất bằng 0 làm thước đo thanh khoản chính ở thị trường mới nổi. Lesmond (2005) và Fong và cộng sự (2017) đánh giá chỉ báo nào đo thanh khoản tốt nhất từ dữ liệu ngày. Về hiệu quả thông tin, Lo và MacKinlay (1988) đề xuất kiểm định tỷ số phương sai và Hou và Moskowitz (2005) đo độ trễ giá; Griffin và cộng sự (2010) cảnh báo các thước đo này có thể cho kết luận sai khi so sánh các môi trường thông tin khác nhau. Lang và cộng sự (2012) nối minh bạch với thanh khoản, còn Čihák và cộng sự (2012) xây dựng Cơ sở dữ liệu Phát triển Tài chính Toàn cầu với các chỉ báo vòng quay và vốn hóa. Các thước đo đã chuẩn hóa, nhưng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rPr/>
        <w:t xml:space="preserve"> Huang và Stoll (1996) so sánh chi phí giao dịch của các cặp cổ phiếu tương đồng trên hai sàn trong cùng một quốc gia. Christie và Huang (1994) đo thanh khoản của cùng một cổ phiếu khi doanh nghiệp đổi sàn niêm yết. Amihud và cộng sự (1997) dùng việc chuyển cổ phiếu sang cơ chế giao dịch mới ở Tel Aviv để ước lượng tác động của cấu trúc vi mô lên giá trị cổ phiếu. Nielsson (2009) thấy lợi ích thanh khoản của việc hình thành Euronext dồn vào doanh nghiệp lớn, còn Hisada (2018) thấy việc chuyển cổ phiếu từ Osaka sang Tokyo năm 2013 làm thanh khoản tăng trong ngắn hạn, </w:t>
      </w:r>
      <w:r>
        <w:rPr/>
        <w:t xml:space="preserve">hiệu ứng tâm lý mạnh hơn ở cổ phiếu nhỏ,</w:t>
      </w:r>
      <w:r>
        <w:rPr/>
        <w:t xml:space="preserve"> với thước đo là vòng quay và độ phi thanh khoản Amihud. Wójcik (2007) phân tích quan hệ hai chiều giữa sàn chứng khoán và trung tâm tài chính. Bằng chứng về hợp nhất các sàn trong một quốc gia ở thị trường mới nổi còn ít, ví dụ trường hợp Pakistan hợp nhất ba sở giao dịch năm 2016 [CẦN XÁC MINH nguồn], và chưa đo khả năng đầu tư.</w:t>
      </w:r>
    </w:p>
    <w:p w14:paraId="77FF2C03" w14:textId="77777777" w:rsidR="005D3DB2" w:rsidRDefault="00000000">
      <w:pPr>
        <w:pStyle w:val="BodyText"/>
      </w:pPr>
      <w:r>
        <w:rPr>
          <w:i/>
          <w:iCs/>
        </w:rPr>
        <w:t xml:space="preserve">(D) Đa dạng hóa danh mục khi tham số được ước lượng.</w:t>
      </w:r>
      <w:r>
        <w:rPr/>
        <w:t xml:space="preserve"> Tối ưu hóa trung bình-phương sai (Markowitz, 1952) dồn trọng số vào những tài sản có sai số ước lượng lớn (Michaud, 1989), và việc thay tham số tổng thể bằng ước lượng mẫu làm hiệu quả ngoài mẫu giảm (Kan &amp; Zhou, 2007). Ledoit và Wolf (2004) co rút ma trận hiệp phương sai, Black và Litterman (1992) kết hợp lợi suất cân bằng với quan điểm của nhà đầu tư, và Bessler và cộng sự (2017) thấy cách tiếp cận này cho hiệu quả ngoài mẫu tốt trên dữ liệu đa tài sản. Garlappi và cộng sự (2007) xây dựng danh mục vững chắc với nhiều niềm tin tiên nghiệm. DeMiguel và cộng sự (2009) không thấy mô hình nào vượt quy tắc 1/N một cách nhất quán, và Pflug và cộng sự (2012) chứng minh 1/N xấp xỉ tối ưu khi mức mơ hồ về mô hình cao.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rPr/>
        <w:t xml:space="preserve"> Vo và Phan (2017) dùng 299 công ty niêm yết trên HOSE giai đoạn 2005–2015 và tìm thấy hành vi bầy đàn, rõ hơn khi thị trường giảm. Hoang và Luu (2024), trong một bản thảo công bố trực tuyến, phân tích chế độ biến động của VN-Index giai đoạn 2012–2023. Về danh mục, Ta và Vuong (2020) áp dụng mô hình Black-Litterman với quan điểm dự báo từ mô hình ARIMA, còn Nguyen và cộng sự (2020) dùng ma trận hiệp phương sai co rút trên dữ liệu 468 tuần giai đoạn 2011–2019. Goutte và cộng sự (2025) so sánh các phương pháp ra quyết định đa tiêu chí trên rổ VN100 của HOSE, và bài báo của chính thí sinh (Nguyen &amp; Nguyen, 2026a) áp dụng mô hình Black-Litterman có chuyển chế độ giai đoạn 2019–2025. Nhóm công trình này tập trung vào HOSE và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5000" w:type="pct"/>
        <w:tblLook w:val="0020" w:firstRow="1" w:lastRow="0" w:firstColumn="0" w:lastColumn="0" w:noHBand="0" w:noVBand="0"/>
      </w:tblPr>
      <w:tblGrid>
        <w:gridCol w:w="3366"/>
        <w:gridCol w:w="2863"/>
        <w:gridCol w:w="2549"/>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65E949" w14:textId="77777777" w:rsidR="005D3DB2" w:rsidRDefault="00000000">
            <w:pPr>
              <w:pStyle w:val="Compact"/>
            </w:pPr>
            <w:r>
              <w:t>Nhóm nghiên cứu</w:t>
            </w:r>
          </w:p>
        </w:tc>
        <w:tc>
          <w:tcPr>
            <w:tcW w:w="0" w:type="auto"/>
          </w:tcPr>
          <w:p w14:paraId="71B373B4" w14:textId="77777777" w:rsidR="005D3DB2" w:rsidRDefault="00000000">
            <w:pPr>
              <w:pStyle w:val="Compact"/>
            </w:pPr>
            <w:r>
              <w:t>Kết quả đã có</w:t>
            </w:r>
          </w:p>
        </w:tc>
        <w:tc>
          <w:tcPr>
            <w:tcW w:w="0" w:type="auto"/>
          </w:tcPr>
          <w:p w14:paraId="0C6AA699" w14:textId="77777777" w:rsidR="005D3DB2" w:rsidRDefault="00000000">
            <w:pPr>
              <w:pStyle w:val="Compact"/>
            </w:pPr>
            <w:r>
              <w:t>Khoảng trống</w:t>
            </w:r>
          </w:p>
        </w:tc>
      </w:tr>
      <w:tr w:rsidR="005D3DB2" w14:paraId="1E533131" w14:textId="77777777">
        <w:trPr>
          <w:cantSplit/>
        </w:trPr>
        <w:tc>
          <w:tcPr>
            <w:tcW w:w="0" w:type="auto"/>
          </w:tcPr>
          <w:p w14:paraId="15CC7429" w14:textId="77777777" w:rsidR="005D3DB2" w:rsidRDefault="00000000">
            <w:pPr>
              <w:pStyle w:val="Compact"/>
            </w:pPr>
            <w:r>
              <w:t xml:space="preserve">Trung tâm tài chính (Yao, 2012; Naeem, 2023; Lai, 2012)</w:t>
            </w:r>
          </w:p>
        </w:tc>
        <w:tc>
          <w:tcPr>
            <w:tcW w:w="0" w:type="auto"/>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0" w:type="auto"/>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0" w:type="auto"/>
          </w:tcPr>
          <w:p w14:paraId="7892E17D" w14:textId="77777777" w:rsidR="005D3DB2" w:rsidRDefault="00000000">
            <w:pPr>
              <w:pStyle w:val="Compact"/>
            </w:pPr>
            <w:r>
              <w:t xml:space="preserve">Chất lượng thị trường (Amihud, 2002; Lesmond, 2005; Fong và cộng sự, 2017)</w:t>
            </w:r>
          </w:p>
        </w:tc>
        <w:tc>
          <w:tcPr>
            <w:tcW w:w="0" w:type="auto"/>
          </w:tcPr>
          <w:p w14:paraId="35E17D8F" w14:textId="77777777" w:rsidR="005D3DB2" w:rsidRDefault="00000000">
            <w:pPr>
              <w:pStyle w:val="Compact"/>
            </w:pPr>
            <w:r>
              <w:t xml:space="preserve">Thước đo thanh khoản, hiệu quả thông tin, minh bạch ở thị trường mới nổi</w:t>
            </w:r>
          </w:p>
        </w:tc>
        <w:tc>
          <w:tcPr>
            <w:tcW w:w="0" w:type="auto"/>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0" w:type="auto"/>
          </w:tcPr>
          <w:p w14:paraId="172955F1" w14:textId="77777777" w:rsidR="005D3DB2" w:rsidRDefault="00000000">
            <w:pPr>
              <w:pStyle w:val="Compact"/>
            </w:pPr>
            <w:r>
              <w:t xml:space="preserve">Đổi sàn và hợp nhất sàn (Huang &amp; Stoll, 1996; Nielsson, 2009; Hisada, 2018)</w:t>
            </w:r>
          </w:p>
        </w:tc>
        <w:tc>
          <w:tcPr>
            <w:tcW w:w="0" w:type="auto"/>
          </w:tcPr>
          <w:p w14:paraId="27D2C86F" w14:textId="77777777" w:rsidR="005D3DB2" w:rsidRDefault="00000000">
            <w:pPr>
              <w:pStyle w:val="Compact"/>
            </w:pPr>
            <w:r>
              <w:t xml:space="preserve">Đổi sàn làm thay đổi thanh khoản; Euronext: lợi ích dồn vào doanh nghiệp lớn; </w:t>
            </w:r>
            <w:r>
              <w:t xml:space="preserve">Tokyo–Osaka: hiệu ứng tâm lý mạnh hơn ở cổ phiếu nhỏ</w:t>
            </w:r>
          </w:p>
        </w:tc>
        <w:tc>
          <w:tcPr>
            <w:tcW w:w="0" w:type="auto"/>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0" w:type="auto"/>
          </w:tcPr>
          <w:p w14:paraId="2246DA5E" w14:textId="77777777" w:rsidR="005D3DB2" w:rsidRDefault="00000000">
            <w:pPr>
              <w:pStyle w:val="Compact"/>
            </w:pPr>
            <w:r>
              <w:t xml:space="preserve">Việt Nam (Vo &amp; Phan, 2017; Goutte và cộng sự, 2025; Nguyen &amp; Nguyen, 2026a)</w:t>
            </w:r>
          </w:p>
        </w:tc>
        <w:tc>
          <w:tcPr>
            <w:tcW w:w="0" w:type="auto"/>
          </w:tcPr>
          <w:p w14:paraId="133402BF" w14:textId="77777777" w:rsidR="005D3DB2" w:rsidRDefault="00000000">
            <w:pPr>
              <w:pStyle w:val="Compact"/>
            </w:pPr>
            <w:r>
              <w:t xml:space="preserve">Nghiên cứu tập trung vào HOSE và VN-Index</w:t>
            </w:r>
          </w:p>
        </w:tc>
        <w:tc>
          <w:tcPr>
            <w:tcW w:w="0" w:type="auto"/>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w:t>
      </w:r>
      <w:r>
        <w:t xml:space="preserve">(A)–(E)</w:t>
      </w:r>
      <w:r>
        <w:t xml:space="preserve"> ở mục 4.2; Hoang và Luu (2024) là bản thảo công bố trực tuyến;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w:t>
      </w:r>
      <w:r>
        <w:t xml:space="preserve">Nhận định này dựa trên các truy vấn trên SSRN, RePEc/IDEAS, ScienceDirect, Oxford Academic, Wiley, Springer, Taylor &amp; Francis, MDPI và arXiv, thực hiện đến ngày 30/09/2026. Phạm vi tìm kiếm chưa gồm Scopus, Web of Science và các tạp chí tiếng Việt trong nước, nên nhận định không loại trừ những nghiên cứu nằm ngoài phạm vi đó. Thí sinh mới đọc tóm tắt và thông tin thư mục của phần lớn các nguồn; việc đọc toàn văn và mở rộng phạm vi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hoạt động tài chính dồn về nơi có quy mô và thông tin, và các trung tâm trong một quốc gia phân vai (Kindleberger, 1974; Gehrig, 2000; Yao, 2012; Lai,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(Markowitz, 1952; Michaud, 1989; Kan &amp; Zhou, 2007): hiệu quả mà nhà đầu tư đạt được phụ thuộc vào chất lượng của tập cổ phiếu đầu tư được. Ba khối nối thành một chuỗi liên hệ: sàn giao dịch liên hệ với chất lượng thị trường, chất lượng thị trường liên hệ với khả năng đầu tư, và cấu trúc sàn định hình vai trò của mỗi trung tâm.</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2009–2026</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2009–2026</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w:t>
      </w:r>
      <w:r>
        <w:t xml:space="preserve">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77B4CCF4" w14:textId="77777777" w:rsidR="005D3DB2" w:rsidRDefault="00000000">
      <w:pPr>
        <w:pStyle w:val="BodyText"/>
      </w:pPr>
      <w:r>
        <w:t xml:space="preserve">Theo Hình 1, chuỗi phân tích đi từ trước sự kiện, qua sự kiện, tới chính sách. Chỉ số chất lượng thị trường đo khoảng cách giữa sàn niêm yết HNX và HOSE trước hợp nhất (H</w:t>
      </w:r>
      <w:r>
        <w:rPr>
          <w:vertAlign w:val="subscript"/>
        </w:rPr>
        <w:t xml:space="preserve">2</w:t>
      </w:r>
      <w:r>
        <w:t xml:space="preserve">). Sự kiện chuyển sàn cho phép so sánh cùng các cổ phiếu trước và sau ngày 28/12/2026 với nhóm đối chứng, đối với thanh khoản (H</w:t>
      </w:r>
      <w:r>
        <w:rPr>
          <w:vertAlign w:val="subscript"/>
        </w:rPr>
        <w:t xml:space="preserve">3</w:t>
      </w:r>
      <w:r>
        <w:t xml:space="preserve">) và khả năng đầu tư (H</w:t>
      </w:r>
      <w:r>
        <w:rPr>
          <w:vertAlign w:val="subscript"/>
        </w:rPr>
        <w:t xml:space="preserve">4</w:t>
      </w:r>
      <w:r>
        <w:t xml:space="preserve">). Bằng chứng quốc tế (H</w:t>
      </w:r>
      <w:r>
        <w:rPr>
          <w:vertAlign w:val="subscript"/>
        </w:rPr>
        <w:t xml:space="preserve">1</w:t>
      </w:r>
      <w:r>
        <w:t xml:space="preserve">) cho biết mức phát triển thị trường cổ phiếu liên hệ thế nào với điểm GFCI. Các kết quả này là đầu vào cho phần tổng hợp định tính về định hướng chuyên môn hóa của các thị trường mà HNX tiếp tục vận hành.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5000" w:type="pct"/>
        <w:tblLook w:val="0020" w:firstRow="1" w:lastRow="0" w:firstColumn="0" w:lastColumn="0" w:noHBand="0" w:noVBand="0"/>
      </w:tblPr>
      <w:tblGrid>
        <w:gridCol w:w="3607"/>
        <w:gridCol w:w="3117"/>
        <w:gridCol w:w="2054"/>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0C30761" w14:textId="77777777" w:rsidR="005D3DB2" w:rsidRDefault="00000000">
            <w:pPr>
              <w:pStyle w:val="Compact"/>
            </w:pPr>
            <w:r>
              <w:t>Giả thuyết</w:t>
            </w:r>
          </w:p>
        </w:tc>
        <w:tc>
          <w:tcPr>
            <w:tcW w:w="0" w:type="auto"/>
          </w:tcPr>
          <w:p w14:paraId="54FEBD5F" w14:textId="77777777" w:rsidR="005D3DB2" w:rsidRDefault="00000000">
            <w:pPr>
              <w:pStyle w:val="Compact"/>
            </w:pPr>
            <w:r>
              <w:t>Thước đo chính</w:t>
            </w:r>
          </w:p>
        </w:tc>
        <w:tc>
          <w:tcPr>
            <w:tcW w:w="0" w:type="auto"/>
          </w:tcPr>
          <w:p w14:paraId="4BB3DB00" w14:textId="77777777" w:rsidR="005D3DB2" w:rsidRDefault="00000000">
            <w:pPr>
              <w:pStyle w:val="Compact"/>
            </w:pPr>
            <w:r>
              <w:t xml:space="preserve">Cơ sở lý thuyết và phương pháp</w:t>
            </w:r>
          </w:p>
        </w:tc>
      </w:tr>
      <w:tr w:rsidR="005D3DB2" w14:paraId="2DFD5B42" w14:textId="77777777">
        <w:trPr>
          <w:cantSplit/>
        </w:trPr>
        <w:tc>
          <w:tcPr>
            <w:tcW w:w="0" w:type="auto"/>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0" w:type="auto"/>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0" w:type="auto"/>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0" w:type="auto"/>
          </w:tcPr>
          <w:p w14:paraId="6BA2CDB6" w14:textId="77777777" w:rsidR="005D3DB2" w:rsidRDefault="00000000">
            <w:pPr>
              <w:pStyle w:val="Compact"/>
            </w:pPr>
            <w:r>
              <w:t xml:space="preserve">H</w:t>
            </w:r>
            <w:r>
              <w:rPr>
                <w:vertAlign w:val="subscript"/>
              </w:rPr>
              <w:t xml:space="preserve">2</w:t>
            </w:r>
            <w:r>
              <w:t xml:space="preserve">: Trong giai đoạn 2009–2026, Chỉ số chất lượng thị trường vốn của sàn niêm yết HNX thấp hơn của HOSE (câu hỏi 2)</w:t>
            </w:r>
          </w:p>
        </w:tc>
        <w:tc>
          <w:tcPr>
            <w:tcW w:w="0" w:type="auto"/>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độ trễ công bố</w:t>
            </w:r>
          </w:p>
        </w:tc>
        <w:tc>
          <w:tcPr>
            <w:tcW w:w="0" w:type="auto"/>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0" w:type="auto"/>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w:t>
            </w:r>
            <w:r>
              <w:t xml:space="preserve">tính sau khi loại ngày chạm biên độ và ngày liền sau</w:t>
            </w:r>
            <w:r>
              <w:t xml:space="preserve">, giảm so với nhóm đối chứng (câu hỏi 3)</w:t>
            </w:r>
          </w:p>
        </w:tc>
        <w:tc>
          <w:tcPr>
            <w:tcW w:w="0" w:type="auto"/>
          </w:tcPr>
          <w:p w14:paraId="3D56315F" w14:textId="77777777" w:rsidR="005D3DB2" w:rsidRDefault="00000000">
            <w:pPr>
              <w:pStyle w:val="Compact"/>
            </w:pPr>
            <w:r>
              <w:t xml:space="preserve">Logarit độ phi thanh khoản Amihud </w:t>
            </w:r>
            <w:r>
              <w:t xml:space="preserve">loại ngày chạm biên độ và ngày liền sau</w:t>
            </w:r>
            <w:r>
              <w:t xml:space="preserve"> (chính); vòng quay, tỷ lệ ngày lợi suất bằng 0 (phụ)</w:t>
            </w:r>
          </w:p>
        </w:tc>
        <w:tc>
          <w:tcPr>
            <w:tcW w:w="0" w:type="auto"/>
          </w:tcPr>
          <w:p w14:paraId="2EB0DA83" w14:textId="77777777" w:rsidR="005D3DB2" w:rsidRDefault="00000000">
            <w:pPr>
              <w:pStyle w:val="Compact"/>
            </w:pPr>
            <w:r>
              <w:t xml:space="preserve">Amihud và cộng sự (1997); Nielsson (2009); Hisada (2018); Conley và Taber (2011); Rambachan và Roth (2023)</w:t>
            </w:r>
          </w:p>
        </w:tc>
      </w:tr>
      <w:tr w:rsidR="005D3DB2" w14:paraId="001DB05F" w14:textId="77777777">
        <w:trPr>
          <w:cantSplit/>
        </w:trPr>
        <w:tc>
          <w:tcPr>
            <w:tcW w:w="0" w:type="auto"/>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và rổ cổ phiếu chuyển sàn thu hẹp sau ngày 28/12/2026 (câu hỏi 3)</w:t>
            </w:r>
          </w:p>
        </w:tc>
        <w:tc>
          <w:tcPr>
            <w:tcW w:w="0" w:type="auto"/>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0" w:type="auto"/>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ở mức 5%; H</w:t>
      </w:r>
      <w:r>
        <w:rPr>
          <w:vertAlign w:val="subscript"/>
        </w:rPr>
        <w:t xml:space="preserve">4</w:t>
      </w:r>
      <w:r>
        <w:t xml:space="preserve"> được báo cáo bằng ước lượng, khoảng tin cậy và hiệu ứng nhỏ nhất phát hiện được; so sánh theo giai đoạn căng thẳng và theo quy mô doanh nghiệp là phân tích mô tả.</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nên hệ số của mức phát triển thị trường bằng 0 sau khi kiểm soát hai nhóm này. Với H</w:t>
      </w:r>
      <w:r>
        <w:rPr>
          <w:vertAlign w:val="subscript"/>
        </w:rPr>
        <w:t xml:space="preserve">2</w:t>
      </w:r>
      <w:r>
        <w:t xml:space="preserve">, chênh lệch có thể do quy mô doanh nghiệp và do biên độ dao động giá khác nhau (HOSE ±7%, HNX ±10%, UPCoM ±15%) [CẦN XÁC MINH theo từng thời kỳ], nên chỉ số được so sánh cả trên mẫu đối sánh theo quy mô và ngành và cả khi bỏ hai chỉ báo nhạy với biên độ. Với H</w:t>
      </w:r>
      <w:r>
        <w:rPr>
          <w:vertAlign w:val="subscript"/>
        </w:rPr>
        <w:t xml:space="preserve">3</w:t>
      </w:r>
      <w:r>
        <w:t xml:space="preserve">, biên độ giảm từ ±10% xuống ±7% khi chuyển sàn làm lợi suất tuyệt đối bị cắt ở những ngày chạm biên độ, nên độ phi thanh khoản Amihud có thể giảm một cách cơ học; </w:t>
      </w:r>
      <w:r>
        <w:t xml:space="preserve">đề tài vì vậy tính Amihud sau khi loại các ngày chạm biên độ và ngày liền sau mỗi ngày đó,</w:t>
      </w:r>
      <w:r>
        <w:t xml:space="preserve"> và dùng vòng quay làm thước đo đối chiếu. 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của các kỳ 1–40, do Z/Yen và China Development Institute công bố công khai và được thí sinh số hóa từ báo cáo từng kỳ; thí sinh liên hệ Long Finance về giấy phép dùng bộ dữ liệu lịch sử [CẦN XÁC MINH]. Bộ này được ghép với các chỉ báo thị trường cổ phiếu cấp quốc gia trong Cơ sở dữ liệu Phát triển Tài chính Toàn cầu (Čihák và cộng sự, 2012) và các chỉ số quản trị nhà nước toàn cầu (Kaufmann và cộng sự, 2011). Bộ dữ liệu Việt Nam gồm giá điều chỉnh theo ngày, khối lượng và giá trị giao dịch của cổ phiếu trên sàn niêm yết HNX, UPCoM và HOSE, kể cả những mã đã hủy niêm yết hoặc đã chuyển sàn, cùng VN-Index, HNX-Index và lợi suất trái phiếu chính phủ kỳ hạn một năm. Dữ liệu minh bạch gồm thời điểm công bố báo cáo tài chính [CẦN XÁC MINH nguồn và điều khoản sử dụng]. Nguồn dữ liệu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có giao dịch. </w:t>
      </w:r>
      <w:r>
        <w:t xml:space="preserve">Vì lộ trình hợp nhất đã được quy định từ năm 2021 nhưng mốc thực hiện bị lùi hai lần, và HNX ngừng nhận niêm yết mới từ ngày 01/7/2025,</w:t>
      </w:r>
      <w:r>
        <w:t xml:space="preserve"> giai đoạn tham chiếu kết thúc ngày 30/6/2025; giai đoạn từ tháng 7/2025 đến tháng 12/2026 là giai đoạn chuyển tiếp, được báo cáo riêng trong phiên bản nghiên cứu sự kiện; giai đoạn sau sự kiện kéo dài 24 tháng từ tháng 1/2027. Ngày cổ phiếu bị đình chỉ giao dịch bị loại khỏi mẫu số của tỷ lệ ngày lợi suất bằng 0; lợi suất kỳ hủy niêm yết lấy theo giá giao dịch cuối cùng; độ phi thanh khoản Amihud được cắt đuôi ở phân vị 1% và 99% mỗi tháng; tháng không có giao dịch được ghi là thiếu và tỷ lệ tháng thiếu được báo cáo. Giai đoạn căng thẳng chỉ dùng cho phân tích mô tả và gồm hai đợt trong mẫu: đại dịch COVID-19 năm 2020 (Dao và cộng sự, 2021) và biến cố thị trường trái phiếu doanh nghiệp từ quý 4/2022 (International Monetary Fund, 2023; Vu và cộng sự, 2024). Ngưỡng sụt giảm của VN-Index và HNX-Index xác định mỗi đợt được ghi trong tệp đăng ký trước.</w:t>
      </w:r>
    </w:p>
    <w:p w14:paraId="68236F46" w14:textId="77777777" w:rsidR="005D3DB2" w:rsidRDefault="00000000">
      <w:pPr>
        <w:pStyle w:val="Heading3"/>
      </w:pPr>
      <w:bookmarkStart w:id="17" w:name="_Toc242353134"/>
      <w:bookmarkStart w:id="18" w:name="xác-định-chế-độ-thị-trường"/>
      <w:bookmarkEnd w:id="16"/>
      <w:r>
        <w:t xml:space="preserve">4.3.4. </w:t>
      </w:r>
      <w:r>
        <w:t xml:space="preserve">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Amihud và tỷ lệ ngày lợi suất bằng 0 là chỉ báo chính vì hai thước đo này phản ánh tốt chi phí giao dịch trong một quốc gia ở thị trường mới nổi (Lesmond, 2005; Bekaert và cộng sự, 2007; Fong và cộng sự, 2017). 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cấu hình bỏ chiều hiệu quả thông tin là kiểm tra độ bền bắt buộc. Chiều minh bạch là số ngày trễ hạn công bố báo cáo tài chính theo quý, giữ nguyên giá trị cho các tháng đến kỳ công bố tiếp theo. Các chỉ báo cổ phiếu được gộp lên cấp sàn bằng trung vị có trọng số theo vốn hóa.</w:t>
      </w:r>
    </w:p>
    <w:p>
      <w:pPr>
        <w:pStyle w:val="FirstParagraph"/>
      </w:pPr>
      <w:r>
        <w:t xml:space="preserve">Đề tài gộp các chỉ báo thành Chỉ số chất lượng thị trường vốn theo hướng dẫn xây dựng chỉ số tổng hợp của OECD (2008). </w:t>
      </w:r>
      <w:r>
        <w:t xml:space="preserve">Mỗi chỉ báo được chuẩn hóa thành điểm z theo trung bình và độ lệch chuẩn của mẫu gộp các sàn trong giai đoạn tham chiếu (đến tháng 6/2025), để giá trị đã công bố không phải tính lại khi có dữ liệu mới,</w:t>
      </w:r>
      <w:r>
        <w:t xml:space="preserve"> rồi đổi dấu sao cho giá trị cao hơn là chất lượng tốt hơn. Với sàn k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nary>
          <m:naryPr>
            <m:chr m:val="∑"/>
            <m:limLoc m:val="undOvr"/>
            <m:ctrlPr>
              <w:rPr>
                <w:rFonts w:ascii="Cambria Math" w:hAnsi="Cambria Math"/>
              </w:rPr>
            </m:ctrlP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J</m:t>
            </m:r>
          </m:sup>
          <m:e>
            <m:sSub>
              <m:sSubPr>
                <m:ctrlPr>
                  <w:rPr>
                    <w:rFonts w:ascii="Cambria Math" w:hAnsi="Cambria Math"/>
                  </w:rPr>
                </m:ctrlPr>
              </m:sSubPr>
              <m:e>
                <m:r>
                  <w:rPr>
                    <w:rFonts w:ascii="Cambria Math" w:hAnsi="Cambria Math"/>
                  </w:rPr>
                  <m:t xml:space="preserve">w</m:t>
                </m:r>
              </m:e>
              <m:sub>
                <m:r>
                  <w:rPr>
                    <w:rFonts w:ascii="Cambria Math" w:hAnsi="Cambria Math"/>
                  </w:rPr>
                  <m:t xml:space="preserve">j</m:t>
                </m:r>
              </m:sub>
            </m:sSub>
            <m:sSub>
              <m:sSubPr>
                <m:ctrlPr>
                  <w:rPr>
                    <w:rFonts w:ascii="Cambria Math" w:hAnsi="Cambria Math"/>
                  </w:rPr>
                </m:ctrlPr>
              </m:sSubPr>
              <m:e>
                <m:r>
                  <w:rPr>
                    <w:rFonts w:ascii="Cambria Math" w:hAnsi="Cambria Math"/>
                  </w:rPr>
                  <m:t xml:space="preserve">z</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t</m:t>
                </m:r>
              </m:sub>
            </m:sSub>
          </m:e>
        </m:nary>
      </m:oMath>
      <w:r>
        <w:t xml:space="preserve"> </w:t>
        <w:tab/>
        <w:t>(1)</w:t>
      </w:r>
    </w:p>
    <w:p>
      <w:pPr>
        <w:pStyle w:val="FirstParagraph"/>
      </w:pPr>
      <w:r>
        <w:t xml:space="preserve">trong đó MQI là Chỉ số chất lượng thị trường vốn, J = 6 là số chỉ báo, </w:t>
      </w:r>
      <w:r>
        <w:rPr>
          <w:i/>
          <w:iCs/>
        </w:rPr>
        <w:t xml:space="preserve">z</w:t>
      </w:r>
      <w:r>
        <w:rPr>
          <w:vertAlign w:val="subscript"/>
        </w:rPr>
        <w:t xml:space="preserve">j,k,t</w:t>
      </w:r>
      <w:r>
        <w:t xml:space="preserve"> là điểm z của chỉ báo j, và </w:t>
      </w:r>
      <w:r>
        <w:rPr>
          <w:i/>
          <w:iCs/>
        </w:rPr>
        <w:t xml:space="preserve">w</w:t>
      </w:r>
      <w:r>
        <w:rPr>
          <w:vertAlign w:val="subscript"/>
        </w:rPr>
        <w:t xml:space="preserve">j</w:t>
      </w:r>
      <w:r>
        <w:t xml:space="preserve"> = 1/(3·</w:t>
      </w:r>
      <w:r>
        <w:rPr>
          <w:i/>
          <w:iCs/>
        </w:rPr>
        <w:t xml:space="preserve">n</w:t>
      </w:r>
      <w:r>
        <w:rPr>
          <w:vertAlign w:val="subscript"/>
        </w:rPr>
        <w:t xml:space="preserve">d(j)</w:t>
      </w:r>
      <w:r>
        <w:t xml:space="preserve">) là trọng số, với </w:t>
      </w:r>
      <w:r>
        <w:rPr>
          <w:i/>
          <w:iCs/>
        </w:rPr>
        <w:t xml:space="preserve">n</w:t>
      </w:r>
      <w:r>
        <w:rPr>
          <w:vertAlign w:val="subscript"/>
        </w:rPr>
        <w:t xml:space="preserve">d(j)</w:t>
      </w:r>
      <w:r>
        <w:t xml:space="preserve"> là số chỉ báo thuộc chiều chứa chỉ báo j; k chỉ sàn (sàn niêm yết HNX, UPCoM hoặc HOSE). Trọng số từ thành phần chính thứ nhất và cách gộp bỏ lần lượt từng chiều là kiểm tra độ bền (OECD, 2008). Đề tài kiểm định H</w:t>
      </w:r>
      <w:r>
        <w:rPr>
          <w:vertAlign w:val="subscript"/>
        </w:rPr>
        <w:t xml:space="preserve">2</w:t>
      </w:r>
      <w:r>
        <w:t xml:space="preserve"> bằng chuỗi chênh lệch chỉ số theo tháng giữa HOSE và sàn niêm yết HNX: H</w:t>
      </w:r>
      <w:r>
        <w:rPr>
          <w:vertAlign w:val="subscript"/>
        </w:rPr>
        <w:t xml:space="preserve">2</w:t>
      </w:r>
      <w:r>
        <w:t xml:space="preserve"> được ủng hộ khi chênh lệch bình quân dương với khoảng tin cậy bootstrap khối dừng trên chuỗi tháng loại trừ 0 (Politis &amp; Romano, 1994). Chênh lệch giữa HOSE và UPCoM, chênh lệch theo giai đoạn căng thẳng và điểm gãy cấu trúc theo Bai và Perron (1998) được báo cáo ở dạng mô tả. Sau năm 2026, chỉ số tiếp tục được cập nhật hằng tháng cho HOSE và cho UPCoM trong thời gian UPCoM còn do HNX vận hành.</w:t>
      </w:r>
    </w:p>
    <w:p w14:paraId="28018213" w14:textId="77777777" w:rsidR="005D3DB2" w:rsidRDefault="00000000">
      <w:pPr>
        <w:pStyle w:val="Heading3"/>
      </w:pPr>
      <w:r>
        <w:t xml:space="preserve">4.3.5. </w:t>
      </w:r>
      <w:r>
        <w:t xml:space="preserve">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quy tắc đơn giản, co rút hiệp phương sai, tối ưu hóa cổ điển, mô hình Black-Litterman, danh mục vững chắc và quy tắc có trạng thái thị trường (Hamilton, 1989; Kritzman và cộng sự, 2012). Đề tài dùng nhiều mô hình vì khoảng cách đo bằng một mô hình có thể chỉ phản ánh sai số ước lượng của mô hình đó; bình quân theo bảy mô hình và độ phân tán giữa chúng tách hai nguồn này. Tập mô hình không phải danh sách đầy đủ.</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w:t>
      </w:r>
      <w:r>
        <w:t xml:space="preserve">Bảy mô hình phân bổ dùng làm công cụ đo khả năng đầu tư</w:t>
      </w:r>
      <w:bookmarkEnd w:id="21"/>
    </w:p>
    <w:tbl>
      <w:tblPr>
        <w:tblStyle w:val="Table"/>
        <w:tblW w:w="5000" w:type="pct"/>
        <w:tblLook w:val="0020" w:firstRow="1" w:lastRow="0" w:firstColumn="0" w:lastColumn="0" w:noHBand="0" w:noVBand="0"/>
      </w:tblPr>
      <w:tblGrid>
        <w:gridCol w:w="503"/>
        <w:gridCol w:w="4765"/>
        <w:gridCol w:w="3510"/>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20971C1" w14:textId="77777777" w:rsidR="005D3DB2" w:rsidRDefault="00000000">
            <w:pPr>
              <w:pStyle w:val="Compact"/>
            </w:pPr>
            <w:r>
              <w:t>Mã</w:t>
            </w:r>
          </w:p>
        </w:tc>
        <w:tc>
          <w:tcPr>
            <w:tcW w:w="0" w:type="auto"/>
          </w:tcPr>
          <w:p w14:paraId="7F5DC59D" w14:textId="77777777" w:rsidR="005D3DB2" w:rsidRDefault="00000000">
            <w:pPr>
              <w:pStyle w:val="Compact"/>
            </w:pPr>
            <w:r>
              <w:t>Mô hình</w:t>
            </w:r>
          </w:p>
        </w:tc>
        <w:tc>
          <w:tcPr>
            <w:tcW w:w="0" w:type="auto"/>
          </w:tcPr>
          <w:p w14:paraId="4B730355" w14:textId="77777777" w:rsidR="005D3DB2" w:rsidRDefault="00000000">
            <w:pPr>
              <w:pStyle w:val="Compact"/>
            </w:pPr>
            <w:r>
              <w:t xml:space="preserve">Tài liệu gốc</w:t>
            </w:r>
          </w:p>
        </w:tc>
      </w:tr>
      <w:tr w:rsidR="005D3DB2" w14:paraId="4BB94694" w14:textId="77777777">
        <w:trPr>
          <w:cantSplit/>
        </w:trPr>
        <w:tc>
          <w:tcPr>
            <w:tcW w:w="0" w:type="auto"/>
          </w:tcPr>
          <w:p w14:paraId="23DD3646" w14:textId="77777777" w:rsidR="005D3DB2" w:rsidRDefault="00000000">
            <w:pPr>
              <w:pStyle w:val="Compact"/>
            </w:pPr>
            <w:r>
              <w:t>M</w:t>
            </w:r>
            <w:r>
              <w:rPr>
                <w:vertAlign w:val="subscript"/>
              </w:rPr>
              <w:t>1</w:t>
            </w:r>
          </w:p>
        </w:tc>
        <w:tc>
          <w:tcPr>
            <w:tcW w:w="0" w:type="auto"/>
          </w:tcPr>
          <w:p w14:paraId="7877F437" w14:textId="77777777" w:rsidR="005D3DB2" w:rsidRDefault="00000000">
            <w:pPr>
              <w:pStyle w:val="Compact"/>
            </w:pPr>
            <w:r>
              <w:t>Phân bổ đều 1/N</w:t>
            </w:r>
          </w:p>
        </w:tc>
        <w:tc>
          <w:tcPr>
            <w:tcW w:w="0" w:type="auto"/>
          </w:tcPr>
          <w:p w14:paraId="2CE0EB8D" w14:textId="77777777" w:rsidR="005D3DB2" w:rsidRDefault="00000000">
            <w:pPr>
              <w:pStyle w:val="Compact"/>
            </w:pPr>
            <w:r>
              <w:t>DeMiguel và cộng sự (2009)</w:t>
            </w:r>
          </w:p>
        </w:tc>
      </w:tr>
      <w:tr w:rsidR="005D3DB2" w14:paraId="148889D3" w14:textId="77777777">
        <w:trPr>
          <w:cantSplit/>
        </w:trPr>
        <w:tc>
          <w:tcPr>
            <w:tcW w:w="0" w:type="auto"/>
          </w:tcPr>
          <w:p w14:paraId="1DD58B1D" w14:textId="77777777" w:rsidR="005D3DB2" w:rsidRDefault="00000000">
            <w:pPr>
              <w:pStyle w:val="Compact"/>
            </w:pPr>
            <w:r>
              <w:t>M</w:t>
            </w:r>
            <w:r>
              <w:rPr>
                <w:vertAlign w:val="subscript"/>
              </w:rPr>
              <w:t>2</w:t>
            </w:r>
          </w:p>
        </w:tc>
        <w:tc>
          <w:tcPr>
            <w:tcW w:w="0" w:type="auto"/>
          </w:tcPr>
          <w:p w14:paraId="244687DE" w14:textId="77777777" w:rsidR="005D3DB2" w:rsidRDefault="00000000">
            <w:pPr>
              <w:pStyle w:val="Compact"/>
            </w:pPr>
            <w:r>
              <w:t>Phương sai nhỏ nhất với ma trận hiệp phương sai co rút</w:t>
            </w:r>
          </w:p>
        </w:tc>
        <w:tc>
          <w:tcPr>
            <w:tcW w:w="0" w:type="auto"/>
          </w:tcPr>
          <w:p w14:paraId="40D70932" w14:textId="77777777" w:rsidR="005D3DB2" w:rsidRDefault="00000000">
            <w:pPr>
              <w:pStyle w:val="Compact"/>
            </w:pPr>
            <w:r>
              <w:t>Ledoit và Wolf (2004)</w:t>
            </w:r>
          </w:p>
        </w:tc>
      </w:tr>
      <w:tr w:rsidR="005D3DB2" w14:paraId="72D0850C" w14:textId="77777777">
        <w:trPr>
          <w:cantSplit/>
        </w:trPr>
        <w:tc>
          <w:tcPr>
            <w:tcW w:w="0" w:type="auto"/>
          </w:tcPr>
          <w:p w14:paraId="551C2224" w14:textId="77777777" w:rsidR="005D3DB2" w:rsidRDefault="00000000">
            <w:pPr>
              <w:pStyle w:val="Compact"/>
            </w:pPr>
            <w:r>
              <w:t>M</w:t>
            </w:r>
            <w:r>
              <w:rPr>
                <w:vertAlign w:val="subscript"/>
              </w:rPr>
              <w:t>3</w:t>
            </w:r>
          </w:p>
        </w:tc>
        <w:tc>
          <w:tcPr>
            <w:tcW w:w="0" w:type="auto"/>
          </w:tcPr>
          <w:p w14:paraId="3356ABA6" w14:textId="77777777" w:rsidR="005D3DB2" w:rsidRDefault="00000000">
            <w:pPr>
              <w:pStyle w:val="Compact"/>
            </w:pPr>
            <w:r>
              <w:t xml:space="preserve">Trung bình-phương sai với ước lượng mẫu</w:t>
            </w:r>
          </w:p>
        </w:tc>
        <w:tc>
          <w:tcPr>
            <w:tcW w:w="0" w:type="auto"/>
          </w:tcPr>
          <w:p w14:paraId="1F03E0B7" w14:textId="77777777" w:rsidR="005D3DB2" w:rsidRDefault="00000000">
            <w:pPr>
              <w:pStyle w:val="Compact"/>
            </w:pPr>
            <w:r>
              <w:t>Markowitz (1952)</w:t>
            </w:r>
          </w:p>
        </w:tc>
      </w:tr>
      <w:tr w:rsidR="005D3DB2" w14:paraId="73E18DCE" w14:textId="77777777">
        <w:trPr>
          <w:cantSplit/>
        </w:trPr>
        <w:tc>
          <w:tcPr>
            <w:tcW w:w="0" w:type="auto"/>
          </w:tcPr>
          <w:p w14:paraId="448D22E2" w14:textId="77777777" w:rsidR="005D3DB2" w:rsidRDefault="00000000">
            <w:pPr>
              <w:pStyle w:val="Compact"/>
            </w:pPr>
            <w:r>
              <w:t>M</w:t>
            </w:r>
            <w:r>
              <w:rPr>
                <w:vertAlign w:val="subscript"/>
              </w:rPr>
              <w:t>4</w:t>
            </w:r>
          </w:p>
        </w:tc>
        <w:tc>
          <w:tcPr>
            <w:tcW w:w="0" w:type="auto"/>
          </w:tcPr>
          <w:p w14:paraId="758005CD" w14:textId="77777777" w:rsidR="005D3DB2" w:rsidRDefault="00000000">
            <w:pPr>
              <w:pStyle w:val="Compact"/>
            </w:pPr>
            <w:r>
              <w:t xml:space="preserve">Black-Litterman với quan điểm từ mô hình dự báo</w:t>
            </w:r>
          </w:p>
        </w:tc>
        <w:tc>
          <w:tcPr>
            <w:tcW w:w="0" w:type="auto"/>
          </w:tcPr>
          <w:p w14:paraId="4B6B712C" w14:textId="77777777" w:rsidR="005D3DB2" w:rsidRDefault="00000000">
            <w:pPr>
              <w:pStyle w:val="Compact"/>
            </w:pPr>
            <w:r>
              <w:t>Black và Litterman (1992)</w:t>
            </w:r>
          </w:p>
        </w:tc>
      </w:tr>
      <w:tr w:rsidR="005D3DB2" w14:paraId="2EFBFFC3" w14:textId="77777777">
        <w:trPr>
          <w:cantSplit/>
        </w:trPr>
        <w:tc>
          <w:tcPr>
            <w:tcW w:w="0" w:type="auto"/>
          </w:tcPr>
          <w:p w14:paraId="2F0A1C76" w14:textId="77777777" w:rsidR="005D3DB2" w:rsidRDefault="00000000">
            <w:pPr>
              <w:pStyle w:val="Compact"/>
            </w:pPr>
            <w:r>
              <w:t>M</w:t>
            </w:r>
            <w:r>
              <w:rPr>
                <w:vertAlign w:val="subscript"/>
              </w:rPr>
              <w:t>5</w:t>
            </w:r>
          </w:p>
        </w:tc>
        <w:tc>
          <w:tcPr>
            <w:tcW w:w="0" w:type="auto"/>
          </w:tcPr>
          <w:p w14:paraId="31F2A1AD" w14:textId="77777777" w:rsidR="005D3DB2" w:rsidRDefault="00000000">
            <w:pPr>
              <w:pStyle w:val="Compact"/>
            </w:pPr>
            <w:r>
              <w:t xml:space="preserve">Black-Litterman có chuyển chế độ</w:t>
            </w:r>
          </w:p>
        </w:tc>
        <w:tc>
          <w:tcPr>
            <w:tcW w:w="0" w:type="auto"/>
          </w:tcPr>
          <w:p w14:paraId="44313646" w14:textId="77777777" w:rsidR="005D3DB2" w:rsidRDefault="00000000">
            <w:pPr>
              <w:pStyle w:val="Compact"/>
            </w:pPr>
            <w:r>
              <w:t>Mở rộng từ Nguyen và Nguyen (2026a)</w:t>
            </w:r>
          </w:p>
        </w:tc>
      </w:tr>
      <w:tr w:rsidR="005D3DB2" w14:paraId="3ECC16B1" w14:textId="77777777">
        <w:trPr>
          <w:cantSplit/>
        </w:trPr>
        <w:tc>
          <w:tcPr>
            <w:tcW w:w="0" w:type="auto"/>
          </w:tcPr>
          <w:p w14:paraId="148F97A3" w14:textId="77777777" w:rsidR="005D3DB2" w:rsidRDefault="00000000">
            <w:pPr>
              <w:pStyle w:val="Compact"/>
            </w:pPr>
            <w:r>
              <w:t>M</w:t>
            </w:r>
            <w:r>
              <w:rPr>
                <w:vertAlign w:val="subscript"/>
              </w:rPr>
              <w:t>6</w:t>
            </w:r>
          </w:p>
        </w:tc>
        <w:tc>
          <w:tcPr>
            <w:tcW w:w="0" w:type="auto"/>
          </w:tcPr>
          <w:p w14:paraId="63B8F9BE" w14:textId="77777777" w:rsidR="005D3DB2" w:rsidRDefault="00000000">
            <w:pPr>
              <w:pStyle w:val="Compact"/>
            </w:pPr>
            <w:r>
              <w:t>Danh mục vững chắc với nhiều niềm tin tiên nghiệm</w:t>
            </w:r>
          </w:p>
        </w:tc>
        <w:tc>
          <w:tcPr>
            <w:tcW w:w="0" w:type="auto"/>
          </w:tcPr>
          <w:p w14:paraId="4A51CA56" w14:textId="77777777" w:rsidR="005D3DB2" w:rsidRDefault="00000000">
            <w:pPr>
              <w:pStyle w:val="Compact"/>
            </w:pPr>
            <w:r>
              <w:t>Garlappi và cộng sự (2007)</w:t>
            </w:r>
          </w:p>
        </w:tc>
      </w:tr>
      <w:tr w:rsidR="005D3DB2" w14:paraId="043CE885" w14:textId="77777777">
        <w:trPr>
          <w:cantSplit/>
        </w:trPr>
        <w:tc>
          <w:tcPr>
            <w:tcW w:w="0" w:type="auto"/>
          </w:tcPr>
          <w:p w14:paraId="368F48C9" w14:textId="77777777" w:rsidR="005D3DB2" w:rsidRDefault="00000000">
            <w:pPr>
              <w:pStyle w:val="Compact"/>
            </w:pPr>
            <w:r>
              <w:t>M</w:t>
            </w:r>
            <w:r>
              <w:rPr>
                <w:vertAlign w:val="subscript"/>
              </w:rPr>
              <w:t>7</w:t>
            </w:r>
          </w:p>
        </w:tc>
        <w:tc>
          <w:tcPr>
            <w:tcW w:w="0" w:type="auto"/>
          </w:tcPr>
          <w:p w14:paraId="31E8219C" w14:textId="77777777" w:rsidR="005D3DB2" w:rsidRDefault="00000000">
            <w:pPr>
              <w:pStyle w:val="Compact"/>
            </w:pPr>
            <w:r>
              <w:t xml:space="preserve">Giảm tỷ trọng rủi ro theo xác suất trạng thái căng thẳng do mô hình tự ước lượng</w:t>
            </w:r>
          </w:p>
        </w:tc>
        <w:tc>
          <w:tcPr>
            <w:tcW w:w="0" w:type="auto"/>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Đề tài chọn siêu tham số của M</w:t>
      </w:r>
      <w:r>
        <w:rPr>
          <w:vertAlign w:val="subscript"/>
        </w:rPr>
        <w:t>2</w:t>
      </w:r>
      <w:r>
        <w:t>, M</w:t>
      </w:r>
      <w:r>
        <w:rPr>
          <w:vertAlign w:val="subscript"/>
        </w:rPr>
        <w:t>4</w:t>
      </w:r>
      <w:r>
        <w:t>, M</w:t>
      </w:r>
      <w:r>
        <w:rPr>
          <w:vertAlign w:val="subscript"/>
        </w:rPr>
        <w:t>5</w:t>
      </w:r>
      <w:r>
        <w:t>, M</w:t>
      </w:r>
      <w:r>
        <w:rPr>
          <w:vertAlign w:val="subscript"/>
        </w:rPr>
        <w:t>6</w:t>
      </w:r>
      <w:r>
        <w:t xml:space="preserve"> và M</w:t>
      </w:r>
      <w:r>
        <w:rPr>
          <w:vertAlign w:val="subscript"/>
        </w:rPr>
        <w:t>7</w:t>
      </w:r>
      <w:r>
        <w:t xml:space="preserve"> từ một lưới cho trước, bằng cùng một quy tắc và cùng ngân sách tinh chỉnh. Quan điểm của M</w:t>
      </w:r>
      <w:r>
        <w:rPr>
          <w:vertAlign w:val="subscript"/>
        </w:rPr>
        <w:t>4</w:t>
      </w:r>
      <w:r>
        <w:t xml:space="preserve"> lấy từ một mô hình dự báo đơn giản. Vì M</w:t>
      </w:r>
      <w:r>
        <w:rPr>
          <w:vertAlign w:val="subscript"/>
        </w:rPr>
        <w:t>5</w:t>
      </w:r>
      <w:r>
        <w:t xml:space="preserve"> do thí sinh phát triển, đề tài xử lý M</w:t>
      </w:r>
      <w:r>
        <w:rPr>
          <w:vertAlign w:val="subscript"/>
        </w:rPr>
        <w:t>5</w:t>
      </w:r>
      <w:r>
        <w:t xml:space="preserve"> như mọi mô hình khác và báo cáo kết quả cả khi có lẫn khi không có M</w:t>
      </w:r>
      <w:r>
        <w:rPr>
          <w:vertAlign w:val="subscript"/>
        </w:rPr>
        <w:t>5</w:t>
      </w:r>
      <w:r>
        <w:t>. Đề tài chỉ ước lượng trực tiếp M</w:t>
      </w:r>
      <w:r>
        <w:rPr>
          <w:vertAlign w:val="subscript"/>
        </w:rPr>
        <w:t>3</w:t>
      </w:r>
      <w:r>
        <w:t xml:space="preserve"> khi tỷ lệ số cổ phiếu trên số quan sát tuần không vượt 0,5; khi vượt ngưỡng, M</w:t>
      </w:r>
      <w:r>
        <w:rPr>
          <w:vertAlign w:val="subscript"/>
        </w:rPr>
        <w:t>3</w:t>
      </w:r>
      <w:r>
        <w:t xml:space="preserve"> dùng nghịch đảo giả </w:t>
      </w:r>
      <w:r>
        <w:t xml:space="preserve">Moore-Penrose</w:t>
      </w:r>
      <w:r>
        <w:t xml:space="preserve"> và kết quả ghi rõ điều này.</w:t>
      </w:r>
    </w:p>
    <w:p w14:paraId="0EEA8DBF" w14:textId="77777777" w:rsidR="005D3DB2" w:rsidRDefault="00000000">
      <w:pPr>
        <w:pStyle w:val="BodyText"/>
      </w:pPr>
      <w:r>
        <w:t xml:space="preserve">Thí sinh đã dùng dữ liệu Việt Nam trong bài báo Nguyen và Nguyen (2026a) và trong các bản thảo số 5 và số 7 ở Bảng 7 [CẦN XÁC MINH phạm vi sàn của từng bài]. Để kiểm soát rủi ro chọn kết quả sau khi xem dữ liệu, thí sinh đăng ký trước kế hoạch phân tích trên nền tảng OSF Registries trước ngày 28/12/2026, với sự góp ý của người hướng dẫn dự kiến [CẦN XÁC NHẬN], ở dạng khóa có dấu thời gian, và khai rõ phạm vi sàn, giai đoạn và chỉ báo đã tính trong các bài trước. Tệp đăng ký cố định các nội dung sau: danh sách, cách chuẩn hóa và trọng số của chỉ báo; ngưỡng của hai đợt căng thẳng; ngày tham chiếu, quy tắc lập rổ và quy tắc ghép đối chứng; hai cấu hình chi phí giao dịch; siêu tham số của bảy mô hình; đặc tả các phương trình (5)–(7); độ dài khối và số lần tái lấy mẫu bootstrap; tập ngày giả định cho suy luận hoán vị; mức ý nghĩa và quy tắc hiệu chỉnh so sánh bội; quy tắc gọi một kết quả là chưa đủ cơ sở kết luận.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w:t>
      </w:r>
      <w:r>
        <w:t xml:space="preserve">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không phù hợp làm thước đo chính, vì khi lợi suất vượt trội trung bình âm, thường gặp trong giai đoạn căng thẳng, danh mục biến động mạnh hơn lại có tỷ số Sharpe ít âm hơn. Đề tài chỉ báo cáo tỷ số Sharpe như thước đo phụ.</w:t>
      </w:r>
    </w:p>
    <w:p>
      <w:pPr>
        <w:pStyle w:val="FirstParagraph"/>
      </w:pPr>
      <w:r>
        <w:t xml:space="preserve">Gọi M = {M</w:t>
      </w:r>
      <w:r>
        <w:rPr>
          <w:vertAlign w:val="subscript"/>
        </w:rPr>
        <w:t xml:space="preserve">1</w:t>
      </w:r>
      <w:r>
        <w:t xml:space="preserve">, …, M</w:t>
      </w:r>
      <w:r>
        <w:rPr>
          <w:vertAlign w:val="subscript"/>
        </w:rPr>
        <w:t xml:space="preserve">7</w:t>
      </w:r>
      <w:r>
        <w:t xml:space="preserve">} là tập mô hình ở Bảng 3 và b ∈ {H, CS} là rổ, trong đó CS là rổ cổ phiếu chuyển sàn và H là rổ cổ phiếu HOSE được ghép với CS. Với cửa sổ đánh giá kết thúc tại t, </w:t>
      </w:r>
      <w:r>
        <w:rPr>
          <w:i/>
          <w:iCs/>
        </w:rPr>
        <w:t xml:space="preserve">μ</w:t>
      </w:r>
      <w:r>
        <w:rPr>
          <w:vertAlign w:val="subscript"/>
        </w:rPr>
        <w:t xml:space="preserve">m,b,t</w:t>
      </w:r>
      <w:r>
        <w:t xml:space="preserve"> và </w:t>
      </w:r>
      <w:r>
        <w:rPr>
          <w:i/>
          <w:iCs/>
        </w:rPr>
        <w:t xml:space="preserve">σ</w:t>
      </w:r>
      <w:r>
        <w:t xml:space="preserve">²</w:t>
      </w:r>
      <w:r>
        <w:rPr>
          <w:vertAlign w:val="subscript"/>
        </w:rPr>
        <w:t xml:space="preserve">m,b,t</w:t>
      </w:r>
      <w:r>
        <w:t xml:space="preserve">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 Đề tài dùng hai cấu hình chi phí. Cấu hình A dùng tỷ lệ cố định c nhân với vòng quay danh mục và chỉ đo kênh lợi suất và rủi ro. Cấu hình B dùng chi phí theo cổ phiếu và theo tháng, gồm phí giao dịch, thuế và một nửa chênh lệch giá chào mua và chào bán đóng cửa [CẦN XÁC MINH dữ liệu lệnh], nên đo thêm kênh chi phí giao dịch mà sàn tác động. Lợi suất tương đương chắc chắn là:</w:t>
      </w:r>
    </w:p>
    <w:p>
      <w:pPr>
        <w:pStyle w:val="Equation"/>
      </w:pPr>
      <w:r>
        <w:tab/>
      </w:r>
      <m:oMath>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μ</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bSup>
          <m:sSubSupPr>
            <m:ctrlPr>
              <w:rPr>
                <w:rFonts w:ascii="Cambria Math" w:hAnsi="Cambria Math"/>
              </w:rPr>
            </m:ctrlPr>
          </m:sSubSupPr>
          <m:e>
            <m:r>
              <w:rPr>
                <w:rFonts w:ascii="Cambria Math" w:hAnsi="Cambria Math"/>
              </w:rPr>
              <m:t xml:space="preserve">σ</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t</m:t>
            </m:r>
          </m:sub>
          <m:sup>
            <m:r>
              <m:rPr>
                <m:sty m:val="p"/>
              </m:rPr>
              <w:rPr>
                <w:rFonts w:ascii="Cambria Math" w:hAnsi="Cambria Math"/>
              </w:rPr>
              <m:t xml:space="preserve">2</m:t>
            </m:r>
          </m:sup>
        </m:sSub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CS</m:t>
            </m:r>
            <m:r>
              <m:rPr>
                <m:sty m:val="p"/>
              </m:rPr>
              <w:rPr>
                <w:rFonts w:ascii="Cambria Math" w:hAnsi="Cambria Math"/>
              </w:rPr>
              <m:t xml:space="preserve">,</m:t>
            </m:r>
            <m:r>
              <w:rPr>
                <w:rFonts w:ascii="Cambria Math" w:hAnsi="Cambria Math"/>
              </w:rPr>
              <m:t xml:space="preserve">t</m:t>
            </m:r>
          </m:sub>
        </m:sSub>
      </m:oMath>
      <w:r>
        <w:t xml:space="preserve"> </w:t>
        <w:tab/>
        <w:t>(3)</w:t>
      </w:r>
    </w:p>
    <w:p>
      <w:pPr>
        <w:pStyle w:val="FirstParagraph"/>
      </w:pPr>
      <w:r>
        <w:t xml:space="preserve">Chỉ số khả năng đầu tư là khoảng cách bình quân theo bảy mô hình:</w:t>
      </w:r>
    </w:p>
    <w:p>
      <w:pPr>
        <w:pStyle w:val="Equation"/>
      </w:pPr>
      <w:r>
        <w:tab/>
      </w:r>
      <m:oMath>
        <m:sSub>
          <m:sSubPr>
            <m:ctrlPr>
              <w:rPr>
                <w:rFonts w:ascii="Cambria Math" w:hAnsi="Cambria Math"/>
              </w:rPr>
            </m:ctrlPr>
          </m:sSubPr>
          <m:e>
            <m:bar>
              <m:barPr>
                <m:pos m:val="top"/>
                <m:ctrlPr>
                  <w:rPr>
                    <w:rFonts w:ascii="Cambria Math" w:hAnsi="Cambria Math"/>
                  </w:rPr>
                </m:ctrlPr>
              </m:barPr>
              <m:e>
                <m:r>
                  <w:rPr>
                    <w:rFonts w:ascii="Cambria Math" w:hAnsi="Cambria Math"/>
                  </w:rPr>
                  <m:t xml:space="preserve">G</m:t>
                </m:r>
              </m:e>
            </m:bar>
          </m:e>
          <m:sub>
            <m:r>
              <w:rPr>
                <w:rFonts w:ascii="Cambria Math" w:hAnsi="Cambria Math"/>
              </w:rPr>
              <m:t xml:space="preserve">t</m:t>
            </m:r>
          </m:sub>
        </m:sSub>
        <m:r>
          <m:rPr>
            <m:sty m:val="p"/>
          </m:rP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d>
              <m:dPr>
                <m:begChr m:val="|"/>
                <m:endChr m:val="|"/>
                <m:ctrlPr>
                  <w:rPr>
                    <w:rFonts w:ascii="Cambria Math" w:hAnsi="Cambria Math"/>
                  </w:rPr>
                </m:ctrlPr>
              </m:dPr>
              <m:e>
                <m:r>
                  <w:rPr>
                    <w:rFonts w:ascii="Cambria Math" w:hAnsi="Cambria Math"/>
                  </w:rPr>
                  <m:t xml:space="preserve">M</m:t>
                </m:r>
              </m:e>
            </m:d>
          </m:den>
        </m:f>
        <m:nary>
          <m:naryPr>
            <m:chr m:val="∑"/>
            <m:limLoc m:val="undOvr"/>
            <m:supHide m:val="1"/>
            <m:ctrlPr>
              <w:rPr>
                <w:rFonts w:ascii="Cambria Math" w:hAnsi="Cambria Math"/>
              </w:rPr>
            </m:ctrlPr>
          </m:naryPr>
          <m:sub>
            <m:r>
              <w:rPr>
                <w:rFonts w:ascii="Cambria Math" w:hAnsi="Cambria Math"/>
              </w:rPr>
              <m:t xml:space="preserve">m</m:t>
            </m:r>
            <m:r>
              <m:rPr>
                <m:sty m:val="p"/>
              </m:rPr>
              <w:rPr>
                <w:rFonts w:ascii="Cambria Math" w:hAnsi="Cambria Math"/>
              </w:rPr>
              <m:t xml:space="preserve">∈</m:t>
            </m:r>
            <m:r>
              <w:rPr>
                <w:rFonts w:ascii="Cambria Math" w:hAnsi="Cambria Math"/>
              </w:rPr>
              <m:t xml:space="preserve">M</m:t>
            </m:r>
          </m:sub>
          <m:sup/>
          <m:e>
            <m:sSub>
              <m:sSubPr>
                <m:ctrlPr>
                  <w:rPr>
                    <w:rFonts w:ascii="Cambria Math" w:hAnsi="Cambria Math"/>
                  </w:rPr>
                </m:ctrlPr>
              </m:sSubPr>
              <m:e>
                <m:r>
                  <w:rPr>
                    <w:rFonts w:ascii="Cambria Math" w:hAnsi="Cambria Math"/>
                  </w:rPr>
                  <m:t xml:space="preserve">G</m:t>
                </m:r>
              </m:e>
              <m:sub>
                <m:r>
                  <w:rPr>
                    <w:rFonts w:ascii="Cambria Math" w:hAnsi="Cambria Math"/>
                  </w:rPr>
                  <m:t xml:space="preserve">m</m:t>
                </m:r>
                <m:r>
                  <m:rPr>
                    <m:sty m:val="p"/>
                  </m:rPr>
                  <w:rPr>
                    <w:rFonts w:ascii="Cambria Math" w:hAnsi="Cambria Math"/>
                  </w:rPr>
                  <m:t xml:space="preserve">,</m:t>
                </m:r>
                <m:r>
                  <w:rPr>
                    <w:rFonts w:ascii="Cambria Math" w:hAnsi="Cambria Math"/>
                  </w:rPr>
                  <m:t xml:space="preserve">t</m:t>
                </m:r>
              </m:sub>
            </m:sSub>
          </m:e>
        </m:nary>
      </m:oMath>
      <w:r>
        <w:t xml:space="preserve"> </w:t>
        <w:tab/>
        <w:t>(4)</w:t>
      </w:r>
    </w:p>
    <w:p>
      <w:pPr>
        <w:pStyle w:val="FirstParagraph"/>
      </w:pPr>
      <w:r>
        <w:t xml:space="preserve">Chỉ số khả năng đầu tư dương nghĩa là nhà đầu tư đa dạng hóa đạt lợi suất tương đương chắc chắn thấp hơn với rổ CS, tính bằng điểm phần trăm mỗi năm. Đề tài báo cáo kèm độ phân tán của </w:t>
      </w:r>
      <w:r>
        <w:rPr>
          <w:i/>
          <w:iCs/>
        </w:rPr>
        <w:t xml:space="preserve">G</w:t>
      </w:r>
      <w:r>
        <w:rPr>
          <w:vertAlign w:val="subscript"/>
        </w:rPr>
        <w:t xml:space="preserve">m,t</w:t>
      </w:r>
      <w:r>
        <w:t xml:space="preserve"> theo m. Rổ CS gồm tối đa 30 cổ phiếu có giá trị giao dịch bình quân ba tháng lớn nhất trong số các cổ phiếu chuyển sàn, xác định chỉ bằng dữ liệu có tại ngày tham chiếu 30/6/2025; mã hủy niêm yết sau ngày này được giữ đến tháng cuối cùng có giao dịch. Rổ H gồm, cho mỗi cổ phiếu của rổ CS, cổ phiếu HOSE gần nhất về vốn hóa, ngành và độ phi thanh khoản tại cùng ngày, ghép có hoàn lại với ngưỡng khoảng cách ghi trong tệp đăng ký. Giữ nguyên thành phần rổ giúp so sánh cùng các cổ phiếu quanh sự kiện, nhưng không loại hết các nguồn thiên lệch: thông tin tại ngày tham chiếu có thể lỗi thời ở các cửa sổ xa, và các mã được chọn vì thanh khoản cao có thể hồi quy về trung bình. Hai rổ được lập theo cùng quy tắc nên các nguồn này tác động lên cả hai.</w:t>
      </w:r>
    </w:p>
    <w:p w14:paraId="20510674" w14:textId="77777777" w:rsidR="005D3DB2" w:rsidRDefault="00000000">
      <w:pPr>
        <w:pStyle w:val="BodyText"/>
      </w:pPr>
      <w:r>
        <w:t xml:space="preserve">Đề tài ước lượng mỗi mô hình trên cửa sổ 104 tuần và đánh giá trên cửa sổ 3 tháng không chồng lấn (Hình 2). Giai đoạn tham chiếu dùng các cửa sổ từ quý 3/2020 đến quý 2/2025, tức 20 cửa sổ; giai đoạn sau sự kiện dùng các cửa sổ từ quý 1/2027 đến quý 4/2028, tức 8 cửa sổ. Vì số cửa sổ ít và lợi suất tương đương chắc chắn có phương sai lớn, hiệu ứng nhỏ nhất phát hiện được của H</w:t>
      </w:r>
      <w:r>
        <w:rPr>
          <w:vertAlign w:val="subscript"/>
        </w:rPr>
        <w:t xml:space="preserve">4</w:t>
      </w:r>
      <w:r>
        <w:t xml:space="preserve"> có thể lớn hơn nhiều so với một tác động hợp lý; đề tài tính con số này trên dữ liệu tham chiếu, ghi vào tệp đăng ký, và báo cáo H</w:t>
      </w:r>
      <w:r>
        <w:rPr>
          <w:vertAlign w:val="subscript"/>
        </w:rPr>
        <w:t xml:space="preserve">4</w:t>
      </w:r>
      <w:r>
        <w:t xml:space="preserve"> ở dạng ước lượng.</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w:t>
      </w:r>
      <w:r>
        <w:t xml:space="preserve">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G</w:t>
      </w:r>
      <w:r>
        <w:rPr>
          <w:vertAlign w:val="subscript"/>
        </w:rPr>
        <w:t xml:space="preserve">m,t</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δ</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w:t>
      </w:r>
      <w:r>
        <w:t xml:space="preserve">tính sau khi loại các ngày chạm biên độ và ngày liền sau mỗi ngày đó;</w:t>
      </w:r>
      <w:r>
        <w:t xml:space="preserve"> </w:t>
      </w:r>
      <w:r>
        <w:rPr>
          <w:i/>
          <w:iCs/>
        </w:rPr>
        <w:t xml:space="preserve">D</w:t>
      </w:r>
      <w:r>
        <w:rPr>
          <w:vertAlign w:val="subscript"/>
        </w:rPr>
        <w:t xml:space="preserve">i</w:t>
      </w:r>
      <w:r>
        <w:t xml:space="preserve"> bằng 1 nếu cổ phiếu chuyển sàn; </w:t>
      </w:r>
      <w:r>
        <w:rPr>
          <w:i/>
          <w:iCs/>
        </w:rPr>
        <w:t xml:space="preserve">Post</w:t>
      </w:r>
      <w:r>
        <w:rPr>
          <w:vertAlign w:val="subscript"/>
        </w:rPr>
        <w:t xml:space="preserve">t</w:t>
      </w:r>
      <w:r>
        <w:t xml:space="preserve"> bằng 1 từ tháng 1/2027; phương trình (5) được ước lượng trên giai đoạn tham chiếu (đến tháng 6/2025) và giai đoạn sau sự kiện (từ tháng 1/2027), còn các tháng từ 7/2025 đến 12/2026, gồm tháng chuyển sàn, chỉ được ước lượng trong phương trình (6);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Nhóm đối chứng chính gồm cổ phiếu HOSE ghép láng giềng gần nhất theo vốn hóa, ngành và độ phi thanh khoản tại ngày 30/6/2025, có hoàn lại, </w:t>
      </w:r>
      <w:r>
        <w:t xml:space="preserve">trong vùng hỗ trợ chung; vì ghép theo mức độ phi thanh khoản có thể tạo hồi quy về trung bình, đề tài báo cáo thêm kết quả khi chỉ ghép theo vốn hóa và ngành (Daw &amp; Hatfield, 2018);</w:t>
      </w:r>
      <w:r>
        <w:t xml:space="preserve"> nhóm đối chứng phụ gồm cổ phiếu UPCoM trong thời gian còn do HNX vận hành. Vì mọi cổ phiếu chuyển sàn cùng một ngày, suy luận chính dựa trên chuỗi chênh lệch theo tháng giữa nhóm xử lý và nhóm đối chứng: đề tài dùng sai số chuẩn chịu được tự tương quan trên chuỗi này và suy luận hoán vị trên các ngày giả định trong giai đoạn tham chiếu (Conley &amp; Taber, 2011). Sai số chuẩn phân cụm theo cổ phiếu và theo tháng chỉ được báo cáo để so sánh. H</w:t>
      </w:r>
      <w:r>
        <w:rPr>
          <w:vertAlign w:val="subscript"/>
        </w:rPr>
        <w:t xml:space="preserve">3</w:t>
      </w:r>
      <w:r>
        <w:t xml:space="preserve"> được ủng hộ khi </w:t>
      </w:r>
      <w:r>
        <w:rPr>
          <w:i/>
          <w:iCs/>
        </w:rPr>
        <w:t xml:space="preserve">δ</w:t>
      </w:r>
      <w:r>
        <w:t xml:space="preserve"> âm và giá trị p hoán vị nhỏ hơn ngưỡng Holm tương ứng. 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m:t>
        </m:r>
        <m:nary>
          <m:naryPr>
            <m:chr m:val="∑"/>
            <m:limLoc m:val="undOvr"/>
            <m:supHide m:val="1"/>
            <m:ctrlPr>
              <w:rPr>
                <w:rFonts w:ascii="Cambria Math" w:hAnsi="Cambria Math"/>
              </w:rPr>
            </m:ctrlPr>
          </m:naryPr>
          <m:sub>
            <m:r>
              <w:rPr>
                <w:rFonts w:ascii="Cambria Math" w:hAnsi="Cambria Math"/>
              </w:rPr>
              <m:t xml:space="preserve">k</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sty m:val="p"/>
                  </m:rPr>
                  <w:rPr>
                    <w:rFonts w:ascii="Cambria Math" w:hAnsi="Cambria Math"/>
                  </w:rPr>
                  <m:t xml:space="preserve">0</m:t>
                </m:r>
              </m:sub>
            </m:sSub>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t</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e>
        </m:nary>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ε</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(6)</w:t>
      </w:r>
    </w:p>
    <w:p>
      <w:pPr>
        <w:pStyle w:val="FirstParagraph"/>
      </w:pPr>
      <w:r>
        <w:t xml:space="preserve">trong đó k chạy từ tháng 1/2024 </w:t>
      </w:r>
      <w:r>
        <w:t xml:space="preserve">đến tháng 12/2028, các tháng trước 1/2024 được gộp vào một biến chỉ chung, </w:t>
      </w:r>
      <w:r>
        <w:rPr>
          <w:i/>
          <w:iCs/>
        </w:rPr>
        <w:t xml:space="preserve">k</w:t>
      </w:r>
      <w:r>
        <w:rPr>
          <w:vertAlign w:val="subscript"/>
        </w:rPr>
        <w:t xml:space="preserve">0</w:t>
      </w:r>
      <w:r>
        <w:t xml:space="preserve"> là tháng 6/2025, tức tháng gốc, và 1[t = k] bằng 1 nếu tháng t là tháng k. Các hệ số </w:t>
      </w:r>
      <w:r>
        <w:rPr>
          <w:i/>
          <w:iCs/>
        </w:rPr>
        <w:t xml:space="preserve">δ</w:t>
      </w:r>
      <w:r>
        <w:rPr>
          <w:vertAlign w:val="subscript"/>
        </w:rPr>
        <w:t xml:space="preserve">k</w:t>
      </w:r>
      <w:r>
        <w:t xml:space="preserve"> trong giai đoạn chuyển tiếp cho biết phản ứng trước sự kiện. Đề tài báo cáo độ nhạy của kết luận khi xu hướng song song bị vi phạm ở mức tương đương độ lệch lớn nhất trước sự kiện (Rambachan &amp; Roth, 2023). 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lấy mẫu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w:t>
      </w:r>
      <w:r>
        <w:t xml:space="preserve">dựa trên cách tiếp cận dữ liệu bảng của Naeem (2023), nhưng dùng điểm GFCI chuẩn hóa theo kỳ thay cho thứ hạng.</w:t>
      </w:r>
      <w:r>
        <w:t xml:space="preserve">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γ</m:t>
            </m:r>
          </m:e>
          <m:sub>
            <m:r>
              <w:rPr>
                <w:rFonts w:ascii="Cambria Math" w:hAnsi="Cambria Math"/>
              </w:rPr>
              <m:t xml:space="preserve">i</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θ</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p>
          <m:sSupPr>
            <m:ctrlPr>
              <w:rPr>
                <w:rFonts w:ascii="Cambria Math" w:hAnsi="Cambria Math"/>
              </w:rPr>
            </m:ctrlPr>
          </m:sSupPr>
          <m:e>
            <m:r>
              <w:rPr>
                <w:rFonts w:ascii="Cambria Math" w:hAnsi="Cambria Math"/>
              </w:rPr>
              <m:t xml:space="preserve">λ</m:t>
            </m:r>
          </m:e>
          <m:sup>
            <m:r>
              <m:rPr>
                <m:sty m:val="p"/>
              </m:rPr>
              <w:rPr>
                <w:rFonts w:ascii="Cambria Math" w:hAnsi="Cambria Math"/>
              </w:rPr>
              <m:t xml:space="preserve">′</m:t>
            </m:r>
          </m:sup>
        </m:sSup>
        <m:sSub>
          <m:sSubPr>
            <m:ctrlPr>
              <w:rPr>
                <w:rFonts w:ascii="Cambria Math" w:hAnsi="Cambria Math"/>
              </w:rPr>
            </m:ctrlPr>
          </m:sSubPr>
          <m:e>
            <m:r>
              <w:rPr>
                <w:rFonts w:ascii="Cambria Math" w:hAnsi="Cambria Math"/>
              </w:rPr>
              <m:t xml:space="preserve">W</m:t>
            </m:r>
          </m:e>
          <m:sub>
            <m:r>
              <w:rPr>
                <w:rFonts w:ascii="Cambria Math" w:hAnsi="Cambria Math"/>
              </w:rPr>
              <m:t xml:space="preserve">c</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y</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u</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chuẩn hóa thành điểm z trong từng kỳ. Đề tài chuẩn hóa vì điểm GFCI được ước lượng lại mỗi kỳ và số trung tâm thay đổi giữa các kỳ. </w:t>
      </w:r>
      <w:r>
        <w:rPr>
          <w:i/>
          <w:iCs/>
        </w:rPr>
        <w:t xml:space="preserve">SMD</w:t>
      </w:r>
      <w:r>
        <w:rPr>
          <w:vertAlign w:val="subscript"/>
        </w:rPr>
        <w:t xml:space="preserve">c(i),y(t)−1</w:t>
      </w:r>
      <w:r>
        <w:t xml:space="preserve"> là chỉ báo phát triển thị trường cổ phiếu của quốc gia c(i) chứa trung tâm i trong năm liền trước năm y(t) của kỳ t, gộp từ tỷ lệ vòng quay và vốn hóa trên GDP (Čihák và cộng sự, 2012); </w:t>
      </w:r>
      <w:r>
        <w:rPr>
          <w:i/>
          <w:iCs/>
        </w:rPr>
        <w:t xml:space="preserve">W</w:t>
      </w:r>
      <w:r>
        <w:rPr>
          <w:vertAlign w:val="subscript"/>
        </w:rPr>
        <w:t xml:space="preserve">c(i),y(t)−1</w:t>
      </w:r>
      <w:r>
        <w:t xml:space="preserve"> là véc-tơ gồm thu nhập bình quân đầu người và chỉ số quản trị nhà nước (Kaufmann và cộng sự, 2011); </w:t>
      </w:r>
      <w:r>
        <w:rPr>
          <w:i/>
          <w:iCs/>
        </w:rPr>
        <w:t xml:space="preserve">γ</w:t>
      </w:r>
      <w:r>
        <w:rPr>
          <w:vertAlign w:val="subscript"/>
        </w:rPr>
        <w:t xml:space="preserve">i</w:t>
      </w:r>
      <w:r>
        <w:t xml:space="preserve"> và </w:t>
      </w:r>
      <w:r>
        <w:rPr>
          <w:i/>
          <w:iCs/>
        </w:rPr>
        <w:t xml:space="preserve">θ</w:t>
      </w:r>
      <w:r>
        <w:rPr>
          <w:vertAlign w:val="subscript"/>
        </w:rPr>
        <w:t xml:space="preserve">t</w:t>
      </w:r>
      <w:r>
        <w:t xml:space="preserve"> là hiệu ứng cố định theo trung tâm và theo kỳ. Nếu Cơ sở dữ liệu Phát triển Tài chính Toàn cầu không phủ các năm sau 2021, đề tài dùng số liệu của Liên đoàn các Sở Giao dịch Thế giới [CẦN XÁC MINH]. Sai số chuẩn được phân cụm theo quốc gia. Vì </w:t>
      </w:r>
      <w:r>
        <w:rPr>
          <w:i/>
          <w:iCs/>
        </w:rPr>
        <w:t xml:space="preserve">SMD</w:t>
      </w:r>
      <w:r>
        <w:t xml:space="preserve"> thay đổi chậm, </w:t>
      </w:r>
      <w:r>
        <w:rPr>
          <w:i/>
          <w:iCs/>
        </w:rPr>
        <w:t xml:space="preserve">β</w:t>
      </w:r>
      <w:r>
        <w:t xml:space="preserve"> chủ yếu được xác định từ biến thiên theo thời gian trong từng quốc gia; đề tài báo cáo thêm ước lượng không có hiệu ứng cố định theo trung tâm. </w:t>
      </w:r>
      <w:r>
        <w:rPr>
          <w:i/>
          <w:iCs/>
        </w:rPr>
        <w:t xml:space="preserve">SMD</w:t>
      </w:r>
      <w:r>
        <w:t xml:space="preserve"> khác với MQI ở phương trình (1) và không được quy đổi sang chỉ số đó. </w:t>
      </w:r>
      <w:r>
        <w:t xml:space="preserve">Vì điểm GFCI gộp kết quả khảo sát với các nhân tố định lượng, trong đó có nhóm phát triển khu vực tài chính như khối lượng giao dịch, một phần lấy từ Liên đoàn các Sở Giao dịch Thế giới (Naeem, 2023),</w:t>
      </w:r>
      <w:r>
        <w:t xml:space="preserve"> và vì trung tâm mạnh có thể kéo theo giao dịch cổ phiếu, đề tài gọi </w:t>
      </w:r>
      <w:r>
        <w:rPr>
          <w:i/>
          <w:iCs/>
        </w:rPr>
        <w:t xml:space="preserve">β</w:t>
      </w:r>
      <w:r>
        <w:t xml:space="preserve">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w:t>
      </w:r>
      <w:r>
        <w:t xml:space="preserve">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xu hướng song song, kiểm tra bằng các hệ số trước sự kiện của phương trình (6). Thứ hai, nhóm đối chứng không chịu tác động của sự kiện. Ba thay đổi trùng thời gian tác động lên nhóm đối chứng HOSE: FTSE Russell đưa cổ phiếu Việt Nam vào chỉ số theo bốn đợt từ tháng 9/2026 đến tháng 9/2027; HOSE phân loại cổ phiếu vào Bảng Chính và Bảng Tiêu chuẩn từ ngày 28/12/2026; và HOSE tiếp nhận khoảng 300 mã, </w:t>
      </w:r>
      <w:r>
        <w:t xml:space="preserve">đồng thời VN-Index gồm toàn bộ cổ phiếu niêm yết trên HOSE và tự động cập nhật danh mục sau ngày giao dịch đầu tiên của cổ phiếu niêm yết mới (Sở Giao dịch Chứng khoán Thành phố Hồ Chí Minh, 2026), nên các mã chuyển sàn nhiều khả năng vào chỉ số từ phiên thứ hai trên HOSE [CẦN XÁC MINH cách HOSE xử lý mã chuyển sàn]</w:t>
      </w:r>
      <w:r>
        <w:t xml:space="preserve"> [CẦN XÁC MINH các mốc FTSE và phân bảng]. Vì vậy nhóm đối chứng HOSE loại các mã thuộc danh sách dự kiến của FTSE Russell, </w:t>
      </w:r>
      <w:r>
        <w:rPr>
          <w:i/>
          <w:iCs/>
        </w:rPr>
        <w:t xml:space="preserve">δ</w:t>
      </w:r>
      <w:r>
        <w:t xml:space="preserve"> được ước lượng thêm với biến chỉ nhóm bảng phân loại, và đề tài báo cáo riêng thay đổi thanh khoản của từng nhóm đối chứng so với xu hướng trước của chính nhóm đó. </w:t>
      </w:r>
      <w:r>
        <w:t xml:space="preserve">Amihud và cộng sự (1997) ghi nhận thanh khoản lan tỏa giữa các cổ phiếu liên quan; nếu nhóm đối chứng HOSE mất thanh khoản do dòng lệnh chuyển sang cổ phiếu chuyển sàn, δ phóng đại tác động,</w:t>
      </w:r>
      <w:r>
        <w:t xml:space="preserve"> nên ước lượng với nhóm đối chứng UPCoM được trình bày như một cận khác. Thứ ba, việc rời mẫu không liên quan đến sự kiện: đề tài báo cáo tỷ lệ mã hủy niêm yết sau sự kiện ở từng nhóm và ước lượng lại trên bảng cân bằng. Việc chuyển sàn đổi cùng lúc biên độ dao động giá, hệ thống giao dịch và tư cách thành phần chỉ số, nên </w:t>
      </w:r>
      <w:r>
        <w:rPr>
          <w:i/>
          <w:iCs/>
        </w:rPr>
        <w:t xml:space="preserve">δ</w:t>
      </w:r>
      <w:r>
        <w:t xml:space="preserve"> đo tác động gộp của sàn, không đo riêng từng quy tắc.</w:t>
      </w:r>
    </w:p>
    <w:p w14:paraId="6A2099F9" w14:textId="77777777" w:rsidR="005D3DB2" w:rsidRDefault="00000000">
      <w:pPr>
        <w:pStyle w:val="BodyText"/>
      </w:pPr>
      <w:r>
        <w:t xml:space="preserve">Từ bằng chứng đến định hướng cho Hà Nội. Sau hợp nhất, HNX tổ chức thị trường trái phiếu và chứng khoán phái sinh (Bộ Tài chính, 2023). Kết quả H</w:t>
      </w:r>
      <w:r>
        <w:rPr>
          <w:vertAlign w:val="subscript"/>
        </w:rPr>
        <w:t xml:space="preserve">2</w:t>
      </w:r>
      <w:r>
        <w:t xml:space="preserve">–H</w:t>
      </w:r>
      <w:r>
        <w:rPr>
          <w:vertAlign w:val="subscript"/>
        </w:rPr>
        <w:t xml:space="preserve">4</w:t>
      </w:r>
      <w:r>
        <w:t xml:space="preserve"> cho biết sàn giao dịch liên hệ thế nào với thanh khoản và khả năng đầu tư; kết quả H</w:t>
      </w:r>
      <w:r>
        <w:rPr>
          <w:vertAlign w:val="subscript"/>
        </w:rPr>
        <w:t xml:space="preserve">1</w:t>
      </w:r>
      <w:r>
        <w:t xml:space="preserve"> cho biết mức phát triển thị trường cổ phiếu liên hệ thế nào với vị thế trung tâm. Đề tài so sánh vai trò của Hà Nội với Bắc Kinh và Thượng Hải (Lai, 2012; Wang và cộng sự, 2007) và với Thành phố Hồ Chí Minh bằng văn bản chính sách và dữ liệu công khai, rồi đề xuất định hướng chuyên môn hóa cho các thị trường mà HNX tiếp tục vận hành. Phần này là tổng hợp định tính, không kiểm định giả thuyết. Nếu được các tổ chức đồng ý, thí sinh lấy ý kiến chuyên gia không chính thức [CẦN XÁC NHẬN với người hướng dẫn].</w:t>
      </w:r>
    </w:p>
    <w:p>
      <w:pPr>
        <w:pStyle w:val="BodyText"/>
      </w:pPr>
      <w:r>
        <w:t xml:space="preserve">Hai chỉ số được đóng gói thành mã nguồn mở, có tài liệu hướng dẫn. Chỉ số chất lượng thị trường vốn được cập nhật theo tháng cho UPCoM và HOSE khi có dữ liệu mới. Phần công khai gồm mã nguồn, chỉ số đã tính và tệp đăng ký trước; dữ liệu gốc từ nhà cung cấp thương mại được chia sẻ tùy điều khoản giấy phép.</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Công suất của H</w:t>
      </w:r>
      <w:r>
        <w:rPr>
          <w:vertAlign w:val="subscript"/>
        </w:rPr>
        <w:t xml:space="preserve">3</w:t>
      </w:r>
      <w:r>
        <w:t xml:space="preserve"> phụ thuộc vào số tháng trước và sau sự kiện và vào độ lớn của cú sốc chung theo tháng, không phụ thuộc vào số cổ phiếu, vì mọi cổ phiếu chuyển sàn cùng một ngày. Thí sinh tính hiệu ứng nhỏ nhất phát hiện được trên chuỗi chênh lệch của giai đoạn 2009–2025 và ghi vào tệp đăng ký. H</w:t>
      </w:r>
      <w:r>
        <w:rPr>
          <w:vertAlign w:val="subscript"/>
        </w:rPr>
        <w:t xml:space="preserve">4</w:t>
      </w:r>
      <w:r>
        <w:t xml:space="preserve"> có ít cửa sổ nên chỉ được báo cáo ở dạng ước lượng. Các so sánh theo giai đoạn căng thẳng dựa trên hai đợt nên chỉ được báo cáo theo từng đợt ở dạng mô tả. Giá trị p đưa vào thủ tục Holm (1979) ở mức 5% là giá trị p phân cụm theo quốc gia cho H</w:t>
      </w:r>
      <w:r>
        <w:rPr>
          <w:vertAlign w:val="subscript"/>
        </w:rPr>
        <w:t xml:space="preserve">1</w:t>
      </w:r>
      <w:r>
        <w:t xml:space="preserve">, giá trị p bootstrap khối cho H</w:t>
      </w:r>
      <w:r>
        <w:rPr>
          <w:vertAlign w:val="subscript"/>
        </w:rPr>
        <w:t xml:space="preserve">2</w:t>
      </w:r>
      <w:r>
        <w:t xml:space="preserve"> và giá trị p hoán vị cho H</w:t>
      </w:r>
      <w:r>
        <w:rPr>
          <w:vertAlign w:val="subscript"/>
        </w:rPr>
        <w:t xml:space="preserve">3</w:t>
      </w:r>
      <w:r>
        <w:t xml:space="preserve">. Ở H</w:t>
      </w:r>
      <w:r>
        <w:rPr>
          <w:vertAlign w:val="subscript"/>
        </w:rPr>
        <w:t xml:space="preserve">1</w:t>
      </w:r>
      <w:r>
        <w:t xml:space="preserve">, đề tài kiểm tra độ bền trên mẫu các trung tâm có ít nhất năm kỳ, </w:t>
      </w:r>
      <w:r>
        <w:t xml:space="preserve">và đối chiếu danh sách nhân tố công bố của từng kỳ GFCI với các thành phần của SMD, báo cáo tỷ lệ kỳ có trùng lặp; nếu trùng lặp ở phần lớn các kỳ, kết quả H1 được trình bày như liên hệ mô tả [CẦN XÁC MINH danh sách nhân tố từng kỳ].</w:t>
      </w:r>
      <w:r>
        <w:t xml:space="preserve"> Nếu dữ liệu không ủng hộ giả thuyết, đề tài vẫn trả lời được câu hỏi nghiên cứu bằng kích thước hiệu ứng và khoảng tin cậy.</w:t>
      </w:r>
    </w:p>
    <w:p w14:paraId="37F1B519" w14:textId="77777777" w:rsidR="005D3DB2" w:rsidRDefault="00000000">
      <w:pPr>
        <w:pStyle w:val="BodyText"/>
      </w:pPr>
      <w:r>
        <w:t xml:space="preserve">Kế hoạch có năm phương án dự phòng.</w:t>
      </w:r>
      <w:r>
        <w:t xml:space="preserve"> Nếu không số hóa được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câu hỏi 3 </w:t>
      </w:r>
      <w:r>
        <w:t xml:space="preserve">dùng các mã đã tự chuyển từ HNX sang HOSE trước năm 2026. Nếu cổ phiếu UPCoM được chuyển sang HOSE cùng đợt hoặc trong 24 tháng sau sự kiện, nhóm đối chứng UPCoM chỉ được dùng đến tháng liền trước ngày chuyển của UPCoM, Chỉ số chất lượng thị trường vốn của UPCoM dừng tại tháng đó, và ước lượng chính chỉ dựa vào nhóm đối chứng HOSE.</w:t>
      </w:r>
      <w:r>
        <w:t xml:space="preserve"> Nếu cả hai nhóm đối chứng không đạt kiểm tra xu hướng song song, đề tài dùng nhóm đối chứng tổng hợp từ các mã HOSE ngoài danh sách FTSE Russell và mã UPCoM. Nếu dữ liệu sau sự kiện ngắn hơn 24 tháng hoặc rổ chuyển sàn có ít hơn 30 cổ phiếu đủ thanh khoản, đề tài dùng toàn bộ tháng có sẵn và rổ 20 cổ phiếu. Các mã đã tự chuyển sàn trước năm 2026 còn được dùng làm phân tích phụ để tách tác động của biên độ giá. Thí sinh công khai mã nguồn và tệp đăng ký trước trên một kho lưu trữ mở, chậm nhất khi nộp luận án.</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w:t>
      </w:r>
      <w:r>
        <w:rPr/>
        <w:t xml:space="preserve">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(không bán khống) là cấu hình cơ sở của bảy mô hình phân bổ. Phân tích định lượng không xét thị trường trái phiếu và phái sinh; hai thị trường này chỉ được xét trong phần định hướng chuyên môn hóa. Đề tài không đánh giá chính sách nào khác ngoài đợt chuyển sàn, không khảo sát nhà đầu tư và không vận hành dịch vụ thương mại.</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điều kiện các giả định ở mục 4.3.8 được thỏa mãn, và chỉ áp dụng cho một sự kiện; kết luận về H</w:t>
      </w:r>
      <w:r>
        <w:rPr>
          <w:vertAlign w:val="subscript"/>
        </w:rPr>
        <w:t xml:space="preserve">4</w:t>
      </w:r>
      <w:r>
        <w:t xml:space="preserve"> là ước lượng và chỉ áp dụng cho rổ 30 cổ phiếu chuyển sàn có thanh khoản cao nhất; định hướng chuyên môn hóa là tổng hợp có căn cứ.</w:t>
      </w:r>
    </w:p>
    <w:p>
      <w:pPr>
        <w:pStyle w:val="BodyText"/>
      </w:pPr>
      <w:r>
        <w:t xml:space="preserve">Đề tài không giải quyết trọn bài toán số 19; </w:t>
      </w:r>
      <w:r>
        <w:t xml:space="preserve">câu hỏi số 2 và số 4 về công nghệ tài chính và dịch vụ tài chính thế hệ mới nằm ngoài phạm vi; với câu hỏi số 3, đề tài chỉ cung cấp thước đo minh bạch và hiệu quả thị trường làm nền, không đề xuất nền tảng công nghệ.</w:t>
      </w:r>
      <w:r>
        <w:t xml:space="preserve"> Người dùng dự kiến của kết quả gồm Ủy ban nhân dân thành phố Hà Nội, Ủy ban Chứng khoán Nhà nước, HNX, HOSE và các tổ chức đầu tư [CẦN XÁC MINH].</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5000" w:type="pct"/>
        <w:tblLook w:val="0020" w:firstRow="1" w:lastRow="0" w:firstColumn="0" w:lastColumn="0" w:noHBand="0" w:noVBand="0"/>
      </w:tblPr>
      <w:tblGrid>
        <w:gridCol w:w="993"/>
        <w:gridCol w:w="1530"/>
        <w:gridCol w:w="6255"/>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617A13" w14:textId="77777777" w:rsidR="005D3DB2" w:rsidRDefault="00000000">
            <w:pPr>
              <w:pStyle w:val="Compact"/>
            </w:pPr>
            <w:r>
              <w:t>Chương</w:t>
            </w:r>
          </w:p>
        </w:tc>
        <w:tc>
          <w:tcPr>
            <w:tcW w:w="0" w:type="auto"/>
          </w:tcPr>
          <w:p w14:paraId="7E951140" w14:textId="77777777" w:rsidR="005D3DB2" w:rsidRDefault="00000000">
            <w:pPr>
              <w:pStyle w:val="Compact"/>
            </w:pPr>
            <w:r>
              <w:t>Tên chương</w:t>
            </w:r>
          </w:p>
        </w:tc>
        <w:tc>
          <w:tcPr>
            <w:tcW w:w="0" w:type="auto"/>
          </w:tcPr>
          <w:p w14:paraId="37C3C919" w14:textId="77777777" w:rsidR="005D3DB2" w:rsidRDefault="00000000">
            <w:pPr>
              <w:pStyle w:val="Compact"/>
            </w:pPr>
            <w:r>
              <w:t>Các tiểu mục chính (đến ba chữ số)</w:t>
            </w:r>
          </w:p>
        </w:tc>
      </w:tr>
      <w:tr w:rsidR="005D3DB2" w14:paraId="4C1B0FF7" w14:textId="77777777">
        <w:trPr>
          <w:cantSplit/>
        </w:trPr>
        <w:tc>
          <w:tcPr>
            <w:tcW w:w="0" w:type="auto"/>
          </w:tcPr>
          <w:p w14:paraId="322FF50B" w14:textId="77777777" w:rsidR="005D3DB2" w:rsidRDefault="00000000">
            <w:pPr>
              <w:pStyle w:val="Compact"/>
            </w:pPr>
            <w:r>
              <w:t>Chương 1</w:t>
            </w:r>
          </w:p>
        </w:tc>
        <w:tc>
          <w:tcPr>
            <w:tcW w:w="0" w:type="auto"/>
          </w:tcPr>
          <w:p w14:paraId="74D88853" w14:textId="77777777" w:rsidR="005D3DB2" w:rsidRDefault="00000000">
            <w:pPr>
              <w:pStyle w:val="Compact"/>
            </w:pPr>
            <w:r>
              <w:t>Giới thiệu nghiên cứu</w:t>
            </w:r>
          </w:p>
        </w:tc>
        <w:tc>
          <w:tcPr>
            <w:tcW w:w="0" w:type="auto"/>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0" w:type="auto"/>
          </w:tcPr>
          <w:p w14:paraId="4540440E" w14:textId="77777777" w:rsidR="005D3DB2" w:rsidRDefault="00000000">
            <w:pPr>
              <w:pStyle w:val="Compact"/>
            </w:pPr>
            <w:r>
              <w:t>Chương 2</w:t>
            </w:r>
          </w:p>
        </w:tc>
        <w:tc>
          <w:tcPr>
            <w:tcW w:w="0" w:type="auto"/>
          </w:tcPr>
          <w:p w14:paraId="4D7FB84F" w14:textId="77777777" w:rsidR="005D3DB2" w:rsidRDefault="00000000">
            <w:pPr>
              <w:pStyle w:val="Compact"/>
            </w:pPr>
            <w:r>
              <w:t xml:space="preserve">Tổng quan tài liệu và khung phân tích</w:t>
            </w:r>
          </w:p>
        </w:tc>
        <w:tc>
          <w:tcPr>
            <w:tcW w:w="0" w:type="auto"/>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0" w:type="auto"/>
          </w:tcPr>
          <w:p w14:paraId="42945545" w14:textId="77777777" w:rsidR="005D3DB2" w:rsidRDefault="00000000">
            <w:pPr>
              <w:pStyle w:val="Compact"/>
            </w:pPr>
            <w:r>
              <w:t>Chương 3</w:t>
            </w:r>
          </w:p>
        </w:tc>
        <w:tc>
          <w:tcPr>
            <w:tcW w:w="0" w:type="auto"/>
          </w:tcPr>
          <w:p w14:paraId="4F981ECB" w14:textId="77777777" w:rsidR="005D3DB2" w:rsidRDefault="00000000">
            <w:pPr>
              <w:pStyle w:val="Compact"/>
            </w:pPr>
            <w:r>
              <w:t xml:space="preserve">Dữ liệu và phương pháp</w:t>
            </w:r>
          </w:p>
        </w:tc>
        <w:tc>
          <w:tcPr>
            <w:tcW w:w="0" w:type="auto"/>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0" w:type="auto"/>
          </w:tcPr>
          <w:p w14:paraId="0BA0B803" w14:textId="77777777" w:rsidR="005D3DB2" w:rsidRDefault="00000000">
            <w:pPr>
              <w:pStyle w:val="Compact"/>
            </w:pPr>
            <w:r>
              <w:t>Chương 4</w:t>
            </w:r>
          </w:p>
        </w:tc>
        <w:tc>
          <w:tcPr>
            <w:tcW w:w="0" w:type="auto"/>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0" w:type="auto"/>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bền; 4.4 Thảo luận: Thành phố Hồ Chí Minh, Đà Nẵng và Hà Nội</w:t>
            </w:r>
          </w:p>
        </w:tc>
      </w:tr>
      <w:tr w:rsidR="005D3DB2" w14:paraId="2E8DF854" w14:textId="77777777">
        <w:trPr>
          <w:cantSplit/>
        </w:trPr>
        <w:tc>
          <w:tcPr>
            <w:tcW w:w="0" w:type="auto"/>
          </w:tcPr>
          <w:p w14:paraId="59786C49" w14:textId="77777777" w:rsidR="005D3DB2" w:rsidRDefault="00000000">
            <w:pPr>
              <w:pStyle w:val="Compact"/>
            </w:pPr>
            <w:r>
              <w:t>Chương 5</w:t>
            </w:r>
          </w:p>
        </w:tc>
        <w:tc>
          <w:tcPr>
            <w:tcW w:w="0" w:type="auto"/>
          </w:tcPr>
          <w:p w14:paraId="7BDF0C6D" w14:textId="77777777" w:rsidR="005D3DB2" w:rsidRDefault="00000000">
            <w:pPr>
              <w:pStyle w:val="Compact"/>
            </w:pPr>
            <w:r>
              <w:t xml:space="preserve">Chất lượng thị trường vốn trước hợp nhất: HNX, UPCoM và HOSE</w:t>
            </w:r>
          </w:p>
        </w:tc>
        <w:tc>
          <w:tcPr>
            <w:tcW w:w="0" w:type="auto"/>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0" w:type="auto"/>
          </w:tcPr>
          <w:p w14:paraId="177C7BB2" w14:textId="77777777" w:rsidR="005D3DB2" w:rsidRDefault="00000000">
            <w:pPr>
              <w:pStyle w:val="Compact"/>
            </w:pPr>
            <w:r>
              <w:t>Chương 6</w:t>
            </w:r>
          </w:p>
        </w:tc>
        <w:tc>
          <w:tcPr>
            <w:tcW w:w="0" w:type="auto"/>
          </w:tcPr>
          <w:p w14:paraId="1DA21297" w14:textId="77777777" w:rsidR="005D3DB2" w:rsidRDefault="00000000">
            <w:pPr>
              <w:pStyle w:val="Compact"/>
            </w:pPr>
            <w:r>
              <w:t xml:space="preserve">Tác động của việc chuyển sàn và định hướng cho thị trường vốn Hà Nội</w:t>
            </w:r>
          </w:p>
        </w:tc>
        <w:tc>
          <w:tcPr>
            <w:tcW w:w="0" w:type="auto"/>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theo quy mô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0" w:type="auto"/>
          </w:tcPr>
          <w:p w14:paraId="488E10B5" w14:textId="77777777" w:rsidR="005D3DB2" w:rsidRDefault="00000000">
            <w:pPr>
              <w:pStyle w:val="Compact"/>
            </w:pPr>
            <w:r>
              <w:t>Kết luận</w:t>
            </w:r>
          </w:p>
        </w:tc>
        <w:tc>
          <w:tcPr>
            <w:tcW w:w="0" w:type="auto"/>
          </w:tcPr>
          <w:p w14:paraId="0D23B9F0" w14:textId="77777777" w:rsidR="005D3DB2" w:rsidRDefault="005D3DB2">
            <w:pPr>
              <w:pStyle w:val="Compact"/>
            </w:pPr>
          </w:p>
        </w:tc>
        <w:tc>
          <w:tcPr>
            <w:tcW w:w="0" w:type="auto"/>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Lý do đầu tiên là sự phù hợp về chuyên môn: theo Thông báo tuyển sinh năm 2026, chương trình Tiến sĩ Kinh tế và Quản lý có tính liên ngành và tập trung vào kinh tế hành vi và quản lý trong lĩnh vực kinh tế, </w:t>
      </w:r>
      <w:r>
        <w:t xml:space="preserve">còn đề tài thuộc tài chính định lượng và quản lý, </w:t>
      </w:r>
      <w:r>
        <w:t xml:space="preserve">và giao thoa với quản lý ở phần </w:t>
      </w:r>
      <w:r>
        <w:t xml:space="preserve">định hướng chuyên môn hóa thị trường vốn Hà Nội</w:t>
      </w:r>
      <w:r>
        <w:t xml:space="preserve">.</w:t>
      </w:r>
      <w:r>
        <w:t xml:space="preserve"> Lý do thứ hai là ngôn ngữ đào tạo: </w:t>
      </w:r>
      <w:r>
        <w:t xml:space="preserve">chương trình giảng dạy bằng tiếng Anh hoặc tiếng Việt; </w:t>
      </w:r>
      <w:r>
        <w:t xml:space="preserve">học bằng tiếng Anh thuận lợi</w:t>
      </w:r>
      <w:r>
        <w:t xml:space="preserve"> cho công bố quốc tế, và thí sinh có</w:t>
      </w:r>
      <w:r>
        <w:t xml:space="preserve"> chứng chỉ tiếng Anh Bậc 4 theo Khung năng lực ngoại ngữ 6 bậc dùng cho Việt Nam. Lý do thứ ba là điều kiện dự tuyển: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w:t>
      </w:r>
      <w:r>
        <w:t xml:space="preserve">ước lượng tác động của một sự kiện duy nhất với suy luận phù hợp</w:t>
      </w:r>
      <w:r>
        <w:t xml:space="preserve">, và báo cáo trung thực </w:t>
      </w:r>
      <w:r>
        <w:t xml:space="preserve">cả những kết quả chưa đủ cơ sở kết luận.</w:t>
      </w:r>
      <w:r>
        <w:t xml:space="preserve">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 Thí sinh mong muốn công bố kết quả trên các tạp chí quốc tế có phản biện, theo quy định công bố của chương trình đào tạo tiến sĩ.</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Trong hai quý đầu năm thứ nhất, thí sinh hoàn thành 9 tín chỉ học bổ sung (học phần Hành vi tổ chức và Lãnh đạo cùng hai học phần tự chọn) và các học phần theo chương trình. Thí sinh ưu tiên học phần tự chọn về kinh tế lượng chuỗi thời gian và phương pháp nghiên cứu định lượng, vì đây là công cụ trực tiếp của luận án.</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định hướng cho Hà Nội. Số bài là mục tiêu; kết quả cụ thể phụ thuộc vào dữ liệu và quy trình phản biện của tạp chí.</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Thời gian đào tạo đối với người có bằng đại học là bốn năm.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5000" w:type="pct"/>
        <w:tblLook w:val="0020" w:firstRow="1" w:lastRow="0" w:firstColumn="0" w:lastColumn="0" w:noHBand="0" w:noVBand="0"/>
      </w:tblPr>
      <w:tblGrid>
        <w:gridCol w:w="668"/>
        <w:gridCol w:w="6050"/>
        <w:gridCol w:w="2060"/>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D0347E4" w14:textId="77777777" w:rsidR="005D3DB2" w:rsidRDefault="00000000">
            <w:pPr>
              <w:pStyle w:val="Compact"/>
            </w:pPr>
            <w:r>
              <w:t>Năm</w:t>
            </w:r>
          </w:p>
        </w:tc>
        <w:tc>
          <w:tcPr>
            <w:tcW w:w="0" w:type="auto"/>
          </w:tcPr>
          <w:p w14:paraId="21E9C063" w14:textId="77777777" w:rsidR="005D3DB2" w:rsidRDefault="00000000">
            <w:pPr>
              <w:pStyle w:val="Compact"/>
            </w:pPr>
            <w:r>
              <w:t>Nội dung</w:t>
            </w:r>
          </w:p>
        </w:tc>
        <w:tc>
          <w:tcPr>
            <w:tcW w:w="0" w:type="auto"/>
          </w:tcPr>
          <w:p w14:paraId="1F86562E" w14:textId="77777777" w:rsidR="005D3DB2" w:rsidRDefault="00000000">
            <w:pPr>
              <w:pStyle w:val="Compact"/>
            </w:pPr>
            <w:r>
              <w:t>Sản phẩm</w:t>
            </w:r>
          </w:p>
        </w:tc>
      </w:tr>
      <w:tr w:rsidR="005D3DB2" w14:paraId="489CA679" w14:textId="77777777">
        <w:trPr>
          <w:cantSplit/>
        </w:trPr>
        <w:tc>
          <w:tcPr>
            <w:tcW w:w="0" w:type="auto"/>
          </w:tcPr>
          <w:p w14:paraId="758DF502" w14:textId="77777777" w:rsidR="005D3DB2" w:rsidRDefault="00000000">
            <w:pPr>
              <w:pStyle w:val="Compact"/>
            </w:pPr>
            <w:r>
              <w:t>Năm 1</w:t>
            </w:r>
          </w:p>
        </w:tc>
        <w:tc>
          <w:tcPr>
            <w:tcW w:w="0" w:type="auto"/>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0" w:type="auto"/>
          </w:tcPr>
          <w:p w14:paraId="49F49FA0" w14:textId="77777777" w:rsidR="005D3DB2" w:rsidRDefault="00000000">
            <w:pPr>
              <w:pStyle w:val="Compact"/>
            </w:pPr>
            <w:r>
              <w:t xml:space="preserve">Tệp đăng ký trước; tổng quan nghiên cứu; chuyên đề 1; chỉ số chất lượng bản đầu</w:t>
            </w:r>
          </w:p>
        </w:tc>
      </w:tr>
      <w:tr w:rsidR="005D3DB2" w14:paraId="475714BB" w14:textId="77777777">
        <w:trPr>
          <w:cantSplit/>
        </w:trPr>
        <w:tc>
          <w:tcPr>
            <w:tcW w:w="0" w:type="auto"/>
          </w:tcPr>
          <w:p w14:paraId="3CAB58A2" w14:textId="77777777" w:rsidR="005D3DB2" w:rsidRDefault="00000000">
            <w:pPr>
              <w:pStyle w:val="Compact"/>
            </w:pPr>
            <w:r>
              <w:t>Năm 2</w:t>
            </w:r>
          </w:p>
        </w:tc>
        <w:tc>
          <w:tcPr>
            <w:tcW w:w="0" w:type="auto"/>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0" w:type="auto"/>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0" w:type="auto"/>
          </w:tcPr>
          <w:p w14:paraId="72C3354E" w14:textId="77777777" w:rsidR="005D3DB2" w:rsidRDefault="00000000">
            <w:pPr>
              <w:pStyle w:val="Compact"/>
            </w:pPr>
            <w:r>
              <w:t>Năm 3</w:t>
            </w:r>
          </w:p>
        </w:tc>
        <w:tc>
          <w:tcPr>
            <w:tcW w:w="0" w:type="auto"/>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0" w:type="auto"/>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0" w:type="auto"/>
          </w:tcPr>
          <w:p w14:paraId="4FCE09B1" w14:textId="77777777" w:rsidR="005D3DB2" w:rsidRDefault="00000000">
            <w:pPr>
              <w:pStyle w:val="Compact"/>
            </w:pPr>
            <w:r>
              <w:t>Năm 4</w:t>
            </w:r>
          </w:p>
        </w:tc>
        <w:tc>
          <w:tcPr>
            <w:tcW w:w="0" w:type="auto"/>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0" w:type="auto"/>
          </w:tcPr>
          <w:p w14:paraId="4CC80AB9" w14:textId="77777777" w:rsidR="005D3DB2" w:rsidRDefault="00000000">
            <w:pPr>
              <w:pStyle w:val="Compact"/>
            </w:pPr>
            <w:r>
              <w:t xml:space="preserve">Bài báo 3; luận án; hai chỉ số mã nguồn mở</w:t>
            </w:r>
          </w:p>
        </w:tc>
      </w:tr>
    </w:tbl>
    <w:p w14:paraId="6FB360A3" w14:textId="77777777" w:rsidR="005D3DB2" w:rsidRDefault="00000000">
      <w:pPr>
        <w:pStyle w:val="SourceNote"/>
      </w:pPr>
      <w:r>
        <w:t>Nguồn: Thí sinh đề xuất</w:t>
      </w:r>
    </w:p>
    <w:p w14:paraId="4F8F439A" w14:textId="77777777" w:rsidR="005D3DB2" w:rsidRDefault="00000000">
      <w:pPr>
        <w:pStyle w:val="BodyText"/>
      </w:pPr>
      <w:r>
        <w:t xml:space="preserve">Kế hoạch có năm phương án dự phòng</w:t>
      </w:r>
      <w:r>
        <w:t xml:space="preserve"> (mục 4.3.10): không số hóa được điểm GFCI; </w:t>
      </w:r>
      <w:r>
        <w:t xml:space="preserve">sự kiện bị lùi, thực hiện theo nhiều đợt hoặc không diễn ra; UPCoM chuyển sang HOSE trong cửa sổ sau sự kiện;</w:t>
      </w:r>
      <w:r>
        <w:t xml:space="preserve"> nhóm đối chứng không đạt kiểm tra xu hướng song song; dữ liệu sau sự kiện ngắn hơn 24 tháng hoặc rổ chuyển sàn quá ít mã. Phương án xử lý từng trường hợp được ghi trong tệp đăng ký trước.</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5000" w:type="pct"/>
        <w:tblLook w:val="0020" w:firstRow="1" w:lastRow="0" w:firstColumn="0" w:lastColumn="0" w:noHBand="0" w:noVBand="0"/>
      </w:tblPr>
      <w:tblGrid>
        <w:gridCol w:w="477"/>
        <w:gridCol w:w="3587"/>
        <w:gridCol w:w="2959"/>
        <w:gridCol w:w="1755"/>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F46F851" w14:textId="77777777" w:rsidR="005D3DB2" w:rsidRDefault="00000000">
            <w:pPr>
              <w:pStyle w:val="Compact"/>
            </w:pPr>
            <w:r>
              <w:t>TT</w:t>
            </w:r>
          </w:p>
        </w:tc>
        <w:tc>
          <w:tcPr>
            <w:tcW w:w="0" w:type="auto"/>
          </w:tcPr>
          <w:p w14:paraId="60B13376" w14:textId="77777777" w:rsidR="005D3DB2" w:rsidRDefault="00000000">
            <w:pPr>
              <w:pStyle w:val="Compact"/>
            </w:pPr>
            <w:r>
              <w:t>Công trình</w:t>
            </w:r>
          </w:p>
        </w:tc>
        <w:tc>
          <w:tcPr>
            <w:tcW w:w="0" w:type="auto"/>
          </w:tcPr>
          <w:p w14:paraId="09100F43" w14:textId="77777777" w:rsidR="005D3DB2" w:rsidRDefault="00000000">
            <w:pPr>
              <w:pStyle w:val="Compact"/>
            </w:pPr>
            <w:r>
              <w:t>Tạp chí; ISSN</w:t>
            </w:r>
          </w:p>
        </w:tc>
        <w:tc>
          <w:tcPr>
            <w:tcW w:w="0" w:type="auto"/>
          </w:tcPr>
          <w:p w14:paraId="48262534" w14:textId="77777777" w:rsidR="005D3DB2" w:rsidRDefault="00000000">
            <w:pPr>
              <w:pStyle w:val="Compact"/>
            </w:pPr>
            <w:r>
              <w:t>Trạng thái</w:t>
            </w:r>
          </w:p>
        </w:tc>
      </w:tr>
      <w:tr w:rsidR="005D3DB2" w14:paraId="223C44CB" w14:textId="77777777">
        <w:trPr>
          <w:cantSplit/>
        </w:trPr>
        <w:tc>
          <w:tcPr>
            <w:tcW w:w="0" w:type="auto"/>
          </w:tcPr>
          <w:p w14:paraId="6A2810EB" w14:textId="77777777" w:rsidR="005D3DB2" w:rsidRDefault="00000000">
            <w:pPr>
              <w:pStyle w:val="Compact"/>
            </w:pPr>
            <w:r>
              <w:t>1</w:t>
            </w:r>
          </w:p>
        </w:tc>
        <w:tc>
          <w:tcPr>
            <w:tcW w:w="0" w:type="auto"/>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0" w:type="auto"/>
          </w:tcPr>
          <w:p w14:paraId="7C63DA21" w14:textId="77777777" w:rsidR="005D3DB2" w:rsidRDefault="00000000">
            <w:pPr>
              <w:pStyle w:val="Compact"/>
            </w:pPr>
            <w:r>
              <w:t>Tạp chí Kinh tế - Luật và Ngân hàng; ISSN 3030-4199; Tập 28, Số 9, tr. 52–64; DOI 10.59276/3030-4199/jelb.bav.895</w:t>
            </w:r>
          </w:p>
        </w:tc>
        <w:tc>
          <w:tcPr>
            <w:tcW w:w="0" w:type="auto"/>
          </w:tcPr>
          <w:p w14:paraId="1DB41FFF" w14:textId="77777777" w:rsidR="005D3DB2" w:rsidRDefault="00000000">
            <w:pPr>
              <w:pStyle w:val="Compact"/>
            </w:pPr>
            <w:r>
              <w:t>Đã công bố</w:t>
            </w:r>
          </w:p>
        </w:tc>
      </w:tr>
      <w:tr w:rsidR="005D3DB2" w14:paraId="136CE50D" w14:textId="77777777">
        <w:trPr>
          <w:cantSplit/>
        </w:trPr>
        <w:tc>
          <w:tcPr>
            <w:tcW w:w="0" w:type="auto"/>
          </w:tcPr>
          <w:p w14:paraId="7D27DA56" w14:textId="77777777" w:rsidR="005D3DB2" w:rsidRDefault="00000000">
            <w:pPr>
              <w:pStyle w:val="Compact"/>
            </w:pPr>
            <w:r>
              <w:t>2</w:t>
            </w:r>
          </w:p>
        </w:tc>
        <w:tc>
          <w:tcPr>
            <w:tcW w:w="0" w:type="auto"/>
          </w:tcPr>
          <w:p w14:paraId="7CF01717" w14:textId="77777777" w:rsidR="005D3DB2" w:rsidRDefault="00000000">
            <w:pPr>
              <w:pStyle w:val="Compact"/>
            </w:pPr>
            <w:r>
              <w:t>Nguyễn Thanh Bình, Nguyễn Văn Trung, “Black-Litterman portfolio optimization using regime switching CAPM and ABC-MCMC: Empirical evidence from the Vietnamese stock market period 2019 - 2025” (Nguyen &amp; Nguyen, 2026a)</w:t>
            </w:r>
          </w:p>
        </w:tc>
        <w:tc>
          <w:tcPr>
            <w:tcW w:w="0" w:type="auto"/>
          </w:tcPr>
          <w:p w14:paraId="21B2C551" w14:textId="77777777" w:rsidR="005D3DB2" w:rsidRDefault="00000000">
            <w:pPr>
              <w:pStyle w:val="Compact"/>
            </w:pPr>
            <w:r>
              <w:t>Tạp chí Nghiên cứu Chính sách và Phát triển; ISSN 3030-4091; Tập 3, Số 1, tr. 81–99; DOI 10.63640/3030-4091/jpd.apd.194</w:t>
            </w:r>
          </w:p>
        </w:tc>
        <w:tc>
          <w:tcPr>
            <w:tcW w:w="0" w:type="auto"/>
          </w:tcPr>
          <w:p w14:paraId="624886EC" w14:textId="77777777" w:rsidR="005D3DB2" w:rsidRDefault="00000000">
            <w:pPr>
              <w:pStyle w:val="Compact"/>
            </w:pPr>
            <w:r>
              <w:t>Đã công bố</w:t>
            </w:r>
          </w:p>
        </w:tc>
      </w:tr>
      <w:tr w:rsidR="005D3DB2" w14:paraId="33E29DC0" w14:textId="77777777">
        <w:trPr>
          <w:cantSplit/>
        </w:trPr>
        <w:tc>
          <w:tcPr>
            <w:tcW w:w="0" w:type="auto"/>
          </w:tcPr>
          <w:p w14:paraId="539BEAFB" w14:textId="77777777" w:rsidR="005D3DB2" w:rsidRDefault="00000000">
            <w:pPr>
              <w:pStyle w:val="Compact"/>
            </w:pPr>
            <w:r>
              <w:t>3</w:t>
            </w:r>
          </w:p>
        </w:tc>
        <w:tc>
          <w:tcPr>
            <w:tcW w:w="0" w:type="auto"/>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0" w:type="auto"/>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0" w:type="auto"/>
          </w:tcPr>
          <w:p w14:paraId="6213FD20" w14:textId="77777777" w:rsidR="005D3DB2" w:rsidRDefault="00000000">
            <w:pPr>
              <w:pStyle w:val="Compact"/>
            </w:pPr>
            <w:r>
              <w:t>Đã được chấp nhận đăng năm 2026, chưa xuất bản tại ngày 30/09/2026</w:t>
            </w:r>
          </w:p>
        </w:tc>
      </w:tr>
    </w:tbl>
    <w:p w14:paraId="17CAA286" w14:textId="77777777" w:rsidR="005D3DB2" w:rsidRDefault="00000000">
      <w:pPr>
        <w:pStyle w:val="SourceNote"/>
      </w:pPr>
      <w:r>
        <w:t xml:space="preserve">Ghi chú: (*) Tác giả liên hệ. Tên bài báo bằng tiếng Anh </w:t>
      </w:r>
      <w:r>
        <w:t xml:space="preserve">giữ nguyên như khi công bố. Trạng thái tính đến ngày 30/09/2026.</w:t>
      </w:r>
    </w:p>
    <w:p w14:paraId="53C9A500" w14:textId="77777777" w:rsidR="005D3DB2" w:rsidRDefault="00000000">
      <w:pPr>
        <w:pStyle w:val="BodyText"/>
      </w:pPr>
      <w:r>
        <w:t>Ngoài các công trình trên, thí sinh có chín bản thảo đang ở các bước phản biện hoặc xét duyệt (Bảng 7), trong đó ba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Bản thảo đã gửi tạp chí, chưa công bố tại ngày 30/09/2026</w:t>
      </w:r>
      <w:bookmarkEnd w:id="59"/>
    </w:p>
    <w:tbl>
      <w:tblPr>
        <w:tblStyle w:val="Table"/>
        <w:tblW w:w="5000" w:type="pct"/>
        <w:tblLook w:val="0020" w:firstRow="1" w:lastRow="0" w:firstColumn="0" w:lastColumn="0" w:noHBand="0" w:noVBand="0"/>
      </w:tblPr>
      <w:tblGrid>
        <w:gridCol w:w="478"/>
        <w:gridCol w:w="2830"/>
        <w:gridCol w:w="531"/>
        <w:gridCol w:w="2211"/>
        <w:gridCol w:w="1679"/>
        <w:gridCol w:w="1049"/>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281E21" w14:textId="77777777" w:rsidR="005D3DB2" w:rsidRDefault="00000000">
            <w:pPr>
              <w:pStyle w:val="Compact"/>
            </w:pPr>
            <w:r>
              <w:t>TT</w:t>
            </w:r>
          </w:p>
        </w:tc>
        <w:tc>
          <w:tcPr>
            <w:tcW w:w="0" w:type="auto"/>
          </w:tcPr>
          <w:p w14:paraId="04188E2A" w14:textId="77777777" w:rsidR="005D3DB2" w:rsidRDefault="00000000">
            <w:pPr>
              <w:pStyle w:val="Compact"/>
            </w:pPr>
            <w:r>
              <w:t>Tên bài báo</w:t>
            </w:r>
          </w:p>
        </w:tc>
        <w:tc>
          <w:tcPr>
            <w:tcW w:w="0" w:type="auto"/>
          </w:tcPr>
          <w:p w14:paraId="3D12A13F" w14:textId="77777777" w:rsidR="005D3DB2" w:rsidRDefault="00000000">
            <w:pPr>
              <w:pStyle w:val="Compact"/>
            </w:pPr>
            <w:r>
              <w:t>Số tác giả</w:t>
            </w:r>
          </w:p>
        </w:tc>
        <w:tc>
          <w:tcPr>
            <w:tcW w:w="0" w:type="auto"/>
          </w:tcPr>
          <w:p w14:paraId="0EC0CC60" w14:textId="77777777" w:rsidR="005D3DB2" w:rsidRDefault="00000000">
            <w:pPr>
              <w:pStyle w:val="Compact"/>
            </w:pPr>
            <w:r>
              <w:t>Tạp chí; ISSN</w:t>
            </w:r>
          </w:p>
        </w:tc>
        <w:tc>
          <w:tcPr>
            <w:tcW w:w="0" w:type="auto"/>
          </w:tcPr>
          <w:p w14:paraId="156D343A" w14:textId="77777777" w:rsidR="005D3DB2" w:rsidRDefault="00000000">
            <w:pPr>
              <w:pStyle w:val="Compact"/>
            </w:pPr>
            <w:r>
              <w:t>Trạng thái (mã bài)</w:t>
            </w:r>
          </w:p>
        </w:tc>
        <w:tc>
          <w:tcPr>
            <w:tcW w:w="0" w:type="auto"/>
          </w:tcPr>
          <w:p w14:paraId="19795523" w14:textId="77777777" w:rsidR="005D3DB2" w:rsidRDefault="00000000">
            <w:pPr>
              <w:pStyle w:val="Compact"/>
            </w:pPr>
            <w:r>
              <w:t>Liên quan đến đề tài</w:t>
            </w:r>
          </w:p>
        </w:tc>
      </w:tr>
      <w:tr w:rsidR="005D3DB2" w14:paraId="722A5281" w14:textId="77777777">
        <w:trPr>
          <w:cantSplit/>
        </w:trPr>
        <w:tc>
          <w:tcPr>
            <w:tcW w:w="0" w:type="auto"/>
          </w:tcPr>
          <w:p w14:paraId="1B475C6E" w14:textId="77777777" w:rsidR="005D3DB2" w:rsidRDefault="00000000">
            <w:pPr>
              <w:pStyle w:val="Compact"/>
            </w:pPr>
            <w:r>
              <w:t>1</w:t>
            </w:r>
          </w:p>
        </w:tc>
        <w:tc>
          <w:tcPr>
            <w:tcW w:w="0" w:type="auto"/>
          </w:tcPr>
          <w:p w14:paraId="1BB1A867" w14:textId="77777777" w:rsidR="005D3DB2" w:rsidRDefault="00000000">
            <w:pPr>
              <w:pStyle w:val="Compact"/>
            </w:pPr>
            <w:r>
              <w:t>Portfolio optimization with the inverse Black-Litterman framework and clustering machine-learning models: Evidence from Vietnamese bank stocks</w:t>
            </w:r>
          </w:p>
        </w:tc>
        <w:tc>
          <w:tcPr>
            <w:tcW w:w="0" w:type="auto"/>
          </w:tcPr>
          <w:p w14:paraId="099632FD" w14:textId="77777777" w:rsidR="005D3DB2" w:rsidRDefault="00000000">
            <w:pPr>
              <w:pStyle w:val="Compact"/>
            </w:pPr>
            <w:r>
              <w:t>5</w:t>
            </w:r>
          </w:p>
        </w:tc>
        <w:tc>
          <w:tcPr>
            <w:tcW w:w="0" w:type="auto"/>
          </w:tcPr>
          <w:p w14:paraId="622ED6E5" w14:textId="77777777" w:rsidR="005D3DB2" w:rsidRDefault="00000000">
            <w:pPr>
              <w:pStyle w:val="Compact"/>
            </w:pPr>
            <w:r>
              <w:t>Multidisciplinary Science Journal; ISSN 2675-1240; Scopus Q3</w:t>
            </w:r>
          </w:p>
        </w:tc>
        <w:tc>
          <w:tcPr>
            <w:tcW w:w="0" w:type="auto"/>
          </w:tcPr>
          <w:p w14:paraId="39F6F7DE" w14:textId="77777777" w:rsidR="005D3DB2" w:rsidRDefault="00000000">
            <w:pPr>
              <w:pStyle w:val="Compact"/>
            </w:pPr>
            <w:r>
              <w:t>Đã sửa xong vòng 2 (mã 19322)</w:t>
            </w:r>
          </w:p>
        </w:tc>
        <w:tc>
          <w:tcPr>
            <w:tcW w:w="0" w:type="auto"/>
          </w:tcPr>
          <w:p w14:paraId="528FCFF9" w14:textId="77777777" w:rsidR="005D3DB2" w:rsidRDefault="00000000">
            <w:pPr>
              <w:pStyle w:val="Compact"/>
            </w:pPr>
            <w:r>
              <w:t>Có (mô hình danh mục)</w:t>
            </w:r>
          </w:p>
        </w:tc>
      </w:tr>
      <w:tr w:rsidR="005D3DB2" w14:paraId="636303B6" w14:textId="77777777">
        <w:trPr>
          <w:cantSplit/>
        </w:trPr>
        <w:tc>
          <w:tcPr>
            <w:tcW w:w="0" w:type="auto"/>
          </w:tcPr>
          <w:p w14:paraId="5CAC10E7" w14:textId="77777777" w:rsidR="005D3DB2" w:rsidRDefault="00000000">
            <w:pPr>
              <w:pStyle w:val="Compact"/>
            </w:pPr>
            <w:r>
              <w:t>2</w:t>
            </w:r>
          </w:p>
        </w:tc>
        <w:tc>
          <w:tcPr>
            <w:tcW w:w="0" w:type="auto"/>
          </w:tcPr>
          <w:p w14:paraId="5011594A" w14:textId="77777777" w:rsidR="005D3DB2" w:rsidRDefault="00000000">
            <w:pPr>
              <w:pStyle w:val="Compact"/>
            </w:pPr>
            <w:r>
              <w:t>Tác động của cấu trúc sở hữu lên ổn định tài chính của các ngân hàng thương mại Việt Nam</w:t>
            </w:r>
          </w:p>
        </w:tc>
        <w:tc>
          <w:tcPr>
            <w:tcW w:w="0" w:type="auto"/>
          </w:tcPr>
          <w:p w14:paraId="449B50E3" w14:textId="77777777" w:rsidR="005D3DB2" w:rsidRDefault="00000000">
            <w:pPr>
              <w:pStyle w:val="Compact"/>
            </w:pPr>
            <w:r>
              <w:t>2</w:t>
            </w:r>
          </w:p>
        </w:tc>
        <w:tc>
          <w:tcPr>
            <w:tcW w:w="0" w:type="auto"/>
          </w:tcPr>
          <w:p w14:paraId="157AE89D" w14:textId="77777777" w:rsidR="005D3DB2" w:rsidRDefault="00000000">
            <w:pPr>
              <w:pStyle w:val="Compact"/>
            </w:pPr>
            <w:r>
              <w:t>Tạp chí Kinh tế - Luật và Ngân hàng; ISSN 3030-4199</w:t>
            </w:r>
          </w:p>
        </w:tc>
        <w:tc>
          <w:tcPr>
            <w:tcW w:w="0" w:type="auto"/>
          </w:tcPr>
          <w:p w14:paraId="273A81D7" w14:textId="77777777" w:rsidR="005D3DB2" w:rsidRDefault="00000000">
            <w:pPr>
              <w:pStyle w:val="Compact"/>
            </w:pPr>
            <w:r>
              <w:t>Qua 2 vòng phản biện, đang chỉnh sửa (mã 3129)</w:t>
            </w:r>
          </w:p>
        </w:tc>
        <w:tc>
          <w:tcPr>
            <w:tcW w:w="0" w:type="auto"/>
          </w:tcPr>
          <w:p w14:paraId="0A93CE6E" w14:textId="77777777" w:rsidR="005D3DB2" w:rsidRDefault="00000000">
            <w:pPr>
              <w:pStyle w:val="Compact"/>
            </w:pPr>
            <w:r>
              <w:t>Không</w:t>
            </w:r>
          </w:p>
        </w:tc>
      </w:tr>
      <w:tr w:rsidR="005D3DB2" w14:paraId="7954A65C" w14:textId="77777777">
        <w:trPr>
          <w:cantSplit/>
        </w:trPr>
        <w:tc>
          <w:tcPr>
            <w:tcW w:w="0" w:type="auto"/>
          </w:tcPr>
          <w:p w14:paraId="68924E55" w14:textId="77777777" w:rsidR="005D3DB2" w:rsidRDefault="00000000">
            <w:pPr>
              <w:pStyle w:val="Compact"/>
            </w:pPr>
            <w:r>
              <w:t>3</w:t>
            </w:r>
          </w:p>
        </w:tc>
        <w:tc>
          <w:tcPr>
            <w:tcW w:w="0" w:type="auto"/>
          </w:tcPr>
          <w:p w14:paraId="4FD3FE53" w14:textId="77777777" w:rsidR="005D3DB2" w:rsidRDefault="00000000">
            <w:pPr>
              <w:pStyle w:val="Compact"/>
            </w:pPr>
            <w:r>
              <w:t>Limits to arbitrage in the Vietnamese physical gold market: The failure of short-term momentum</w:t>
            </w:r>
          </w:p>
        </w:tc>
        <w:tc>
          <w:tcPr>
            <w:tcW w:w="0" w:type="auto"/>
          </w:tcPr>
          <w:p w14:paraId="12D0A221" w14:textId="77777777" w:rsidR="005D3DB2" w:rsidRDefault="00000000">
            <w:pPr>
              <w:pStyle w:val="Compact"/>
            </w:pPr>
            <w:r>
              <w:t>3</w:t>
            </w:r>
          </w:p>
        </w:tc>
        <w:tc>
          <w:tcPr>
            <w:tcW w:w="0" w:type="auto"/>
          </w:tcPr>
          <w:p w14:paraId="68E875A5" w14:textId="77777777" w:rsidR="005D3DB2" w:rsidRDefault="00000000">
            <w:pPr>
              <w:pStyle w:val="Compact"/>
            </w:pPr>
            <w:r>
              <w:t>Journal of Economic and Banking Studies; ISSN 2734-9853</w:t>
            </w:r>
          </w:p>
        </w:tc>
        <w:tc>
          <w:tcPr>
            <w:tcW w:w="0" w:type="auto"/>
          </w:tcPr>
          <w:p w14:paraId="38F63AD8" w14:textId="77777777" w:rsidR="005D3DB2" w:rsidRDefault="00000000">
            <w:pPr>
              <w:pStyle w:val="Compact"/>
            </w:pPr>
            <w:r>
              <w:t>Đang sửa vòng 1 (mã JEBS.1563)</w:t>
            </w:r>
          </w:p>
        </w:tc>
        <w:tc>
          <w:tcPr>
            <w:tcW w:w="0" w:type="auto"/>
          </w:tcPr>
          <w:p w14:paraId="593C4CA1" w14:textId="77777777" w:rsidR="005D3DB2" w:rsidRDefault="00000000">
            <w:pPr>
              <w:pStyle w:val="Compact"/>
            </w:pPr>
            <w:r>
              <w:t>Không</w:t>
            </w:r>
          </w:p>
        </w:tc>
      </w:tr>
      <w:tr w:rsidR="005D3DB2" w14:paraId="455EFBD7" w14:textId="77777777">
        <w:trPr>
          <w:cantSplit/>
        </w:trPr>
        <w:tc>
          <w:tcPr>
            <w:tcW w:w="0" w:type="auto"/>
          </w:tcPr>
          <w:p w14:paraId="3F7F0A83" w14:textId="77777777" w:rsidR="005D3DB2" w:rsidRDefault="00000000">
            <w:pPr>
              <w:pStyle w:val="Compact"/>
            </w:pPr>
            <w:r>
              <w:t>4</w:t>
            </w:r>
          </w:p>
        </w:tc>
        <w:tc>
          <w:tcPr>
            <w:tcW w:w="0" w:type="auto"/>
          </w:tcPr>
          <w:p w14:paraId="07C31D6F" w14:textId="77777777" w:rsidR="005D3DB2" w:rsidRDefault="00000000">
            <w:pPr>
              <w:pStyle w:val="Compact"/>
            </w:pPr>
            <w:r>
              <w:t>Corporate Brownwashing and Firm Valuation in ASEAN-5 Disclosure Regimes</w:t>
            </w:r>
          </w:p>
        </w:tc>
        <w:tc>
          <w:tcPr>
            <w:tcW w:w="0" w:type="auto"/>
          </w:tcPr>
          <w:p w14:paraId="634CD6A2" w14:textId="77777777" w:rsidR="005D3DB2" w:rsidRDefault="00000000">
            <w:pPr>
              <w:pStyle w:val="Compact"/>
            </w:pPr>
            <w:r>
              <w:t>2</w:t>
            </w:r>
          </w:p>
        </w:tc>
        <w:tc>
          <w:tcPr>
            <w:tcW w:w="0" w:type="auto"/>
          </w:tcPr>
          <w:p w14:paraId="15D2DE3E" w14:textId="77777777" w:rsidR="005D3DB2" w:rsidRDefault="00000000">
            <w:pPr>
              <w:pStyle w:val="Compact"/>
            </w:pPr>
            <w:r>
              <w:t>Cogent Business &amp; Management; ISSN 2331-1975; Scopus Q2</w:t>
            </w:r>
          </w:p>
        </w:tc>
        <w:tc>
          <w:tcPr>
            <w:tcW w:w="0" w:type="auto"/>
          </w:tcPr>
          <w:p w14:paraId="55A4BEBF" w14:textId="77777777" w:rsidR="005D3DB2" w:rsidRDefault="00000000">
            <w:pPr>
              <w:pStyle w:val="Compact"/>
            </w:pPr>
            <w:r>
              <w:t>Đang phản biện vòng 1 (mã 260865765)</w:t>
            </w:r>
          </w:p>
        </w:tc>
        <w:tc>
          <w:tcPr>
            <w:tcW w:w="0" w:type="auto"/>
          </w:tcPr>
          <w:p w14:paraId="2C369781" w14:textId="77777777" w:rsidR="005D3DB2" w:rsidRDefault="00000000">
            <w:pPr>
              <w:pStyle w:val="Compact"/>
            </w:pPr>
            <w:r>
              <w:t>Không</w:t>
            </w:r>
          </w:p>
        </w:tc>
      </w:tr>
      <w:tr w:rsidR="005D3DB2" w14:paraId="4E668E66" w14:textId="77777777">
        <w:trPr>
          <w:cantSplit/>
        </w:trPr>
        <w:tc>
          <w:tcPr>
            <w:tcW w:w="0" w:type="auto"/>
          </w:tcPr>
          <w:p w14:paraId="67F047FC" w14:textId="77777777" w:rsidR="005D3DB2" w:rsidRDefault="00000000">
            <w:pPr>
              <w:pStyle w:val="Compact"/>
            </w:pPr>
            <w:r>
              <w:t>5</w:t>
            </w:r>
          </w:p>
        </w:tc>
        <w:tc>
          <w:tcPr>
            <w:tcW w:w="0" w:type="auto"/>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0" w:type="auto"/>
          </w:tcPr>
          <w:p w14:paraId="7DD3169A" w14:textId="77777777" w:rsidR="005D3DB2" w:rsidRDefault="00000000">
            <w:pPr>
              <w:pStyle w:val="Compact"/>
            </w:pPr>
            <w:r>
              <w:t>6</w:t>
            </w:r>
          </w:p>
        </w:tc>
        <w:tc>
          <w:tcPr>
            <w:tcW w:w="0" w:type="auto"/>
          </w:tcPr>
          <w:p w14:paraId="26170363" w14:textId="77777777" w:rsidR="005D3DB2" w:rsidRDefault="00000000">
            <w:pPr>
              <w:pStyle w:val="Compact"/>
            </w:pPr>
            <w:r>
              <w:t>Asian Journal of Economics and Banking; ISSN 2615-9821</w:t>
            </w:r>
          </w:p>
        </w:tc>
        <w:tc>
          <w:tcPr>
            <w:tcW w:w="0" w:type="auto"/>
          </w:tcPr>
          <w:p w14:paraId="5BE9C6F4" w14:textId="77777777" w:rsidR="005D3DB2" w:rsidRDefault="00000000">
            <w:pPr>
              <w:pStyle w:val="Compact"/>
            </w:pPr>
            <w:r>
              <w:t>Chờ phân công phản biện (mã AJEB-08-2026-0208)</w:t>
            </w:r>
          </w:p>
        </w:tc>
        <w:tc>
          <w:tcPr>
            <w:tcW w:w="0" w:type="auto"/>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0" w:type="auto"/>
          </w:tcPr>
          <w:p w14:paraId="4F71AE07" w14:textId="77777777" w:rsidR="005D3DB2" w:rsidRDefault="00000000">
            <w:pPr>
              <w:pStyle w:val="Compact"/>
            </w:pPr>
            <w:r>
              <w:t>6</w:t>
            </w:r>
          </w:p>
        </w:tc>
        <w:tc>
          <w:tcPr>
            <w:tcW w:w="0" w:type="auto"/>
          </w:tcPr>
          <w:p w14:paraId="572E2D9D" w14:textId="77777777" w:rsidR="005D3DB2" w:rsidRDefault="00000000">
            <w:pPr>
              <w:pStyle w:val="Compact"/>
            </w:pPr>
            <w:r>
              <w:t>Nested equity index correlations overstate true co-movement: Evidence from Vietnam</w:t>
            </w:r>
          </w:p>
        </w:tc>
        <w:tc>
          <w:tcPr>
            <w:tcW w:w="0" w:type="auto"/>
          </w:tcPr>
          <w:p w14:paraId="2198CF88" w14:textId="77777777" w:rsidR="005D3DB2" w:rsidRDefault="00000000">
            <w:pPr>
              <w:pStyle w:val="Compact"/>
            </w:pPr>
            <w:r>
              <w:t>4</w:t>
            </w:r>
          </w:p>
        </w:tc>
        <w:tc>
          <w:tcPr>
            <w:tcW w:w="0" w:type="auto"/>
          </w:tcPr>
          <w:p w14:paraId="7E5E52AB" w14:textId="77777777" w:rsidR="005D3DB2" w:rsidRDefault="00000000">
            <w:pPr>
              <w:pStyle w:val="Compact"/>
            </w:pPr>
            <w:r>
              <w:t>Asia-Pacific Financial Markets; ISSN 1387-2834; Scopus Q2</w:t>
            </w:r>
          </w:p>
        </w:tc>
        <w:tc>
          <w:tcPr>
            <w:tcW w:w="0" w:type="auto"/>
          </w:tcPr>
          <w:p w14:paraId="03966828" w14:textId="77777777" w:rsidR="005D3DB2" w:rsidRDefault="00000000">
            <w:pPr>
              <w:pStyle w:val="Compact"/>
            </w:pPr>
            <w:r>
              <w:t>Ban biên tập đang xem xét (mã FEJM-D-26-00726)</w:t>
            </w:r>
          </w:p>
        </w:tc>
        <w:tc>
          <w:tcPr>
            <w:tcW w:w="0" w:type="auto"/>
          </w:tcPr>
          <w:p w14:paraId="3C266793" w14:textId="77777777" w:rsidR="005D3DB2" w:rsidRDefault="00000000">
            <w:pPr>
              <w:pStyle w:val="Compact"/>
            </w:pPr>
            <w:r>
              <w:t xml:space="preserve">Không</w:t>
            </w:r>
          </w:p>
        </w:tc>
      </w:tr>
      <w:tr w:rsidR="005D3DB2" w14:paraId="789C5D6A" w14:textId="77777777">
        <w:trPr>
          <w:cantSplit/>
        </w:trPr>
        <w:tc>
          <w:tcPr>
            <w:tcW w:w="0" w:type="auto"/>
          </w:tcPr>
          <w:p w14:paraId="11F21158" w14:textId="77777777" w:rsidR="005D3DB2" w:rsidRDefault="00000000">
            <w:pPr>
              <w:pStyle w:val="Compact"/>
            </w:pPr>
            <w:r>
              <w:t>7</w:t>
            </w:r>
          </w:p>
        </w:tc>
        <w:tc>
          <w:tcPr>
            <w:tcW w:w="0" w:type="auto"/>
          </w:tcPr>
          <w:p w14:paraId="0E901BC3" w14:textId="77777777" w:rsidR="005D3DB2" w:rsidRDefault="00000000">
            <w:pPr>
              <w:pStyle w:val="Compact"/>
            </w:pPr>
            <w:r>
              <w:t>Who gains from a market upgrade? Stock liquidity and prices around Vietnam’s FTSE Russell reclassification</w:t>
            </w:r>
          </w:p>
        </w:tc>
        <w:tc>
          <w:tcPr>
            <w:tcW w:w="0" w:type="auto"/>
          </w:tcPr>
          <w:p w14:paraId="4985C38F" w14:textId="77777777" w:rsidR="005D3DB2" w:rsidRDefault="00000000">
            <w:pPr>
              <w:pStyle w:val="Compact"/>
            </w:pPr>
            <w:r>
              <w:t>4</w:t>
            </w:r>
          </w:p>
        </w:tc>
        <w:tc>
          <w:tcPr>
            <w:tcW w:w="0" w:type="auto"/>
          </w:tcPr>
          <w:p w14:paraId="2BAC15E0" w14:textId="77777777" w:rsidR="005D3DB2" w:rsidRDefault="00000000">
            <w:pPr>
              <w:pStyle w:val="Compact"/>
            </w:pPr>
            <w:r>
              <w:t>Finance Research Open; ISSN 3050-7006</w:t>
            </w:r>
          </w:p>
        </w:tc>
        <w:tc>
          <w:tcPr>
            <w:tcW w:w="0" w:type="auto"/>
          </w:tcPr>
          <w:p w14:paraId="03CFEC73" w14:textId="77777777" w:rsidR="005D3DB2" w:rsidRDefault="00000000">
            <w:pPr>
              <w:pStyle w:val="Compact"/>
            </w:pPr>
            <w:r>
              <w:t>Ban biên tập đang xem xét (mã FINR-D-26-00823)</w:t>
            </w:r>
          </w:p>
        </w:tc>
        <w:tc>
          <w:tcPr>
            <w:tcW w:w="0" w:type="auto"/>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0" w:type="auto"/>
          </w:tcPr>
          <w:p w14:paraId="21B89AB4" w14:textId="77777777" w:rsidR="005D3DB2" w:rsidRDefault="00000000">
            <w:pPr>
              <w:pStyle w:val="Compact"/>
            </w:pPr>
            <w:r>
              <w:t>8</w:t>
            </w:r>
          </w:p>
        </w:tc>
        <w:tc>
          <w:tcPr>
            <w:tcW w:w="0" w:type="auto"/>
          </w:tcPr>
          <w:p w14:paraId="4213B425" w14:textId="77777777" w:rsidR="005D3DB2" w:rsidRDefault="00000000">
            <w:pPr>
              <w:pStyle w:val="Compact"/>
            </w:pPr>
            <w:r>
              <w:t>Rated at the peak? Firm valuation around the first LSEG ESG score in five Southeast Asian markets</w:t>
            </w:r>
          </w:p>
        </w:tc>
        <w:tc>
          <w:tcPr>
            <w:tcW w:w="0" w:type="auto"/>
          </w:tcPr>
          <w:p w14:paraId="08F2D798" w14:textId="77777777" w:rsidR="005D3DB2" w:rsidRDefault="00000000">
            <w:pPr>
              <w:pStyle w:val="Compact"/>
            </w:pPr>
            <w:r>
              <w:t>4</w:t>
            </w:r>
          </w:p>
        </w:tc>
        <w:tc>
          <w:tcPr>
            <w:tcW w:w="0" w:type="auto"/>
          </w:tcPr>
          <w:p w14:paraId="6745A820" w14:textId="77777777" w:rsidR="005D3DB2" w:rsidRDefault="00000000">
            <w:pPr>
              <w:pStyle w:val="Compact"/>
            </w:pPr>
            <w:r>
              <w:t>Sustainable Finance Review; ISSN 2977-7542</w:t>
            </w:r>
          </w:p>
        </w:tc>
        <w:tc>
          <w:tcPr>
            <w:tcW w:w="0" w:type="auto"/>
          </w:tcPr>
          <w:p w14:paraId="764FBF85" w14:textId="77777777" w:rsidR="005D3DB2" w:rsidRDefault="00000000">
            <w:pPr>
              <w:pStyle w:val="Compact"/>
            </w:pPr>
            <w:r>
              <w:t>Chờ xử lý tại tòa soạn (mã SFR-09-2026-0113)</w:t>
            </w:r>
          </w:p>
        </w:tc>
        <w:tc>
          <w:tcPr>
            <w:tcW w:w="0" w:type="auto"/>
          </w:tcPr>
          <w:p w14:paraId="6C7340BB" w14:textId="77777777" w:rsidR="005D3DB2" w:rsidRDefault="00000000">
            <w:pPr>
              <w:pStyle w:val="Compact"/>
            </w:pPr>
            <w:r>
              <w:t>Không</w:t>
            </w:r>
          </w:p>
        </w:tc>
      </w:tr>
      <w:tr w:rsidR="005D3DB2" w14:paraId="56719B6F" w14:textId="77777777">
        <w:trPr>
          <w:cantSplit/>
        </w:trPr>
        <w:tc>
          <w:tcPr>
            <w:tcW w:w="0" w:type="auto"/>
          </w:tcPr>
          <w:p w14:paraId="0D2FF7BD" w14:textId="77777777" w:rsidR="005D3DB2" w:rsidRDefault="00000000">
            <w:pPr>
              <w:pStyle w:val="Compact"/>
            </w:pPr>
            <w:r>
              <w:t>9</w:t>
            </w:r>
          </w:p>
        </w:tc>
        <w:tc>
          <w:tcPr>
            <w:tcW w:w="0" w:type="auto"/>
          </w:tcPr>
          <w:p w14:paraId="043FD78B" w14:textId="77777777" w:rsidR="005D3DB2" w:rsidRDefault="00000000">
            <w:pPr>
              <w:pStyle w:val="Compact"/>
            </w:pPr>
            <w:r>
              <w:t>Sales-based real earnings management and the cost of debt: Evidence from five ASEAN markets</w:t>
            </w:r>
          </w:p>
        </w:tc>
        <w:tc>
          <w:tcPr>
            <w:tcW w:w="0" w:type="auto"/>
          </w:tcPr>
          <w:p w14:paraId="203CA6B8" w14:textId="77777777" w:rsidR="005D3DB2" w:rsidRDefault="00000000">
            <w:pPr>
              <w:pStyle w:val="Compact"/>
            </w:pPr>
            <w:r>
              <w:t>5</w:t>
            </w:r>
          </w:p>
        </w:tc>
        <w:tc>
          <w:tcPr>
            <w:tcW w:w="0" w:type="auto"/>
          </w:tcPr>
          <w:p w14:paraId="51D4B5A9" w14:textId="77777777" w:rsidR="005D3DB2" w:rsidRDefault="00000000">
            <w:pPr>
              <w:pStyle w:val="Compact"/>
            </w:pPr>
            <w:r>
              <w:t>Accounting Open; ISSN 3050-5461</w:t>
            </w:r>
          </w:p>
        </w:tc>
        <w:tc>
          <w:tcPr>
            <w:tcW w:w="0" w:type="auto"/>
          </w:tcPr>
          <w:p w14:paraId="684A05E9" w14:textId="77777777" w:rsidR="005D3DB2" w:rsidRDefault="00000000">
            <w:pPr>
              <w:pStyle w:val="Compact"/>
            </w:pPr>
            <w:r>
              <w:t>Ban biên tập đang xem xét (mã ACCOP-D-26-00232)</w:t>
            </w:r>
          </w:p>
        </w:tc>
        <w:tc>
          <w:tcPr>
            <w:tcW w:w="0" w:type="auto"/>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w:t>
      </w:r>
      <w:r>
        <w:t xml:space="preserve">cả chín bản thảo</w:t>
      </w:r>
      <w:r>
        <w:t xml:space="preserve">.</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 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07/2026. Về ngoại ngữ, thí sinh có </w:t>
      </w:r>
      <w:r>
        <w:t xml:space="preserve">chứng chỉ tiếng Anh Bậc 4 (VSTEP, Vietnamese Standardized Test of English Proficiency)</w:t>
      </w:r>
      <w:r>
        <w:t xml:space="preserve">,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về thanh khoản cổ phiếu quanh đợt nâng hạng thị trường của FTSE Russell (bản thảo số 7 ở Bảng 7) cho thí sinh kinh nghiệm với nghiên cứu sự kiện trên thanh khoản cấp cổ phiếu, công cụ trực tiếp của H</w:t>
      </w:r>
      <w:r>
        <w:rPr>
          <w:vertAlign w:val="subscript"/>
        </w:rPr>
        <w:t xml:space="preserve">3</w:t>
      </w:r>
      <w:r>
        <w:t xml:space="preserve">. Bản thảo về điểm gãy cấu trúc của thanh khoản (bản thảo số 5) cho thí sinh kinh nghiệm với độ phi thanh khoản Amihud và phương pháp Bai-Perron. Bài báo Nguyen và Nguyen (2026a) cho thí sinh kinh nghiệm với mô hình Black-Litterman và phương pháp tính toán Bayes xấp xỉ, nền của mô hình M</w:t>
      </w:r>
      <w:r>
        <w:rPr>
          <w:vertAlign w:val="subscript"/>
        </w:rPr>
        <w:t xml:space="preserve">5</w:t>
      </w:r>
      <w:r>
        <w:t xml:space="preserve">. Bản thảo về mô hình Black-Litterman nghịch đảo kết hợp học máy phân cụm (bản thảo số 1)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14:paraId="03A74E3B" w14:textId="77777777" w:rsidR="005D3DB2" w:rsidRDefault="00000000">
      <w:pPr>
        <w:pStyle w:val="BodyText"/>
      </w:pPr>
      <w:r>
        <w:t xml:space="preserve">Về nghiên cứu, thí sinh dự kiến mở rộng đề tài theo ba hướng: mở rộng Chỉ số chất lượng thị trường vốn sang thị trường trái phiếu chính phủ và phái sinh do HNX vận hành; đánh giá tác động dài hạn của đợt hợp nhất khi có thêm dữ liệu;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w:t>
      </w:r>
      <w:r>
        <w:t xml:space="preserve">“chính sách tài khóa, tài chính tiền tệ, phát triển thị trường tài chính, tái cấu trúc hệ thống ngân hàng, quản trị tài chính, quản trị ngân hàng”</w:t>
      </w:r>
      <w:r>
        <w:t xml:space="preserve">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w:t>
      </w:r>
      <w:r>
        <w:t xml:space="preserve">cấu trúc và chất lượng thị trường vốn mới nổi, nghiên cứu sự kiện trên thị trường và quyết định danh mục</w:t>
      </w:r>
      <w:r>
        <w:t xml:space="preserve">.</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w:t>
      </w:r>
      <w:r>
        <w:t xml:space="preserve">phần hàm ý chính sách và quản trị của đề tài</w:t>
      </w:r>
      <w:r>
        <w:t xml:space="preserve">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Bộ Tài chính (2023), Văn bản hợp nhất số 19/VBHN-BTC ngày 25/12/2023 hợp nhất Thông tư số 57/2021/TT-BTC</w:t>
      </w:r>
      <w:r>
        <w:t xml:space="preserve"> ngày 12/7/2021 và Thông tư số 69/2023/TT-BTC ngày 15/11/2023 quy định lộ trình sắp xếp lại thị trường giao dịch cổ phiếu, trái phiếu, chứng khoán phái sinh và các loại chứng khoán khác.</w:t>
      </w:r>
    </w:p>
    <w:p>
      <w:pPr>
        <w:pStyle w:val="Reference"/>
      </w:pPr>
      <w:r>
        <w:t xml:space="preserve">Bộ Tài chính (2025), Thông tư số 139/2025/TT-BTC ngày 30/12/2025 sửa đổi, bổ sung một số điều của Thông tư số 57/2021/TT-BTC được sửa đổi, bổ sung bởi Thông tư số 69/2023/TT-BTC.</w:t>
      </w:r>
    </w:p>
    <w:p w14:paraId="6DB249FB" w14:textId="77777777" w:rsidR="005D3DB2" w:rsidRDefault="00000000">
      <w:pPr>
        <w:pStyle w:val="Reference"/>
      </w:pPr>
      <w:r>
        <w:t xml:space="preserve">Nguyễn Thanh Bình, Nguyễn Văn Trung (2026b), “Tiền gửi không kỳ hạn, hiệu quả hoạt động và ổn định tài chính ngân hàng: Bằng chứng từ mô hình ngưỡng tại Việt Nam”, </w:t>
      </w:r>
      <w:r>
        <w:rPr>
          <w:i/>
          <w:iCs/>
        </w:rPr>
        <w:t>Tạp chí Kinh tế - Luật và Ngân hàng</w:t>
      </w:r>
      <w:r>
        <w:t>, 28(9), tr. 52–64, DOI: 10.59276/3030-4199/jelb.bav.895.</w:t>
      </w:r>
    </w:p>
    <w:p>
      <w:pPr>
        <w:pStyle w:val="Reference"/>
      </w:pPr>
      <w:r>
        <w:t xml:space="preserve">Quốc hội (2025), Nghị quyết số 222/2025/QH15 ngày 27/6/2025 về Trung tâm tài chính quốc tế tại Việt Nam.</w:t>
      </w:r>
    </w:p>
    <w:p>
      <w:pPr>
        <w:pStyle w:val="Reference"/>
      </w:pPr>
      <w:r>
        <w:t xml:space="preserve">Sở Giao dịch Chứng khoán Thành phố Hồ Chí Minh (2026), </w:t>
      </w:r>
      <w:r>
        <w:t xml:space="preserve">Quyết định số 737/QĐ-SGDHCM ngày 29/9/2026 ban hành Quy tắc chỉ số VNINDEX phiên bản 1.0 [CẦN XÁC MINH số hiệu và ngày trên bản gốc].</w:t>
      </w:r>
    </w:p>
    <w:p>
      <w:pPr>
        <w:pStyle w:val="Reference"/>
      </w:pPr>
      <w:r>
        <w:t xml:space="preserve">Thời báo Tài chính Việt Nam (2026), “Chốt thời điểm chuyển toàn bộ cổ phiếu niêm yết về HOSE”, https://thoibaotaichinhvietnam.vn/chot-thoi-diem-chuyen-toan-bo-co-phieu-niem-yet-ve-hose-204623.html.</w:t>
      </w:r>
    </w:p>
    <w:p>
      <w:pPr>
        <w:pStyle w:val="Reference"/>
      </w:pPr>
      <w:r>
        <w:t xml:space="preserve">Ủy ban nhân dân thành phố Hà Nội (2026), </w:t>
      </w:r>
      <w:r>
        <w:rPr>
          <w:i/>
          <w:iCs/>
        </w:rPr>
        <w:t xml:space="preserve">Quyết định số 1193/QĐ-UBND ngày 18/03/2026 công bố Danh mục các bài toán lớn của thành phố Hà Nội giai đoạn 2026–2030 </w:t>
      </w:r>
      <w:r>
        <w:rPr>
          <w:i/>
          <w:iCs/>
        </w:rPr>
        <w:t xml:space="preserve">(đợt 1), Hà Nội.</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Journal of Financial Markets</w:t>
      </w:r>
      <w:r>
        <w:t>, 5(1), pp. 31–56.</w:t>
      </w:r>
    </w:p>
    <w:p>
      <w:pPr>
        <w:pStyle w:val="Reference"/>
      </w:pPr>
      <w:r>
        <w:t xml:space="preserve">Amihud, Y., Mendelson, H., Lauterbach, B. (1997), “Market microstructure and securities values: Evidence from the Tel Aviv Stock Exchange”, </w:t>
      </w:r>
      <w:r>
        <w:rPr>
          <w:i/>
          <w:iCs/>
        </w:rPr>
        <w:t xml:space="preserve">Journal of Financial Economics</w:t>
      </w:r>
      <w:r>
        <w:t xml:space="preserve">, 45(3), pp. 365–390.</w:t>
      </w:r>
    </w:p>
    <w:p>
      <w:pPr>
        <w:pStyle w:val="Reference"/>
      </w:pPr>
      <w:r>
        <w:t xml:space="preserve">Bae, K.-H., Chan, K., Ng, A. (2004), “Investibility and return volatility”, </w:t>
      </w:r>
      <w:r>
        <w:rPr>
          <w:i/>
          <w:iCs/>
        </w:rPr>
        <w:t xml:space="preserve">Journal of Financial Economics</w:t>
      </w:r>
      <w:r>
        <w:t xml:space="preserve">, 71(2), pp. 239–263.</w:t>
      </w:r>
    </w:p>
    <w:p w14:paraId="63C4F7D7" w14:textId="77777777" w:rsidR="005D3DB2" w:rsidRDefault="00000000">
      <w:pPr>
        <w:pStyle w:val="Reference"/>
      </w:pPr>
      <w:r>
        <w:t xml:space="preserve">Bai, J., Perron, P. (1998), “Estimating and testing linear models with multiple structural changes”, </w:t>
      </w:r>
      <w:r>
        <w:rPr>
          <w:i/>
          <w:iCs/>
        </w:rPr>
        <w:t>Econometrica</w:t>
      </w:r>
      <w:r>
        <w:t>, 66(1), pp. 47–78.</w:t>
      </w:r>
    </w:p>
    <w:p>
      <w:pPr>
        <w:pStyle w:val="Reference"/>
      </w:pPr>
      <w:r>
        <w:t xml:space="preserve">Bekaert, G., Harvey, C. R., Lundblad, C. (2007), “Liquidity and expected returns: Lessons from emerging markets”, </w:t>
      </w:r>
      <w:r>
        <w:rPr>
          <w:i/>
          <w:iCs/>
        </w:rPr>
        <w:t xml:space="preserve">Review of Financial Studies</w:t>
      </w:r>
      <w:r>
        <w:t xml:space="preserve">, 20(6), pp. 1783–1831.</w:t>
      </w:r>
    </w:p>
    <w:p w14:paraId="50DA7DE5" w14:textId="77777777" w:rsidR="005D3DB2" w:rsidRDefault="00000000">
      <w:pPr>
        <w:pStyle w:val="Reference"/>
      </w:pPr>
      <w:r>
        <w:t xml:space="preserve">Bessler, W., Opfer, H., Wolff, D. (2017), “Multi-asset portfolio optimization and out-of-sample performance: An evaluation of Black-Litterman, mean-variance, and naïve diversification approaches”, </w:t>
      </w:r>
      <w:r>
        <w:rPr>
          <w:i/>
          <w:iCs/>
        </w:rPr>
        <w:t>European Journal of Finance</w:t>
      </w:r>
      <w:r>
        <w:t>, 23(1), pp. 1–30.</w:t>
      </w:r>
    </w:p>
    <w:p w14:paraId="691C8D36" w14:textId="77777777" w:rsidR="005D3DB2" w:rsidRDefault="00000000">
      <w:pPr>
        <w:pStyle w:val="Reference"/>
      </w:pPr>
      <w:r>
        <w:t xml:space="preserve">Black, F., Litterman, R. (1992), “Global portfolio optimization”, </w:t>
      </w:r>
      <w:r>
        <w:rPr>
          <w:i/>
          <w:iCs/>
        </w:rPr>
        <w:t>Financial Analysts Journal</w:t>
      </w:r>
      <w:r>
        <w:t>, 48(5), pp. 28–43.</w:t>
      </w:r>
    </w:p>
    <w:p>
      <w:pPr>
        <w:pStyle w:val="Reference"/>
      </w:pPr>
      <w:r>
        <w:t xml:space="preserve">Callaway, B., Sant’Anna, P. H. C. (2021), “Difference-in-differences with multiple time periods”, </w:t>
      </w:r>
      <w:r>
        <w:rPr>
          <w:i/>
          <w:iCs/>
        </w:rPr>
        <w:t xml:space="preserve">Journal of Econometrics</w:t>
      </w:r>
      <w:r>
        <w:t xml:space="preserve">, 225(2), pp. 200–230.</w:t>
      </w:r>
    </w:p>
    <w:p>
      <w:pPr>
        <w:pStyle w:val="Reference"/>
      </w:pPr>
      <w:r>
        <w:t xml:space="preserve">Cetorelli, N., Peristiani, S. (2013), “Prestigious stock exchanges: A network analysis of international financial centers”, </w:t>
      </w:r>
      <w:r>
        <w:rPr>
          <w:i/>
          <w:iCs/>
        </w:rPr>
        <w:t xml:space="preserve">Journal of Banking &amp; Finance</w:t>
      </w:r>
      <w:r>
        <w:t xml:space="preserve">, 37(5), pp. 1543–1551.</w:t>
      </w:r>
    </w:p>
    <w:p>
      <w:pPr>
        <w:pStyle w:val="Reference"/>
      </w:pPr>
      <w:r>
        <w:t xml:space="preserve">Chen, K., Chen, G. (2015), “The rise of international financial centers in mainland China”, </w:t>
      </w:r>
      <w:r>
        <w:rPr>
          <w:i/>
          <w:iCs/>
        </w:rPr>
        <w:t xml:space="preserve">Cities</w:t>
      </w:r>
      <w:r>
        <w:t xml:space="preserve">, 47, pp. 10–22.</w:t>
      </w:r>
    </w:p>
    <w:p>
      <w:pPr>
        <w:pStyle w:val="Reference"/>
      </w:pPr>
      <w:r>
        <w:t xml:space="preserve">Christie, W. G., Huang, R. D. (1994), “Market structures and liquidity: A transactions data study of exchange listings”, </w:t>
      </w:r>
      <w:r>
        <w:rPr>
          <w:i/>
          <w:iCs/>
        </w:rPr>
        <w:t xml:space="preserve">Journal of Financial Intermediation</w:t>
      </w:r>
      <w:r>
        <w:t xml:space="preserve">, 3(3), pp. 300–326.</w:t>
      </w:r>
    </w:p>
    <w:p>
      <w:pPr>
        <w:pStyle w:val="Reference"/>
      </w:pPr>
      <w:r>
        <w:t xml:space="preserve">Čihák, M., Demirgüç-Kunt, A., Feyen, E., Levine, R. (2012), “Benchmarking financial systems around the world”, </w:t>
      </w:r>
      <w:r>
        <w:rPr>
          <w:i/>
          <w:iCs/>
        </w:rPr>
        <w:t xml:space="preserve">Policy Research Working Paper</w:t>
      </w:r>
      <w:r>
        <w:t xml:space="preserve"> 6175, World Bank, Washington, DC.</w:t>
      </w:r>
    </w:p>
    <w:p>
      <w:pPr>
        <w:pStyle w:val="Reference"/>
      </w:pPr>
      <w:r>
        <w:t xml:space="preserve">Conley, T. G., Taber, C. R. (2011), “Inference with “difference in differences” with a small number of policy changes”, </w:t>
      </w:r>
      <w:r>
        <w:rPr>
          <w:i/>
          <w:iCs/>
        </w:rPr>
        <w:t xml:space="preserve">Review of Economics and Statistics</w:t>
      </w:r>
      <w:r>
        <w:t xml:space="preserve">, 93(1), pp. 113–125.</w:t>
      </w:r>
    </w:p>
    <w:p>
      <w:pPr>
        <w:pStyle w:val="Reference"/>
      </w:pPr>
      <w:r>
        <w:t xml:space="preserve">Corwin, S. A., Schultz, P. (2012), “A simple way to estimate bid-ask spreads from daily high and low prices”, </w:t>
      </w:r>
      <w:r>
        <w:rPr>
          <w:i/>
          <w:iCs/>
        </w:rPr>
        <w:t xml:space="preserve">Journal of Finance</w:t>
      </w:r>
      <w:r>
        <w:t xml:space="preserve">, 67(2), pp. 719–760.</w:t>
      </w:r>
    </w:p>
    <w:p w14:paraId="6BACEDDA" w14:textId="77777777" w:rsidR="005D3DB2" w:rsidRDefault="00000000">
      <w:pPr>
        <w:pStyle w:val="Reference"/>
      </w:pPr>
      <w:r>
        <w:t xml:space="preserve">Dao, V. H., Nguyen, T. M. H., Vu, T. D. (2021), “The impact of COVID-19 on stock market returns in Vietnam”, </w:t>
      </w:r>
      <w:r>
        <w:rPr>
          <w:i/>
          <w:iCs/>
        </w:rPr>
        <w:t>Journal of Risk and Financial Management</w:t>
      </w:r>
      <w:r>
        <w:t>, 14(9), Article 441, DOI: 10.3390/jrfm14090441.</w:t>
      </w:r>
    </w:p>
    <w:p>
      <w:pPr>
        <w:pStyle w:val="Reference"/>
      </w:pPr>
      <w:r>
        <w:t xml:space="preserve">Daw, J. R., Hatfield, L. A. (2018), “Matching and regression to the mean in difference-in-differences analysis”, Health Services Research, 53(6), pp. 4138–4156 [CẦN XÁC MINH].</w:t>
      </w:r>
    </w:p>
    <w:p w14:paraId="642DAD51" w14:textId="77777777" w:rsidR="005D3DB2" w:rsidRDefault="00000000">
      <w:pPr>
        <w:pStyle w:val="Reference"/>
      </w:pPr>
      <w:r>
        <w:t xml:space="preserve">DeMiguel, V., Garlappi, L., Uppal, R. (2009), “Optimal versus naive diversification: How inefficient is the 1/N portfolio strategy?”, </w:t>
      </w:r>
      <w:r>
        <w:rPr>
          <w:i/>
          <w:iCs/>
        </w:rPr>
        <w:t>Review of Financial Studies</w:t>
      </w:r>
      <w:r>
        <w:t>, 22(5), pp. 1915–1953.</w:t>
      </w:r>
    </w:p>
    <w:p>
      <w:pPr>
        <w:pStyle w:val="Reference"/>
      </w:pPr>
      <w:r>
        <w:t xml:space="preserve">Eichengreen, B., Shah, N. (2020), “The correlates of international financial-center status”, </w:t>
      </w:r>
      <w:r>
        <w:rPr>
          <w:i/>
          <w:iCs/>
        </w:rPr>
        <w:t xml:space="preserve">Review of International Economics</w:t>
      </w:r>
      <w:r>
        <w:t xml:space="preserve">, 28(1), pp. 62–81.</w:t>
      </w:r>
    </w:p>
    <w:p>
      <w:pPr>
        <w:pStyle w:val="Reference"/>
      </w:pPr>
      <w:r>
        <w:t xml:space="preserve">Elliott, D. J. (2011), </w:t>
      </w:r>
      <w:r>
        <w:rPr>
          <w:i/>
          <w:iCs/>
        </w:rPr>
        <w:t xml:space="preserve">Building a Global Financial Center in Shanghai: Observations from Other Centers</w:t>
      </w:r>
      <w:r>
        <w:t xml:space="preserve">, Brookings Institution, Washington, DC.</w:t>
      </w:r>
    </w:p>
    <w:p>
      <w:pPr>
        <w:pStyle w:val="Reference"/>
      </w:pPr>
      <w:r>
        <w:t xml:space="preserve">Fong, K. Y. L., Holden, C. W., Trzcinka, C. A. (2017), “What are the best liquidity proxies for global research?”, </w:t>
      </w:r>
      <w:r>
        <w:rPr>
          <w:i/>
          <w:iCs/>
        </w:rPr>
        <w:t xml:space="preserve">Review of Finance</w:t>
      </w:r>
      <w:r>
        <w:t xml:space="preserve">, 21(4), pp. 1355–1401.</w:t>
      </w:r>
    </w:p>
    <w:p w14:paraId="2B09AD08" w14:textId="77777777" w:rsidR="005D3DB2" w:rsidRDefault="00000000">
      <w:pPr>
        <w:pStyle w:val="Reference"/>
      </w:pPr>
      <w:r>
        <w:t xml:space="preserve">Garlappi, L., Uppal, R., Wang, T. (2007), “Portfolio selection with parameter and model uncertainty: A multi-prior approach”, </w:t>
      </w:r>
      <w:r>
        <w:rPr>
          <w:i/>
          <w:iCs/>
        </w:rPr>
        <w:t>Review of Financial Studies</w:t>
      </w:r>
      <w:r>
        <w:t>, 20(1), pp. 41–81.</w:t>
      </w:r>
    </w:p>
    <w:p>
      <w:pPr>
        <w:pStyle w:val="Reference"/>
      </w:pPr>
      <w:r>
        <w:t xml:space="preserve">Gehrig, T. (2000), “Cities and the geography of financial centers”, trong Huriot, J.-M., Thisse, J.-F. (Eds.), </w:t>
      </w:r>
      <w:r>
        <w:rPr>
          <w:i/>
          <w:iCs/>
        </w:rPr>
        <w:t xml:space="preserve">Economics of Cities: Theoretical Perspectives</w:t>
      </w:r>
      <w:r>
        <w:t xml:space="preserve">, Cambridge University Press, Cambridge [CẦN BỔ SUNG số trang].</w:t>
      </w:r>
    </w:p>
    <w:p w14:paraId="06E207A0" w14:textId="77777777" w:rsidR="005D3DB2" w:rsidRDefault="00000000">
      <w:pPr>
        <w:pStyle w:val="Reference"/>
      </w:pPr>
      <w:r>
        <w:t xml:space="preserve">Goutte, S., Le, H.-V., Liu, F., von Mettenheim, H.-J. (2025), “MCDA strategies for portfolio optimization: A case study on Vietnamese stock market dynamics”, </w:t>
      </w:r>
      <w:r>
        <w:rPr>
          <w:i/>
          <w:iCs/>
        </w:rPr>
        <w:t>Annals of Operations Research</w:t>
      </w:r>
      <w:r>
        <w:t>, 353(1), pp. 321–351.</w:t>
      </w:r>
    </w:p>
    <w:p>
      <w:pPr>
        <w:pStyle w:val="Reference"/>
      </w:pPr>
      <w:r>
        <w:t xml:space="preserve">Griffin, J. M., Kelly, P. J., Nardari, F. (2010), “Do market efficiency measures yield correct inferences? A comparison of developed and emerging markets”, </w:t>
      </w:r>
      <w:r>
        <w:rPr>
          <w:i/>
          <w:iCs/>
        </w:rPr>
        <w:t xml:space="preserve">Review of Financial Studies</w:t>
      </w:r>
      <w:r>
        <w:t xml:space="preserve">, 23(8), pp.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Econometrica</w:t>
      </w:r>
      <w:r>
        <w:t>, 57(2), pp.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8(2), pp. 315–318.</w:t>
      </w:r>
    </w:p>
    <w:p w14:paraId="657A6141" w14:textId="77777777" w:rsidR="005D3DB2" w:rsidRDefault="00000000">
      <w:pPr>
        <w:pStyle w:val="Reference"/>
      </w:pPr>
      <w:r>
        <w:t>Hoang, V.-M. D., Luu, D. T. (2024), “Modelling volatility dynamics and identifying regime switching in a frontier stock market: The case of Vietnam”, SSRN Working Paper No. 4867203, đăng 25/06/2024, sửa 17/09/2025.</w:t>
      </w:r>
    </w:p>
    <w:p w14:paraId="35DFD03D" w14:textId="77777777" w:rsidR="005D3DB2" w:rsidRDefault="00000000">
      <w:pPr>
        <w:pStyle w:val="Reference"/>
      </w:pPr>
      <w:r>
        <w:t xml:space="preserve">Holm, S. (1979), “A simple sequentially rejective multiple test procedure”, </w:t>
      </w:r>
      <w:r>
        <w:rPr>
          <w:i/>
          <w:iCs/>
        </w:rPr>
        <w:t>Scandinavian Journal of Statistics</w:t>
      </w:r>
      <w:r>
        <w:t>, 6(2), pp. 65–70.</w:t>
      </w:r>
    </w:p>
    <w:p>
      <w:pPr>
        <w:pStyle w:val="Reference"/>
      </w:pPr>
      <w:r>
        <w:t xml:space="preserve">Hou, K., Moskowitz, T. J. (2005), “Market frictions, price delay, and the cross-section of expected returns”, </w:t>
      </w:r>
      <w:r>
        <w:rPr>
          <w:i/>
          <w:iCs/>
        </w:rPr>
        <w:t xml:space="preserve">Review of Financial Studies</w:t>
      </w:r>
      <w:r>
        <w:t xml:space="preserve">, 18(3), pp. 981–1020.</w:t>
      </w:r>
    </w:p>
    <w:p>
      <w:pPr>
        <w:pStyle w:val="Reference"/>
      </w:pPr>
      <w:r>
        <w:t xml:space="preserve">Huang, R. D., Stoll, H. R. (1996), “Dealer versus auction markets: A paired comparison of execution costs on NASDAQ and the NYSE”, </w:t>
      </w:r>
      <w:r>
        <w:rPr>
          <w:i/>
          <w:iCs/>
        </w:rPr>
        <w:t xml:space="preserve">Journal of Financial Economics</w:t>
      </w:r>
      <w:r>
        <w:t xml:space="preserve">, 41(3), pp. 313–357.</w:t>
      </w:r>
    </w:p>
    <w:p w14:paraId="6644927E" w14:textId="77777777" w:rsidR="005D3DB2" w:rsidRDefault="00000000">
      <w:pPr>
        <w:pStyle w:val="Reference"/>
      </w:pPr>
      <w:r>
        <w:t xml:space="preserve">International Monetary Fund (2023), </w:t>
      </w:r>
      <w:r>
        <w:rPr>
          <w:i/>
          <w:iCs/>
        </w:rPr>
        <w:t>Vietnam: 2023 Article IV Consultation</w:t>
      </w:r>
      <w:r>
        <w:t>, IMF Country Report No. 23/338, Washington, DC, https://www.elibrary.imf.org/view/journals/002/2023/338/article-A001-en.xml (truy cập 30/09/2026).</w:t>
      </w:r>
    </w:p>
    <w:p w14:paraId="08FEDC51" w14:textId="77777777" w:rsidR="005D3DB2" w:rsidRDefault="00000000">
      <w:pPr>
        <w:pStyle w:val="Reference"/>
      </w:pPr>
      <w:r>
        <w:t xml:space="preserve">Kan, R., Zhou, G. (2007), “Optimal portfolio choice with parameter uncertainty”, </w:t>
      </w:r>
      <w:r>
        <w:rPr>
          <w:i/>
          <w:iCs/>
        </w:rPr>
        <w:t>Journal of Financial and Quantitative Analysis</w:t>
      </w:r>
      <w:r>
        <w:t>, 42(3), pp. 621–656.</w:t>
      </w:r>
    </w:p>
    <w:p>
      <w:pPr>
        <w:pStyle w:val="Reference"/>
      </w:pPr>
      <w:r>
        <w:t xml:space="preserve">Kaufmann, D., Kraay, A., Mastruzzi, M. (2011), “The Worldwide Governance Indicators: Methodology and analytical issues”, </w:t>
      </w:r>
      <w:r>
        <w:rPr>
          <w:i/>
          <w:iCs/>
        </w:rPr>
        <w:t xml:space="preserve">Hague Journal on the Rule of Law</w:t>
      </w:r>
      <w:r>
        <w:t xml:space="preserve">, 3(2), pp.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 Princeton.</w:t>
      </w:r>
    </w:p>
    <w:p w14:paraId="012396B6" w14:textId="77777777" w:rsidR="005D3DB2" w:rsidRDefault="00000000">
      <w:pPr>
        <w:pStyle w:val="Reference"/>
      </w:pPr>
      <w:r>
        <w:t xml:space="preserve">Kritzman, M., Page, S., Turkington, D. (2012), “Regime shifts: Implications for dynamic strategies”, </w:t>
      </w:r>
      <w:r>
        <w:rPr>
          <w:i/>
          <w:iCs/>
        </w:rPr>
        <w:t>Financial Analysts Journal</w:t>
      </w:r>
      <w:r>
        <w:t>, 68(3), pp. 22–39.</w:t>
      </w:r>
    </w:p>
    <w:p>
      <w:pPr>
        <w:pStyle w:val="Reference"/>
      </w:pPr>
      <w:r>
        <w:t xml:space="preserve">Lai, K. P. Y. (2012), “Differentiated markets: Shanghai, Beijing and Hong Kong in China’s financial centre network”, </w:t>
      </w:r>
      <w:r>
        <w:rPr>
          <w:i/>
          <w:iCs/>
        </w:rPr>
        <w:t xml:space="preserve">Urban Studies</w:t>
      </w:r>
      <w:r>
        <w:t xml:space="preserve">, 49(6), pp. 1275–1296.</w:t>
      </w:r>
    </w:p>
    <w:p>
      <w:pPr>
        <w:pStyle w:val="Reference"/>
      </w:pPr>
      <w:r>
        <w:t xml:space="preserve">Lang, M., Lins, K. V., Maffett, M. (2012), “Transparency, liquidity, and valuation: International evidence on when transparency matters most”, </w:t>
      </w:r>
      <w:r>
        <w:rPr>
          <w:i/>
          <w:iCs/>
        </w:rPr>
        <w:t xml:space="preserve">Journal of Accounting Research</w:t>
      </w:r>
      <w:r>
        <w:t xml:space="preserve">, 50(3), pp. 729–774.</w:t>
      </w:r>
    </w:p>
    <w:p w14:paraId="7E0E3FB7" w14:textId="77777777" w:rsidR="005D3DB2" w:rsidRDefault="00000000">
      <w:pPr>
        <w:pStyle w:val="Reference"/>
      </w:pPr>
      <w:r>
        <w:t xml:space="preserve">Ledoit, O., Wolf, M. (2004), “A well-conditioned estimator for large-dimensional covariance matrices”, </w:t>
      </w:r>
      <w:r>
        <w:rPr>
          <w:i/>
          <w:iCs/>
        </w:rPr>
        <w:t>Journal of Multivariate Analysis</w:t>
      </w:r>
      <w:r>
        <w:t>, 88(2), pp. 365–411.</w:t>
      </w:r>
    </w:p>
    <w:p w14:paraId="03AF3DA1" w14:textId="77777777" w:rsidR="005D3DB2" w:rsidRDefault="00000000">
      <w:pPr>
        <w:pStyle w:val="Reference"/>
      </w:pPr>
      <w:r>
        <w:t xml:space="preserve">Ledoit, O., Wolf, M. (2008), “Robust performance hypothesis testing with the Sharpe ratio”, </w:t>
      </w:r>
      <w:r>
        <w:rPr>
          <w:i/>
          <w:iCs/>
        </w:rPr>
        <w:t>Journal of Empirical Finance</w:t>
      </w:r>
      <w:r>
        <w:t>, 15(5), pp. 850–859.</w:t>
      </w:r>
    </w:p>
    <w:p>
      <w:pPr>
        <w:pStyle w:val="Reference"/>
      </w:pPr>
      <w:r>
        <w:t xml:space="preserve">Lesmond, D. A. (2005), “Liquidity of emerging markets”, </w:t>
      </w:r>
      <w:r>
        <w:rPr>
          <w:i/>
          <w:iCs/>
        </w:rPr>
        <w:t xml:space="preserve">Journal of Financial Economics</w:t>
      </w:r>
      <w:r>
        <w:t xml:space="preserve">, 77(2), pp. 411–452.</w:t>
      </w:r>
    </w:p>
    <w:p>
      <w:pPr>
        <w:pStyle w:val="Reference"/>
      </w:pPr>
      <w:r>
        <w:t xml:space="preserve">Lesmond, D. A., Ogden, J. P., Trzcinka, C. A. (1999), “A new estimate of transaction costs”, </w:t>
      </w:r>
      <w:r>
        <w:rPr>
          <w:i/>
          <w:iCs/>
        </w:rPr>
        <w:t xml:space="preserve">Review of Financial Studies</w:t>
      </w:r>
      <w:r>
        <w:t xml:space="preserve">, 12(5), pp. 1113–1141.</w:t>
      </w:r>
    </w:p>
    <w:p>
      <w:pPr>
        <w:pStyle w:val="Reference"/>
      </w:pPr>
      <w:r>
        <w:t xml:space="preserve">Lo, A. W., MacKinlay, A. C. (1988), “Stock market prices do not follow random walks: Evidence from a simple specification test”, </w:t>
      </w:r>
      <w:r>
        <w:rPr>
          <w:i/>
          <w:iCs/>
        </w:rPr>
        <w:t xml:space="preserve">Review of Financial Studies</w:t>
      </w:r>
      <w:r>
        <w:t xml:space="preserve">, 1(1), pp. 41–66.</w:t>
      </w:r>
    </w:p>
    <w:p w14:paraId="25400127" w14:textId="77777777" w:rsidR="005D3DB2" w:rsidRDefault="00000000">
      <w:pPr>
        <w:pStyle w:val="Reference"/>
      </w:pPr>
      <w:r>
        <w:t xml:space="preserve">Markowitz, H. (1952), “Portfolio selection”, </w:t>
      </w:r>
      <w:r>
        <w:rPr>
          <w:i/>
          <w:iCs/>
        </w:rPr>
        <w:t>Journal of Finance</w:t>
      </w:r>
      <w:r>
        <w:t>, 7(1), pp. 77–91.</w:t>
      </w:r>
    </w:p>
    <w:p w14:paraId="237905A5" w14:textId="77777777" w:rsidR="005D3DB2" w:rsidRDefault="00000000">
      <w:pPr>
        <w:pStyle w:val="Reference"/>
      </w:pPr>
      <w:r>
        <w:t xml:space="preserve">Michaud, R. O. (1989), “The Markowitz optimization enigma: Is ‘optimized’ optimal?”, </w:t>
      </w:r>
      <w:r>
        <w:rPr>
          <w:i/>
          <w:iCs/>
        </w:rPr>
        <w:t>Financial Analysts Journal</w:t>
      </w:r>
      <w:r>
        <w:t>, 45(1), pp. 31–42.</w:t>
      </w:r>
    </w:p>
    <w:p>
      <w:pPr>
        <w:pStyle w:val="Reference"/>
      </w:pPr>
      <w:r>
        <w:t xml:space="preserve">Moosa, I., Li, L., Jiang, R. (2016), “Determinants of the status of an international financial centre”, </w:t>
      </w:r>
      <w:r>
        <w:rPr>
          <w:i/>
          <w:iCs/>
        </w:rPr>
        <w:t xml:space="preserve">The World Economy</w:t>
      </w:r>
      <w:r>
        <w:t xml:space="preserve">, 39(12), pp.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 Luận án Tiến sĩ Quản trị kinh doanh (DBA), Durham University,</w:t>
      </w:r>
      <w:r>
        <w:t xml:space="preserve"> https://etheses.durham.ac.uk/id/eprint/15102/.</w:t>
      </w:r>
    </w:p>
    <w:p w14:paraId="74DA4190" w14:textId="77777777" w:rsidR="005D3DB2" w:rsidRDefault="00000000">
      <w:pPr>
        <w:pStyle w:val="Reference"/>
      </w:pPr>
      <w:r>
        <w:t xml:space="preserve">Nguyen, N., Nguyen, T., Tran, T., Mai, A. (2020), “Shrinkage model selection for portfolio optimization on Vietnam stock market”, </w:t>
      </w:r>
      <w:r>
        <w:rPr>
          <w:i/>
          <w:iCs/>
        </w:rPr>
        <w:t>Journal of Asian Finance, Economics and Business</w:t>
      </w:r>
      <w:r>
        <w:t>, 7(9), pp. 135–145.</w:t>
      </w:r>
    </w:p>
    <w:p w14:paraId="74121B1C" w14:textId="77777777" w:rsidR="005D3DB2" w:rsidRDefault="00000000">
      <w:pPr>
        <w:pStyle w:val="Reference"/>
      </w:pPr>
      <w:r>
        <w:t xml:space="preserve">Nguyen, T. B., Nguyen, V. T. (2026a), “Black-Litterman portfolio optimization using regime switching CAPM and ABC-MCMC: Empirical evidence from the Vietnamese stock market period 2019 - 2025”, </w:t>
      </w:r>
      <w:r>
        <w:rPr>
          <w:i/>
          <w:iCs/>
        </w:rPr>
        <w:t>Tạp chí Nghiên cứu Chính sách và Phát triển (Journal of Policy and Development Research)</w:t>
      </w:r>
      <w:r>
        <w:t>, 3(1), pp. 81–99, DOI: 10.63640/3030-4091/jpd.apd.194.</w:t>
      </w:r>
    </w:p>
    <w:p>
      <w:pPr>
        <w:pStyle w:val="Reference"/>
      </w:pPr>
      <w:r>
        <w:t xml:space="preserve">Nielsson, U. (2009), “Stock exchange merger and liquidity: The case of Euronext”, </w:t>
      </w:r>
      <w:r>
        <w:rPr>
          <w:i/>
          <w:iCs/>
        </w:rPr>
        <w:t xml:space="preserve">Journal of Financial Markets</w:t>
      </w:r>
      <w:r>
        <w:t xml:space="preserve">, 12(2), pp. 229–267.</w:t>
      </w:r>
    </w:p>
    <w:p>
      <w:pPr>
        <w:pStyle w:val="Reference"/>
      </w:pPr>
      <w:r>
        <w:t xml:space="preserve">OECD (2008), </w:t>
      </w:r>
      <w:r>
        <w:rPr>
          <w:i/>
          <w:iCs/>
        </w:rPr>
        <w:t xml:space="preserve">Handbook on Constructing Composite Indicators: Methodology and User Guide</w:t>
      </w:r>
      <w:r>
        <w:t xml:space="preserve">, OECD Publishing, Paris.</w:t>
      </w:r>
    </w:p>
    <w:p w14:paraId="75A6ED4A" w14:textId="77777777" w:rsidR="005D3DB2" w:rsidRDefault="00000000">
      <w:pPr>
        <w:pStyle w:val="Reference"/>
      </w:pPr>
      <w:r>
        <w:t xml:space="preserve">Pflug, G. C., Pichler, A., Wozabal, D. (2012), “The 1/N investment strategy is optimal under high model ambiguity”, </w:t>
      </w:r>
      <w:r>
        <w:rPr>
          <w:i/>
          <w:iCs/>
        </w:rPr>
        <w:t>Journal of Banking &amp; Finance</w:t>
      </w:r>
      <w:r>
        <w:t>, 36(2), pp. 410–417.</w:t>
      </w:r>
    </w:p>
    <w:p w14:paraId="1FEA3449" w14:textId="77777777" w:rsidR="005D3DB2" w:rsidRDefault="00000000">
      <w:pPr>
        <w:pStyle w:val="Reference"/>
      </w:pPr>
      <w:r>
        <w:t xml:space="preserve">Politis, D. N., Romano, J. P. (1994), “The stationary bootstrap”, </w:t>
      </w:r>
      <w:r>
        <w:rPr>
          <w:i/>
          <w:iCs/>
        </w:rPr>
        <w:t>Journal of the American Statistical Association</w:t>
      </w:r>
      <w:r>
        <w:t>, 89(428), pp. 1303–1313.</w:t>
      </w:r>
    </w:p>
    <w:p>
      <w:pPr>
        <w:pStyle w:val="Reference"/>
      </w:pPr>
      <w:r>
        <w:t xml:space="preserve">Rambachan, A., Roth, J. (2023), “A more credible approach to parallel trends”, </w:t>
      </w:r>
      <w:r>
        <w:rPr>
          <w:i/>
          <w:iCs/>
        </w:rPr>
        <w:t xml:space="preserve">Review of Economic Studies</w:t>
      </w:r>
      <w:r>
        <w:t xml:space="preserve">, 90(5), pp. 2555–2591.</w:t>
      </w:r>
    </w:p>
    <w:p w14:paraId="3C6B5147" w14:textId="77777777" w:rsidR="005D3DB2" w:rsidRDefault="00000000">
      <w:pPr>
        <w:pStyle w:val="Reference"/>
      </w:pPr>
      <w:r>
        <w:t xml:space="preserve">Ta, B. Q., Vuong, T. (2020), “The Black-Litterman model for portfolio optimization on Vietnam stock market”, </w:t>
      </w:r>
      <w:r>
        <w:rPr>
          <w:i/>
          <w:iCs/>
        </w:rPr>
        <w:t>International Journal of Uncertainty, Fuzziness and Knowledge-Based Systems</w:t>
      </w:r>
      <w:r>
        <w:t>, 28(Supp01), pp. 99–111.</w:t>
      </w:r>
    </w:p>
    <w:p>
      <w:pPr>
        <w:pStyle w:val="Reference"/>
      </w:pPr>
      <w:r>
        <w:t xml:space="preserve">VietnamPlus (2026a), “Ho Chi Minh City jumps 17 places in Global Financial Centres Index”, https://en.vietnamplus.vn/ho-chi-minh-city-jumps-17-places-in-global-financial-centres-index-post352894.vnp.</w:t>
      </w:r>
    </w:p>
    <w:p>
      <w:pPr>
        <w:pStyle w:val="Reference"/>
      </w:pPr>
      <w:r>
        <w:t xml:space="preserve">VietnamPlus (2026b), “Vietnam International Financial Centre in Da Nang ranked 71st globally”, https://en.vietnamplus.vn/vietnam-international-financial-centre-in-da-nang-ranked-71st-globally-post352933.vnp.</w:t>
      </w:r>
    </w:p>
    <w:p w14:paraId="34825CEE" w14:textId="77777777" w:rsidR="005D3DB2" w:rsidRDefault="00000000">
      <w:pPr>
        <w:pStyle w:val="Reference"/>
      </w:pPr>
      <w:r>
        <w:t xml:space="preserve">Vo, X. V., Phan, D. B. A. (2017), “Further evidence on the herd behavior in Vietnam stock market”, </w:t>
      </w:r>
      <w:r>
        <w:rPr>
          <w:i/>
          <w:iCs/>
        </w:rPr>
        <w:t>Journal of Behavioral and Experimental Finance</w:t>
      </w:r>
      <w:r>
        <w:t>, 13, pp. 33–41.</w:t>
      </w:r>
    </w:p>
    <w:p w14:paraId="0833EDC2" w14:textId="77777777" w:rsidR="005D3DB2" w:rsidRDefault="00000000">
      <w:pPr>
        <w:pStyle w:val="Reference"/>
      </w:pPr>
      <w:r>
        <w:t xml:space="preserve">Vu, T. L., Luong, N. H., Nguyen, P. N. (2024), “Stock crash and how it spreads over the Vietnamese stock market”, </w:t>
      </w:r>
      <w:r>
        <w:rPr>
          <w:i/>
          <w:iCs/>
        </w:rPr>
        <w:t>VNU Journal of Economics and Business</w:t>
      </w:r>
      <w:r>
        <w:t>, 4(3), pp. 107–116, DOI: 10.57110/vnu-jeb.v4i3.339.</w:t>
      </w:r>
    </w:p>
    <w:p>
      <w:pPr>
        <w:pStyle w:val="Reference"/>
      </w:pPr>
      <w:r>
        <w:t xml:space="preserve">Wang, D. T., Zhao, S. X., Wang, D. (2007), “‘Information hinterland’: A base for financial centre development. The case of Beijing versus Shanghai in China”, </w:t>
      </w:r>
      <w:r>
        <w:rPr>
          <w:i/>
          <w:iCs/>
        </w:rPr>
        <w:t xml:space="preserve">Tijdschrift voor Economische en Sociale Geografie</w:t>
      </w:r>
      <w:r>
        <w:t xml:space="preserve">, 98(1), pp. 102–120.</w:t>
      </w:r>
    </w:p>
    <w:p>
      <w:pPr>
        <w:pStyle w:val="Reference"/>
      </w:pPr>
      <w:r>
        <w:t xml:space="preserve">Wójcik, D. (2007), “Geography and the future of stock exchanges: Between real and virtual space”, </w:t>
      </w:r>
      <w:r>
        <w:rPr>
          <w:i/>
          <w:iCs/>
        </w:rPr>
        <w:t xml:space="preserve">Growth and Change</w:t>
      </w:r>
      <w:r>
        <w:t xml:space="preserve">, 38(2), pp.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Hà Nội, ngày 30 tháng 9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