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 xml:space="preserve">Bảng 7. Bản thảo đã gửi tạp chí, chưa công bố tại ngày 30/9/2026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tbl>
      <w:tblPr>
        <w:tblStyle w:val="Table"/>
        <w:tblW w:w="8788" w:type="dxa"/>
        <w:tblLayout w:type="fixed"/>
        <w:tblLook w:val="0020" w:firstRow="1"/>
      </w:tblPr>
      <w:tblGrid>
        <w:gridCol w:w="1700"/>
        <w:gridCol w:w="7088"/>
      </w:tblGrid>
      <w:tr>
        <w:trPr>
          <w:cantSplit/>
          <w:tblHeader/>
        </w:trPr>
        <w:tc>
          <w:tcPr>
            <w:tcW w:w="1700" w:type="dxa"/>
          </w:tcPr>
          <w:p>
            <w:pPr>
              <w:pStyle w:val="Compact"/>
              <w:jc w:val="center"/>
            </w:pPr>
            <w:r>
              <w:rPr>
                <w:b/>
              </w:rPr>
              <w:t xml:space="preserve">Chữ viết tắt</w:t>
            </w:r>
          </w:p>
        </w:tc>
        <w:tc>
          <w:tcPr>
            <w:tcW w:w="7088" w:type="dxa"/>
          </w:tcPr>
          <w:p>
            <w:pPr>
              <w:pStyle w:val="Compact"/>
              <w:jc w:val="center"/>
            </w:pPr>
            <w:r>
              <w:rPr>
                <w:b/>
              </w:rPr>
              <w:t xml:space="preserve">Nghĩa đầy đủ</w:t>
            </w:r>
          </w:p>
        </w:tc>
      </w:tr>
      <w:tr>
        <w:trPr>
          <w:cantSplit/>
        </w:trPr>
        <w:tc>
          <w:tcPr>
            <w:tcW w:w="1700" w:type="dxa"/>
          </w:tcPr>
          <w:p>
            <w:pPr>
              <w:pStyle w:val="Compact"/>
            </w:pPr>
            <w:r>
              <w:t xml:space="preserve">ARIMA</w:t>
            </w:r>
          </w:p>
        </w:tc>
        <w:tc>
          <w:tcPr>
            <w:tcW w:w="7088" w:type="dxa"/>
          </w:tcPr>
          <w:p>
            <w:pPr>
              <w:pStyle w:val="Compact"/>
            </w:pPr>
            <w:r>
              <w:t xml:space="preserve">mô hình tự hồi quy tích hợp trung bình trượt (Autoregressive Integrated Moving Average)</w:t>
            </w:r>
          </w:p>
        </w:tc>
      </w:tr>
      <w:tr>
        <w:trPr>
          <w:cantSplit/>
        </w:trPr>
        <w:tc>
          <w:tcPr>
            <w:tcW w:w="1700" w:type="dxa"/>
          </w:tcPr>
          <w:p>
            <w:pPr>
              <w:pStyle w:val="Compact"/>
            </w:pPr>
            <w:r>
              <w:t xml:space="preserve">CS</w:t>
            </w:r>
          </w:p>
        </w:tc>
        <w:tc>
          <w:tcPr>
            <w:tcW w:w="7088" w:type="dxa"/>
          </w:tcPr>
          <w:p>
            <w:pPr>
              <w:pStyle w:val="Compact"/>
            </w:pPr>
            <w:r>
              <w:t xml:space="preserve">rổ cổ phiếu chuyển sàn</w:t>
            </w:r>
          </w:p>
        </w:tc>
      </w:tr>
      <w:tr>
        <w:trPr>
          <w:cantSplit/>
        </w:trPr>
        <w:tc>
          <w:tcPr>
            <w:tcW w:w="1700" w:type="dxa"/>
          </w:tcPr>
          <w:p>
            <w:pPr>
              <w:pStyle w:val="Compact"/>
            </w:pPr>
            <w:r>
              <w:t xml:space="preserve">GDP</w:t>
            </w:r>
          </w:p>
        </w:tc>
        <w:tc>
          <w:tcPr>
            <w:tcW w:w="7088" w:type="dxa"/>
          </w:tcPr>
          <w:p>
            <w:pPr>
              <w:pStyle w:val="Compact"/>
            </w:pPr>
            <w:r>
              <w:t xml:space="preserve">tổng sản phẩm trong nước (Gross Domestic Product)</w:t>
            </w:r>
          </w:p>
        </w:tc>
      </w:tr>
      <w:tr>
        <w:trPr>
          <w:cantSplit/>
        </w:trPr>
        <w:tc>
          <w:tcPr>
            <w:tcW w:w="1700" w:type="dxa"/>
          </w:tcPr>
          <w:p>
            <w:pPr>
              <w:pStyle w:val="Compact"/>
            </w:pPr>
            <w:r>
              <w:t xml:space="preserve">GFCI</w:t>
            </w:r>
          </w:p>
        </w:tc>
        <w:tc>
          <w:tcPr>
            <w:tcW w:w="7088" w:type="dxa"/>
          </w:tcPr>
          <w:p>
            <w:pPr>
              <w:pStyle w:val="Compact"/>
            </w:pPr>
            <w:r>
              <w:t xml:space="preserve">Chỉ số Trung tâm Tài chính Toàn cầu (Global Financial Centres Index)</w:t>
            </w:r>
          </w:p>
        </w:tc>
      </w:tr>
      <w:tr>
        <w:trPr>
          <w:cantSplit/>
        </w:trPr>
        <w:tc>
          <w:tcPr>
            <w:tcW w:w="1700" w:type="dxa"/>
          </w:tcPr>
          <w:p>
            <w:pPr>
              <w:pStyle w:val="Compact"/>
            </w:pPr>
            <w:r>
              <w:t xml:space="preserve">H</w:t>
            </w:r>
          </w:p>
        </w:tc>
        <w:tc>
          <w:tcPr>
            <w:tcW w:w="7088" w:type="dxa"/>
          </w:tcPr>
          <w:p>
            <w:pPr>
              <w:pStyle w:val="Compact"/>
            </w:pPr>
            <w:r>
              <w:t xml:space="preserve">rổ cổ phiếu HOSE được ghép với rổ CS (khác với H</w:t>
            </w:r>
            <w:r>
              <w:rPr>
                <w:vertAlign w:val="subscript"/>
              </w:rPr>
              <w:t xml:space="preserve">1</w:t>
            </w:r>
            <w:r>
              <w:t xml:space="preserve">–H</w:t>
            </w:r>
            <w:r>
              <w:rPr>
                <w:vertAlign w:val="subscript"/>
              </w:rPr>
              <w:t xml:space="preserve">4</w:t>
            </w:r>
            <w:r>
              <w:t xml:space="preserve">, ký hiệu các giả thuyết)</w:t>
            </w:r>
          </w:p>
        </w:tc>
      </w:tr>
      <w:tr>
        <w:trPr>
          <w:cantSplit/>
        </w:trPr>
        <w:tc>
          <w:tcPr>
            <w:tcW w:w="1700" w:type="dxa"/>
          </w:tcPr>
          <w:p>
            <w:pPr>
              <w:pStyle w:val="Compact"/>
            </w:pPr>
            <w:r>
              <w:t xml:space="preserve">HNX</w:t>
            </w:r>
          </w:p>
        </w:tc>
        <w:tc>
          <w:tcPr>
            <w:tcW w:w="7088" w:type="dxa"/>
          </w:tcPr>
          <w:p>
            <w:pPr>
              <w:pStyle w:val="Compact"/>
            </w:pPr>
            <w:r>
              <w:t xml:space="preserve">Sở Giao dịch Chứng khoán Hà Nội</w:t>
            </w:r>
          </w:p>
        </w:tc>
      </w:tr>
      <w:tr>
        <w:trPr>
          <w:cantSplit/>
        </w:trPr>
        <w:tc>
          <w:tcPr>
            <w:tcW w:w="1700" w:type="dxa"/>
          </w:tcPr>
          <w:p>
            <w:pPr>
              <w:pStyle w:val="Compact"/>
            </w:pPr>
            <w:r>
              <w:t xml:space="preserve">HOSE</w:t>
            </w:r>
          </w:p>
        </w:tc>
        <w:tc>
          <w:tcPr>
            <w:tcW w:w="7088" w:type="dxa"/>
          </w:tcPr>
          <w:p>
            <w:pPr>
              <w:pStyle w:val="Compact"/>
            </w:pPr>
            <w:r>
              <w:t xml:space="preserve">Sở Giao dịch Chứng khoán Thành phố Hồ Chí Minh</w:t>
            </w:r>
          </w:p>
        </w:tc>
      </w:tr>
      <w:tr>
        <w:trPr>
          <w:cantSplit/>
        </w:trPr>
        <w:tc>
          <w:tcPr>
            <w:tcW w:w="1700" w:type="dxa"/>
          </w:tcPr>
          <w:p>
            <w:pPr>
              <w:pStyle w:val="Compact"/>
            </w:pPr>
            <w:r>
              <w:t xml:space="preserve">MQI</w:t>
            </w:r>
          </w:p>
        </w:tc>
        <w:tc>
          <w:tcPr>
            <w:tcW w:w="7088" w:type="dxa"/>
          </w:tcPr>
          <w:p>
            <w:pPr>
              <w:pStyle w:val="Compact"/>
            </w:pPr>
            <w:r>
              <w:t xml:space="preserve">Chỉ số chất lượng thị trường vốn (Market Quality Index)</w:t>
            </w:r>
          </w:p>
        </w:tc>
      </w:tr>
      <w:tr>
        <w:trPr>
          <w:cantSplit/>
        </w:trPr>
        <w:tc>
          <w:tcPr>
            <w:tcW w:w="1700" w:type="dxa"/>
          </w:tcPr>
          <w:p>
            <w:pPr>
              <w:pStyle w:val="Compact"/>
            </w:pPr>
            <w:r>
              <w:t xml:space="preserve">OECD</w:t>
            </w:r>
          </w:p>
        </w:tc>
        <w:tc>
          <w:tcPr>
            <w:tcW w:w="7088" w:type="dxa"/>
          </w:tcPr>
          <w:p>
            <w:pPr>
              <w:pStyle w:val="Compact"/>
            </w:pPr>
            <w:r>
              <w:t xml:space="preserve">Tổ chức Hợp tác và Phát triển Kinh tế (Organisation for Economic Co-operation and Development)</w:t>
            </w:r>
          </w:p>
        </w:tc>
      </w:tr>
      <w:tr>
        <w:trPr>
          <w:cantSplit/>
        </w:trPr>
        <w:tc>
          <w:tcPr>
            <w:tcW w:w="1700" w:type="dxa"/>
          </w:tcPr>
          <w:p>
            <w:pPr>
              <w:pStyle w:val="Compact"/>
            </w:pPr>
            <w:r>
              <w:t xml:space="preserve">OSF</w:t>
            </w:r>
          </w:p>
        </w:tc>
        <w:tc>
          <w:tcPr>
            <w:tcW w:w="7088" w:type="dxa"/>
          </w:tcPr>
          <w:p>
            <w:pPr>
              <w:pStyle w:val="Compact"/>
            </w:pPr>
            <w:r>
              <w:t xml:space="preserve">Open Science Framework</w:t>
            </w:r>
          </w:p>
        </w:tc>
      </w:tr>
      <w:tr>
        <w:trPr>
          <w:cantSplit/>
        </w:trPr>
        <w:tc>
          <w:tcPr>
            <w:tcW w:w="1700" w:type="dxa"/>
          </w:tcPr>
          <w:p>
            <w:pPr>
              <w:pStyle w:val="Compact"/>
            </w:pPr>
            <w:r>
              <w:t xml:space="preserve">SMD</w:t>
            </w:r>
          </w:p>
        </w:tc>
        <w:tc>
          <w:tcPr>
            <w:tcW w:w="7088" w:type="dxa"/>
          </w:tcPr>
          <w:p>
            <w:pPr>
              <w:pStyle w:val="Compact"/>
            </w:pPr>
            <w:r>
              <w:t xml:space="preserve">chỉ báo phát triển thị trường cổ phiếu (Stock Market Development)</w:t>
            </w:r>
          </w:p>
        </w:tc>
      </w:tr>
      <w:tr>
        <w:trPr>
          <w:cantSplit/>
        </w:trPr>
        <w:tc>
          <w:tcPr>
            <w:tcW w:w="1700" w:type="dxa"/>
          </w:tcPr>
          <w:p>
            <w:pPr>
              <w:pStyle w:val="Compact"/>
            </w:pPr>
            <w:r>
              <w:t xml:space="preserve">UPCoM</w:t>
            </w:r>
          </w:p>
        </w:tc>
        <w:tc>
          <w:tcPr>
            <w:tcW w:w="7088" w:type="dxa"/>
          </w:tcPr>
          <w:p>
            <w:pPr>
              <w:pStyle w:val="Compact"/>
            </w:pPr>
            <w:r>
              <w:t xml:space="preserve">thị trường giao dịch cổ phiếu của công ty đại chúng chưa niêm yết</w:t>
            </w:r>
          </w:p>
        </w:tc>
      </w:tr>
      <w:tr>
        <w:trPr>
          <w:cantSplit/>
        </w:trPr>
        <w:tc>
          <w:tcPr>
            <w:tcW w:w="1700" w:type="dxa"/>
          </w:tcPr>
          <w:p>
            <w:pPr>
              <w:pStyle w:val="Compact"/>
            </w:pPr>
            <w:r>
              <w:t xml:space="preserve">VNX</w:t>
            </w:r>
          </w:p>
        </w:tc>
        <w:tc>
          <w:tcPr>
            <w:tcW w:w="7088" w:type="dxa"/>
          </w:tcPr>
          <w:p>
            <w:pPr>
              <w:pStyle w:val="Compact"/>
            </w:pPr>
            <w:r>
              <w:t xml:space="preserve">Sở Giao dịch Chứng khoán Việt Nam</w:t>
            </w:r>
          </w:p>
        </w:tc>
      </w:tr>
    </w:tbl>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là trung tâm tài chính lớn của cả nước, nhưng hệ thống dịch vụ tài chính chưa đạt tầm khu vực. Thành phố đưa vấn đề này vào Danh mục bài toán lớn giai đoạn 2026–2030 dưới dạng bài toán số 19: “Phương thức nào để xây dựng Hà Nội thành trung tâm tài chính và dịch vụ chất lượng cao quốc tế?” (Ủy ban nhân dân thành phố Hà Nội, 2026, Phụ lục, bài toán số 19). Trong các câu hỏi khoa học công nghệ chính của bài toán, câu hỏi thứ nhất hỏi mô hình trung tâm tài chính nào phù hợp với Hà Nội, và câu hỏi thứ ba hỏi những nền tảng công nghệ nào giúp tăng cường minh bạch và hiệu quả của thị trường tài chính. Đề tài không đề xuất mô hình hay nền tảng công nghệ. Đề tài cung cấp thước đo nền cho hai câu hỏi này: chất lượng giao dịch cổ phiếu khác nhau thế nào giữa sàn niêm yết của Hà Nội và sàn của Thành phố Hồ Chí Minh, và thay đổi thế nào khi cổ phiếu niêm yết chuyển từ HNX sang HOSE.</w:t>
      </w:r>
    </w:p>
    <w:p w14:paraId="2EA2BE63" w14:textId="77777777" w:rsidR="005D3DB2" w:rsidRDefault="00000000">
      <w:pPr>
        <w:pStyle w:val="BodyText"/>
      </w:pPr>
      <w:r>
        <w:t xml:space="preserve">Đề cương dùng năm khái niệm với nghĩa cố định. Năng lực cạnh tranh của trung tâm tài chính là khả năng giữ và thu hút các tổ chức tài chính và cung cấp dịch vụ đáp ứng nhu cầu trong nước và quốc tế (Yao, 2012); đề tài đo khái niệm này bằng điểm GFCI; Naeem (2023) dùng thứ hạng GFCI cho cùng mục đích.</w:t>
      </w:r>
    </w:p>
    <w:p w:rsidR="005D3DB2" w:rsidRDefault="00000000">
      <w:pPr>
        <w:pStyle w:val="BodyText"/>
      </w:pPr>
      <w:r>
        <w:t xml:space="preserve">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đề tài đo khả năng đầu tư của các cổ phiếu chuyển sàn bằng một rổ cố định gồm những mã thanh khoản nhất của nhóm này. Khái niệm này khác với khả năng đầu tư theo nghĩa giới hạn sở hữu của nhà đầu tư nước ngoài (Bae và cộng sự, 2004).</w:t>
      </w:r>
    </w:p>
    <w:p w:rsidR="005D3DB2" w:rsidRDefault="00000000">
      <w:pPr>
        <w:pStyle w:val="BodyText"/>
      </w:pPr>
      <w:r>
        <w:t xml:space="preserve">Hợp nhất sàn là việc chuyển toàn bộ cổ phiếu niêm yết từ Sở Giao dịch Chứng khoán Hà Nội (HNX) sang Sở Giao dịch Chứng khoán Thành phố Hồ Chí Minh (HOSE). Thị trường vốn Hà Nội là các thị trường do HNX tiếp tục vận hành sau hợp nhất: trái phiếu và chứng khoán phái sinh, cùng UPCoM trong thời gian UPCoM còn do HNX tổ chức.</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Đà Nẵng lần đầu vào chỉ số ở vị trí 71, còn Hà Nội không có trong bảng xếp hạng (Wardle &amp; Mainelli, 2026).</w:t>
      </w:r>
    </w:p>
    <w:p w:rsidR="005D3DB2" w:rsidRDefault="00000000">
      <w:pPr>
        <w:pStyle w:val="BodyText"/>
      </w:pPr>
      <w:r>
        <w:t xml:space="preserve">Lộ trình sắp xếp lại thị trường được quy định từ Thông tư số 57/2021/TT-BTC, với mốc ban đầu là HNX ngừng nhận hồ sơ niêm yết cổ phiếu mới từ ngày 01/7/2023 và hoàn thành chuyển cổ phiếu niêm yết sang HOSE trong năm 2023; Thông tư số 69/2023/TT-BTC lùi hai mốc này thành ngày 01/7/2025 và hết năm 2025 (Bộ Tài chính, 2023). Thông tư số 139/2025/TT-BTC ngày 30/12/2025 lùi hạn này đến hết ngày 31/12/2026 (Bộ Tài chính, 2025). Theo thông báo của Sở Giao dịch Chứng khoán Việt Nam (VNX) ngày 30/9/2026, toàn bộ cổ phiếu niêm yết tại HNX giao dịch phiên cuối ngày 23/12/2026, tạm ngừng giao dịch hai ngày 24 và 25/12/2026, và giao dịch tại HOSE từ ngày 28/12/2026 (Sở Giao dịch Chứng khoán Việt Nam, 2026).</w:t>
      </w:r>
    </w:p>
    <w:p w:rsidR="005D3DB2" w:rsidRDefault="00000000">
      <w:pPr>
        <w:pStyle w:val="BodyText"/>
      </w:pPr>
      <w:r>
        <w:t xml:space="preserve">Văn bản hợp nhất cũng quy định HNX hoàn thành việc chuyển cổ phiếu của tổ chức đăng ký giao dịch trên thị trường giao dịch cổ phiếu của công ty đại chúng chưa niêm yết (UPCoM) sang HOSE chậm nhất đến hết ngày 31/12/2026 (Bộ Tài chính, 2023); mốc này do Thông tư số 69/2023/TT-BTC đặt, thay cho khung từ ngày 01/01/2025 đến hết ngày 30/6/2025 của Thông tư số 57/2021/TT-BTC, và Thông tư số 139/2025/TT-BTC không sửa mốc này. Thông báo của VNX chỉ áp dụng cho cổ phiếu niêm yết và nêu rõ giao dịch tại các thị trường khác do HNX tổ chức vẫn thực hiện theo quy định hiện hành; lịch chuyển cổ phiếu UPCoM chưa được công bố tại thời điểm viết đề cương [CẦN XÁC MINH kế hoạch chuyển cổ phiếu đăng ký giao dịch theo khoản 4 Điều 4 Thông tư số 57/2021/TT-BTC]. Sau hợp nhất, HNX giữ vai trò tổ chức thị trường trái phiếu và chứng khoán phái sinh (Bộ Tài chính, 2023).</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(Kindleberger, 1974; Gehrig, 2000). Khi một quốc gia có nhiều trung tâm, các trung tâm phân vai thay vì cạnh tranh trực diện. Lai (2012) cho thấy Thượng Hải phát triển thành trung tâm thương mại, Bắc Kinh thành trung tâm chính trị và quản lý, Hồng Kông thành trung tâm hải ngoại, và ba vai trò này bổ sung cho nhau. Wang và cộng sự (2007) giải thích lợi thế của Bắc Kinh bằng vùng thông tin chính sách mà thủ đô nắm giữ.</w:t>
      </w:r>
    </w:p>
    <w:p w:rsidR="005D3DB2" w:rsidRDefault="00000000">
      <w:pPr>
        <w:pStyle w:val="BodyText"/>
      </w:pPr>
      <w:r>
        <w:t xml:space="preserve">Cặp Hà Nội và Thành phố Hồ Chí Minh có thể so sánh với cặp Bắc Kinh và Thượng Hải. Bắc Kinh là một trung tâm tài chính lớn dù không có sở giao dịch chứng khoán tầm quốc gia trong phần lớn giai đoạn phát triển của mình (Naeem, 2023). Trường hợp này cho thấy một thành phố có thể giữ vai trò trung tâm tài chính mà không cần sàn cổ phiếu, và đặt ra cho Hà Nội câu hỏi chuyên môn hóa (Yao, 2012) sau đợt hợp nhất.</w:t>
      </w:r>
    </w:p>
    <w:p>
      <w:pPr>
        <w:pStyle w:val="BodyText"/>
      </w:pPr>
      <w:r>
        <w:t xml:space="preserve">Bằng chứng quốc tế cho thấy sàn giao dịch ảnh hưởng tới chất lượng giao dịch của cùng một cổ phiếu. Amihud và cộng sự (1997) nghiên cứu việc Sở Giao dịch Chứng khoán Tel Aviv chuyển dần cổ phiếu từ một phiên khớp lệnh định kỳ mỗi ngày sang cơ chế có thêm các phiên giao dịch liên tục, và thấy lợi suất bất thường tích lũy điều chỉnh theo thị trường đạt khoảng 5,5% trong giai đoạn từ năm ngày trước công bố đến 30 ngày sau khi cổ phiếu giao dịch theo cơ chế mới, đồng thời mức tăng thanh khoản đi cùng mức tăng giá.</w:t>
      </w:r>
    </w:p>
    <w:p>
      <w:pPr>
        <w:pStyle w:val="BodyText"/>
      </w:pPr>
      <w:r>
        <w:t xml:space="preserve">Nielsson (2009) thấy việc hình thành Euronext làm thanh khoản tăng ở doanh nghiệp lớn và doanh nghiệp có doanh thu nước ngoài, nhưng không tăng ở doanh nghiệp nhỏ. Ngược lại, Hisada (2018) nghiên cứu việc hợp nhất Sở Giao dịch Chứng khoán Tokyo và Sở Giao dịch Chứng khoán Osaka, với thị trường cổ phiếu của hai sở được hợp nhất ngày 16/7/2013, trên mẫu các cổ phiếu niêm yết tại Tokyo không niêm yết kép tại Osaka, và thấy thanh khoản của nhóm cổ phiếu này tăng trong ngắn hạn nhờ hiệu ứng cộng hưởng và tâm lý nhà đầu tư, trong đó hiệu ứng tâm lý mạnh hơn ở cổ phiếu nhỏ, rồi giảm sau một năm.</w:t>
      </w:r>
    </w:p>
    <w:p>
      <w:pPr>
        <w:pStyle w:val="BodyText"/>
      </w:pPr>
      <w:r>
        <w:t xml:space="preserve">Đợt hợp nhất ở Việt Nam đổi sàn của toàn bộ cổ phiếu niêm yết tại HNX, gồm 299 mã tính đến phiên 30/9/2026 (Tuổi Trẻ Online, 2026), trong cùng một ngày. Sự kiện này cho phép so sánh cùng các cổ phiếu trước và sau khi đổi sàn với một nhóm đối chứng. Với nhà đầu tư, tác động của sàn biểu hiện thành khả năng đầu tư, được đo trên bảy mô hình phân bổ vì không mô hình nào thắng ổn định (DeMiguel và cộng sự, 2009).</w:t>
      </w:r>
    </w:p>
    <w:p w14:paraId="019D1985" w14:textId="77777777" w:rsidR="005D3DB2" w:rsidRDefault="00000000">
      <w:pPr>
        <w:pStyle w:val="BodyText"/>
      </w:pPr>
      <w:r>
        <w:t xml:space="preserve">Tài liệu hiện có để ngỏ ba vấn đề. Thứ nhất, các nghiên cứu về yếu tố quyết định vị thế trung tâm tài chính xét nhiều nhóm yếu tố cùng lúc (Moosa và cộng sự, 2016; Eichengreen &amp; Shah, 2020); Naeem (2023) chọn 17 yếu tố bằng phương pháp cây quyết định và không có chỉ báo nào về thị trường cổ phiếu. Thứ hai, bằng chứng về hợp nhất sàn chủ yếu đến từ thị trường phát triển (Nielsson, 2009; Hisada, 2018), cho kết quả trái chiều theo quy mô doanh nghiệp, và chỉ đo thanh khoản. Thứ ba, các công trình về Việt Nam tập trung vào HOSE và VN-Index (Vo &amp; Phan, 2017; Hoang &amp; Luu, 2024; Goutte và cộng sự, 2025) và chưa có nghiên cứu nào về đợt hợp nhất năm 2026. Phạm vi tìm kiếm làm căn cứ cho các nhận định này được nêu ở cuối mục 4.2.</w:t>
      </w:r>
    </w:p>
    <w:p w14:paraId="02E8B3B9" w14:textId="77777777" w:rsidR="005D3DB2" w:rsidRDefault="00000000">
      <w:pPr>
        <w:pStyle w:val="BodyText"/>
      </w:pPr>
      <w:r>
        <w:rPr>
          <w:b/>
          <w:bCs/>
        </w:rPr>
        <w:t>Câu hỏi nghiên cứu.</w:t>
      </w:r>
      <w:r>
        <w:t xml:space="preserve"> Từ những vấn đề trên, đề tài đặt ra ba câu hỏi, mỗi câu gắn với câu hỏi chính của bài toán số 19:</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Mục tiêu nghiên cứu.</w:t>
      </w:r>
      <w:r>
        <w:t xml:space="preserve"> Mục tiêu tổng quát là đo khoảng cách chất lượng thị trường giữa hai sàn trước hợp nhất và lượng hóa tác động của việc chuyển sàn năm 2026 lên thanh khoản và khả năng đầu tư của các cổ phiếu chuyển sàn, làm căn cứ cho định hướng chuyên môn hóa của thị trường vốn Hà Nội. Đề tài có bốn mục tiêu cụ thể. Mục tiêu (i) là ước lượng liên hệ giữa mức phát triển thị trường cổ phiếu và điểm GFCI trên dữ liệu bảng quốc tế. Mục tiêu (ii) là xây dựng Chỉ số chất lượng thị trường vốn theo tháng cho sàn niêm yết HNX, UPCoM và HOSE. Mục tiêu (iii) là ước lượng tác động của việc chuyển sàn lên thanh khoản và khả năng đầu tư. Mục tiêu (iv) là tổng hợp các kết quả thành định hướng chuyên môn hóa và hạ tầng dữ liệu cho thị trường vốn Hà Nội; mục tiêu này là tổng hợp định tính, không kiểm định giả thuyết.</w:t>
      </w:r>
    </w:p>
    <w:p w14:paraId="05CFA613" w14:textId="77777777" w:rsidR="005D3DB2" w:rsidRDefault="00000000">
      <w:pPr>
        <w:pStyle w:val="BodyText"/>
      </w:pPr>
      <w:r>
        <w:rPr/>
        <w:t xml:space="preserve">Đóng góp dự kiến. Đề tài khác các công trình gần nhất ở ba điểm. So với Yao (2012), Eichengreen và Shah (2020) và Naeem (2023), đề tài đặt riêng mức phát triển thị trường cổ phiếu vào mô hình điểm GFCI. So với Nielsson (2009) và Hisada (2018), đề tài nghiên cứu việc hợp nhất hai sàn trong cùng một quốc gia ở thị trường mới nổi, với suy luận phù hợp cho một sự kiện duy nhất, đo trực tiếp các cổ phiếu được chuyển sàn so với nhóm đối chứng, và ước lượng thêm tác động lên khả năng đầu tư. So với các công trình về Việt Nam (Vo &amp; Phan, 2017; Goutte và cộng sự, 2025; Nguyễn &amp; Nguyễn, 2026a),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đề tài dự kiến hai kết quả gắn với các sản phẩm mà bài toán số 19 nêu và một thước đo dùng chung. Thứ nhất là Chỉ số chất lượng thị trường vốn, mã nguồn mở, cập nhật theo tháng, có thể là một cấu phần của sản phẩm “Hệ thống dữ liệu tài chính đô thị”. Thứ hai là báo cáo định hướng chuyên môn hóa cho thị trường vốn Hà Nội sau hợp nhất, là một đầu vào phân tích cho sản phẩm “Trung tâm tài chính quốc tế tại Hà Nội”; đề tài không thiết kế sản phẩm này, và Nghị quyết số 222/2025/QH15 hiện chỉ đặt trung tâm tài chính quốc tế tại Thành phố Hồ Chí Minh và Đà Nẵng. Thứ ba, Chỉ số khả năng đầu tư là một thước đo mà các dịch vụ đầu tư mới có thể dùng để so sánh, không phải một sản phẩm của bài toán. Hai chỉ số và tệp đăng ký trước là sản phẩm có được dù kết quả kiểm định ra sao.</w:t>
      </w:r>
    </w:p>
    <w:p w14:paraId="0A22D450" w14:textId="77777777" w:rsidR="005D3DB2" w:rsidRDefault="00000000">
      <w:pPr>
        <w:pStyle w:val="BodyText"/>
      </w:pPr>
      <w:r>
        <w:t xml:space="preserve">Kết quả của đề tài được kiểm chứng bằng sáu chỉ tiêu; mỗi chỉ tiêu có mốc thời gian và bằng chứng công khai:</w:t>
      </w:r>
    </w:p>
    <w:p w14:paraId="0A22D450" w14:textId="77777777" w:rsidR="005D3DB2" w:rsidRDefault="00000000">
      <w:pPr>
        <w:pStyle w:val="BodyText"/>
      </w:pPr>
      <w:r>
        <w:t xml:space="preserve">(1) Tệp đăng ký trước kế hoạch phân tích trên OSF Registries, khóa có dấu thời gian trước ngày 28/12/2026.</w:t>
      </w:r>
    </w:p>
    <w:p w14:paraId="0A22D450" w14:textId="77777777" w:rsidR="005D3DB2" w:rsidRDefault="00000000">
      <w:pPr>
        <w:pStyle w:val="BodyText"/>
      </w:pPr>
      <w:r>
        <w:t xml:space="preserve">(2) Chỉ số chất lượng thị trường vốn theo tháng cho sàn niêm yết HNX, UPCoM và HOSE từ tháng 6/2009, công bố cùng mã nguồn trên kho lưu trữ mở.</w:t>
      </w:r>
    </w:p>
    <w:p w14:paraId="0A22D450" w14:textId="77777777" w:rsidR="005D3DB2" w:rsidRDefault="00000000">
      <w:pPr>
        <w:pStyle w:val="BodyText"/>
      </w:pPr>
      <w:r>
        <w:t xml:space="preserve">(3) Ước lượng tác động của việc chuyển sàn lên thanh khoản với 24 tháng dữ liệu sau sự kiện, báo cáo kèm hiệu ứng nhỏ nhất phát hiện được và khoảng tin cậy, theo đúng tệp đăng ký.</w:t>
      </w:r>
    </w:p>
    <w:p w14:paraId="0A22D450" w14:textId="77777777" w:rsidR="005D3DB2" w:rsidRDefault="00000000">
      <w:pPr>
        <w:pStyle w:val="BodyText"/>
      </w:pPr>
      <w:r>
        <w:t xml:space="preserve">(4) Chỉ số khả năng đầu tư của rổ cổ phiếu chuyển sàn trên bảy mô hình phân bổ, cho 20 cửa sổ trước và 8 cửa sổ sau sự kiện.</w:t>
      </w:r>
    </w:p>
    <w:p w14:paraId="0A22D450" w14:textId="77777777" w:rsidR="005D3DB2" w:rsidRDefault="00000000">
      <w:pPr>
        <w:pStyle w:val="BodyText"/>
      </w:pPr>
      <w:r>
        <w:t xml:space="preserve">(5) Ba bài báo trên tạp chí có phản biện, với mục tiêu ít nhất một bài thuộc cơ sở dữ liệu Web of Science hạng Q1 hoặc Q2, và một đến hai báo cáo hội thảo.</w:t>
      </w:r>
    </w:p>
    <w:p w14:paraId="0A22D450" w14:textId="77777777" w:rsidR="005D3DB2" w:rsidRDefault="00000000">
      <w:pPr>
        <w:pStyle w:val="BodyText"/>
      </w:pPr>
      <w:r>
        <w:t xml:space="preserve">(6) Báo cáo định hướng chuyên môn hóa cho các thị trường do HNX tiếp tục vận hành, gửi Sở Khoa học và Công nghệ Hà Nội trong năm thứ tư.</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rPr/>
        <w:t xml:space="preserve"> Kindleberger (1974) và Gehrig (2000) giải thích sự tập trung của hoạt động tài chính bằng lợi thế quy mô và thông tin. Yao (2012) xác định các yếu tố quyết định sức hấp dẫn của trung tâm tài chính đối với ngành quỹ đầu tư qua trường hợp Luxembourg. Moosa và cộng sự (2016) kiểm tra độ vững của các yếu tố quyết định vị thế trung tâm bằng phân tích giới hạn cực trị, và Eichengreen và Shah (2020) xếp các yếu tố thành năm nhóm, trong đó một nhóm gồm mức phát triển tài chính và vốn hóa thị trường.</w:t>
      </w:r>
    </w:p>
    <w:p>
      <w:pPr>
        <w:pStyle w:val="FirstParagraph"/>
      </w:pPr>
      <w:r>
        <w:rPr>
          <w:i/>
          <w:iCs/>
        </w:rPr>
        <w:t xml:space="preserve"/>
      </w:r>
      <w:r>
        <w:rPr/>
        <w:t xml:space="preserve">Naeem (2023) dùng dữ liệu 196 trung tâm tài chính, tính theo khu vực tài phán, giai đoạn 2007–2020, chọn 17 yếu tố bằng phương pháp cây quyết định và ước lượng hồi quy dữ liệu bảng với biến phụ thuộc là thứ hạng GFCI; các yếu tố này không gồm chỉ báo thị trường cổ phiếu. Cetorelli và Peristiani (2013) đo vị thế của trung tâm qua mạng lưới niêm yết quốc tế của sàn chứng khoán. Ở Trung Quốc, Lai (2012) và Wang và cộng sự (2007) mô tả sự phân vai giữa Bắc Kinh, Thượng Hải và Hồng Kông, Chen và Chen (2015) nhấn mạnh vai trò dẫn dắt của nhà nước, còn Elliott (2011) rút ra rằng không có công thức chung để xây dựng một trung tâm toàn cầu.</w:t>
      </w:r>
    </w:p>
    <w:p>
      <w:pPr>
        <w:pStyle w:val="FirstParagraph"/>
      </w:pPr>
      <w:r>
        <w:rPr>
          <w:i/>
          <w:iCs/>
        </w:rPr>
        <w:t xml:space="preserve">(B) Chất lượng thị trường vốn.</w:t>
      </w:r>
      <w:r>
        <w:rPr/>
        <w:t xml:space="preserve"> Amihud (2002) đề xuất độ phi thanh khoản, tỷ số giữa lợi suất tuyệt đối và giá trị giao dịch. Lesmond và cộng sự (1999) ước lượng chi phí giao dịch từ tần suất ngày có lợi suất bằng 0, Corwin và Schultz (2012) ước lượng chênh lệch mua-bán từ giá cao nhất và thấp nhất trong ngày, và Bekaert và cộng sự (2007) dùng tỷ lệ ngày lợi suất bằng 0 làm thước đo thanh khoản chính ở thị trường mới nổi. Lesmond (2005) và Fong và cộng sự (2017) đánh giá chỉ báo nào đo thanh khoản tốt nhất từ dữ liệu ngày.</w:t>
      </w:r>
    </w:p>
    <w:p>
      <w:pPr>
        <w:pStyle w:val="FirstParagraph"/>
      </w:pPr>
      <w:r>
        <w:rPr>
          <w:i/>
          <w:iCs/>
        </w:rPr>
        <w:t xml:space="preserve"/>
      </w:r>
      <w:r>
        <w:rPr/>
        <w:t xml:space="preserve">Về hiệu quả thông tin, Lo và MacKinlay (1988) đề xuất kiểm định tỷ số phương sai và Hou và Moskowitz (2005) đo độ trễ giá; Griffin và cộng sự (2010) cảnh báo các thước đo này có thể cho kết luận sai khi so sánh các môi trường thông tin khác nhau. Lang và cộng sự (2012) nối minh bạch với thanh khoản, còn Čihák và cộng sự (2012) xây dựng Cơ sở dữ liệu Phát triển Tài chính Toàn cầu với các chỉ báo vòng quay và vốn hóa. Các thước đo đã chuẩn hóa, nhưng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rPr/>
        <w:t xml:space="preserve"> Huang và Stoll (1996) so sánh chi phí giao dịch của các cặp cổ phiếu tương đồng trên hai sàn trong cùng một quốc gia. Christie và Huang (1994) đo thanh khoản của cùng một cổ phiếu khi doanh nghiệp đổi sàn niêm yết. Amihud và cộng sự (1997) dùng việc chuyển cổ phiếu sang cơ chế giao dịch mới ở Tel Aviv để ước lượng tác động của cấu trúc vi mô lên giá trị cổ phiếu.</w:t>
      </w:r>
    </w:p>
    <w:p w:rsidR="005D3DB2" w:rsidRDefault="00000000">
      <w:pPr>
        <w:pStyle w:val="FirstParagraph"/>
      </w:pPr>
      <w:r>
        <w:rPr>
          <w:i/>
          <w:iCs/>
        </w:rPr>
        <w:t xml:space="preserve"/>
      </w:r>
      <w:r>
        <w:rPr/>
        <w:t xml:space="preserve">Nielsson (2009) thấy lợi ích thanh khoản của việc hình thành Euronext dồn vào doanh nghiệp lớn, còn Hisada (2018) thấy thanh khoản của các cổ phiếu sẵn có trên Sở Giao dịch Chứng khoán Tokyo tăng trong ngắn hạn sau khi thị trường cổ phiếu của Osaka được hợp nhất vào Tokyo năm 2013, hiệu ứng tâm lý mạnh hơn ở cổ phiếu nhỏ, với thước đo là vòng quay và độ phi thanh khoản Amihud. Wójcik (2007) phân tích quan hệ hai chiều giữa sàn chứng khoán và trung tâm tài chính. Bằng chứng về hợp nhất sàn chủ yếu đến từ thị trường phát triển; chẳng hạn, Arnold và cộng sự (1999, dẫn theo Hisada, 2018) thấy hợp nhất sàn làm thanh khoản tăng. Bằng chứng ở thị trường mới nổi còn ít và chưa đo khả năng đầu tư.</w:t>
      </w:r>
    </w:p>
    <w:p w14:paraId="77FF2C03" w14:textId="77777777" w:rsidR="005D3DB2" w:rsidRDefault="00000000">
      <w:pPr>
        <w:pStyle w:val="BodyText"/>
      </w:pPr>
      <w:r>
        <w:rPr>
          <w:i/>
          <w:iCs/>
        </w:rPr>
        <w:t xml:space="preserve">(D) Đa dạng hóa danh mục khi tham số được ước lượng.</w:t>
      </w:r>
      <w:r>
        <w:rPr/>
        <w:t xml:space="preserve"> Tối ưu hóa trung bình-phương sai (Markowitz, 1952) dồn trọng số vào những tài sản có sai số ước lượng lớn (Michaud, 1989), và việc thay tham số tổng thể bằng ước lượng mẫu làm hiệu quả ngoài mẫu giảm (Kan &amp; Zhou, 2007). Ledoit và Wolf (2004) co rút ma trận hiệp phương sai, Black và Litterman (1992) kết hợp lợi suất cân bằng với quan điểm của nhà đầu tư, và Bessler và cộng sự (2017) thấy cách tiếp cận này cho hiệu quả ngoài mẫu tốt trên dữ liệu đa tài sản. Garlappi và cộng sự (2007) xây dựng danh mục vững chắc với nhiều niềm tin tiên nghiệm. DeMiguel và cộng sự (2009) không thấy mô hình nào vượt quy tắc 1/N một cách nhất quán, và Pflug và cộng sự (2012) chứng minh 1/N xấp xỉ tối ưu khi mức mơ hồ về mô hình cao.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rPr/>
        <w:t xml:space="preserve"> Vo và Phan (2017) dùng 299 công ty niêm yết trên HOSE giai đoạn 2005–2015 và tìm thấy hành vi bầy đàn, rõ hơn khi thị trường giảm. Hoang và Luu (2024), trong một bản thảo công bố trực tuyến, phân tích chế độ biến động của VN-Index giai đoạn 2012–2023. Về danh mục, Ta và Vuong (2020) áp dụng mô hình Black-Litterman với quan điểm dự báo từ mô hình ARIMA, còn Nguyen và cộng sự (2020) dùng ma trận hiệp phương sai co rút trên dữ liệu 468 tuần giai đoạn 2011–2019. Goutte và cộng sự (2025) so sánh các phương pháp ra quyết định đa tiêu chí trên rổ VN100 của HOSE, và bài báo của chính thí sinh (Nguyễn &amp; Nguyễn, 2026a) áp dụng mô hình Black-Litterman có chuyển chế độ giai đoạn 2019–2025. Nhóm công trình này tập trung vào HOSE và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 khoảng trống K2 bổ sung cho ba vấn đề nêu ở mục 4.1.</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t>Nhóm nghiên cứu</w:t>
            </w:r>
          </w:p>
        </w:tc>
        <w:tc>
          <w:tcPr>
            <w:tcW w:w="3600" w:type="dxa"/>
          </w:tcPr>
          <w:p w14:paraId="71B373B4" w14:textId="77777777" w:rsidR="005D3DB2" w:rsidRDefault="00000000">
            <w:pPr>
              <w:pStyle w:val="Compact"/>
              <w:jc w:val="center"/>
            </w:pPr>
            <w:r>
              <w:t>Kết quả đã có</w:t>
            </w:r>
          </w:p>
        </w:tc>
        <w:tc>
          <w:tcPr>
            <w:tcW w:w="3188" w:type="dxa"/>
          </w:tcPr>
          <w:p w14:paraId="0C6AA699" w14:textId="77777777" w:rsidR="005D3DB2" w:rsidRDefault="00000000">
            <w:pPr>
              <w:pStyle w:val="Compact"/>
              <w:jc w:val="center"/>
            </w:pPr>
            <w:r>
              <w:t>Khoảng trống</w:t>
            </w:r>
          </w:p>
        </w:tc>
      </w:tr>
      <w:tr w:rsidR="005D3DB2" w14:paraId="1E533131" w14:textId="77777777">
        <w:trPr>
          <w:cantSplit/>
        </w:trPr>
        <w:tc>
          <w:tcPr>
            <w:tcW w:w="2000" w:type="dxa"/>
          </w:tcPr>
          <w:p w14:paraId="15CC7429" w14:textId="77777777" w:rsidR="005D3DB2" w:rsidRDefault="00000000">
            <w:pPr>
              <w:pStyle w:val="Compact"/>
            </w:pPr>
            <w:r>
              <w:t xml:space="preserve">Trung tâm tài chính (Yao, 2012; Naeem, 2023; Lai, 2012)</w:t>
            </w:r>
          </w:p>
        </w:tc>
        <w:tc>
          <w:tcPr>
            <w:tcW w:w="3600" w:type="dxa"/>
          </w:tcPr>
          <w:p w14:paraId="5F910835" w14:textId="77777777" w:rsidR="005D3DB2" w:rsidRDefault="00000000">
            <w:pPr>
              <w:pStyle w:val="Compact"/>
            </w:pPr>
            <w:r>
              <w:t xml:space="preserve">Yếu tố quyết định thứ hạng GFCI (Naeem: 17 yếu tố, không có chỉ báo thị trường cổ phiếu); phân vai các trung tâm trong một quốc gia</w:t>
            </w:r>
          </w:p>
        </w:tc>
        <w:tc>
          <w:tcPr>
            <w:tcW w:w="3188" w:type="dxa"/>
          </w:tcPr>
          <w:p w14:paraId="59F4C5C0" w14:textId="77777777" w:rsidR="005D3DB2" w:rsidRDefault="00000000">
            <w:pPr>
              <w:pStyle w:val="Compact"/>
            </w:pPr>
            <w:r>
              <w:t xml:space="preserve">K1. Các nghiên cứu về GFCI chưa xét chất lượng và cấu trúc thị trường cổ phiếu</w:t>
            </w:r>
          </w:p>
        </w:tc>
      </w:tr>
      <w:tr w:rsidR="005D3DB2" w14:paraId="163555CD" w14:textId="77777777">
        <w:trPr>
          <w:cantSplit/>
        </w:trPr>
        <w:tc>
          <w:tcPr>
            <w:tcW w:w="2000" w:type="dxa"/>
          </w:tcPr>
          <w:p w14:paraId="7892E17D" w14:textId="77777777" w:rsidR="005D3DB2" w:rsidRDefault="00000000">
            <w:pPr>
              <w:pStyle w:val="Compact"/>
            </w:pPr>
            <w:r>
              <w:t xml:space="preserve">Chất lượng thị trường (Amihud, 2002; Lesmond, 2005; Fong và cộng sự, 2017)</w:t>
            </w:r>
          </w:p>
        </w:tc>
        <w:tc>
          <w:tcPr>
            <w:tcW w:w="3600" w:type="dxa"/>
          </w:tcPr>
          <w:p w14:paraId="35E17D8F" w14:textId="77777777" w:rsidR="005D3DB2" w:rsidRDefault="00000000">
            <w:pPr>
              <w:pStyle w:val="Compact"/>
            </w:pPr>
            <w:r>
              <w:t xml:space="preserve">Thước đo thanh khoản, hiệu quả thông tin, minh bạch ở thị trường mới nổi</w:t>
            </w:r>
          </w:p>
        </w:tc>
        <w:tc>
          <w:tcPr>
            <w:tcW w:w="3188" w:type="dxa"/>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2000" w:type="dxa"/>
          </w:tcPr>
          <w:p w14:paraId="172955F1" w14:textId="77777777" w:rsidR="005D3DB2" w:rsidRDefault="00000000">
            <w:pPr>
              <w:pStyle w:val="Compact"/>
            </w:pPr>
            <w:r>
              <w:t xml:space="preserve">Đổi sàn và hợp nhất sàn (Huang &amp; Stoll, 1996; Nielsson, 2009; Hisada, 2018)</w:t>
            </w:r>
          </w:p>
        </w:tc>
        <w:tc>
          <w:tcPr>
            <w:tcW w:w="3600" w:type="dxa"/>
          </w:tcPr>
          <w:p w14:paraId="27D2C86F" w14:textId="77777777" w:rsidR="005D3DB2" w:rsidRDefault="00000000">
            <w:pPr>
              <w:pStyle w:val="Compact"/>
            </w:pPr>
            <w:r>
              <w:t xml:space="preserve">Đổi sàn làm thay đổi thanh khoản; Euronext: lợi ích dồn vào doanh nghiệp lớn; Tokyo–Osaka (cổ phiếu của sàn tiếp nhận): hiệu ứng tâm lý mạnh hơn ở cổ phiếu nhỏ</w:t>
            </w:r>
          </w:p>
        </w:tc>
        <w:tc>
          <w:tcPr>
            <w:tcW w:w="3188" w:type="dxa"/>
          </w:tcPr>
          <w:p w14:paraId="5C60018C" w14:textId="77777777" w:rsidR="005D3DB2" w:rsidRDefault="00000000">
            <w:pPr>
              <w:pStyle w:val="Compact"/>
            </w:pPr>
            <w: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2000" w:type="dxa"/>
          </w:tcPr>
          <w:p w14:paraId="2246DA5E" w14:textId="77777777" w:rsidR="005D3DB2" w:rsidRDefault="00000000">
            <w:pPr>
              <w:pStyle w:val="Compact"/>
            </w:pPr>
            <w:r>
              <w:t xml:space="preserve">Việt Nam (Vo &amp; Phan, 2017; Goutte và cộng sự, 2025; Nguyễn &amp; Nguyễn, 2026a)</w:t>
            </w:r>
          </w:p>
        </w:tc>
        <w:tc>
          <w:tcPr>
            <w:tcW w:w="3600" w:type="dxa"/>
          </w:tcPr>
          <w:p w14:paraId="133402BF" w14:textId="77777777" w:rsidR="005D3DB2" w:rsidRDefault="00000000">
            <w:pPr>
              <w:pStyle w:val="Compact"/>
            </w:pPr>
            <w:r>
              <w:t xml:space="preserve">Nghiên cứu tập trung vào HOSE và VN-Index</w:t>
            </w:r>
          </w:p>
        </w:tc>
        <w:tc>
          <w:tcPr>
            <w:tcW w:w="3188" w:type="dxa"/>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(A)–(E)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Nhận định này dựa trên các truy vấn trên SSRN, RePEc/IDEAS, ScienceDirect, Oxford Academic, Wiley, Springer, Taylor &amp; Francis, MDPI và arXiv, thực hiện đến ngày 30/9/2026.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hoạt động tài chính dồn về nơi có quy mô và thông tin, và các trung tâm trong một quốc gia phân vai (Kindleberger, 1974; Gehrig, 2000; Yao, 2012; Lai,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(Markowitz, 1952; Michaud, 1989; Kan &amp; Zhou, 2007): hiệu quả mà nhà đầu tư đạt được phụ thuộc vào chất lượng của tập cổ phiếu đầu tư được. Ba khối nối thành một chuỗi liên hệ: sàn giao dịch liên hệ với chất lượng thị trường, chất lượng thị trường liên hệ với khả năng đầu tư, và cấu trúc sàn liên hệ với vai trò của mỗi trung tâm; đề tài không kiểm định quan hệ nhân quả ở mắt xích cuối này.</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Khung phân tích: hợp nhất sàn, chất lượng thị trường và khả năng đầu tư</w:t>
      </w:r>
    </w:p>
    <w:p w14:paraId="316E836D" w14:textId="77777777" w:rsidR="005D3DB2" w:rsidRDefault="00000000">
      <w:pPr>
        <w:pStyle w:val="SourceNote"/>
      </w:pPr>
      <w:r>
        <w:t xml:space="preserve">Nguồn: Thí sinh đề xuất. Ghi chú: mũi tên từ ô Trước hợp nhất sang ô Sự kiện chỉ trình tự thời gian;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được kiểm định và H</w:t>
      </w:r>
      <w:r>
        <w:rPr>
          <w:vertAlign w:val="subscript"/>
        </w:rPr>
        <w:t xml:space="preserve">4</w:t>
      </w:r>
      <w:r>
        <w:t xml:space="preserve"> được ước lượng bằng khác biệt kép quanh ngày 28/12/2026; mũi tên nét đứt chỉ hàm ý chính sách.</w:t>
      </w:r>
    </w:p>
    <w:p w14:paraId="77B4CCF4" w14:textId="77777777" w:rsidR="005D3DB2" w:rsidRDefault="00000000">
      <w:pPr>
        <w:pStyle w:val="BodyText"/>
      </w:pPr>
      <w:r>
        <w:t xml:space="preserve">Theo Hình 1, chuỗi phân tích đi từ trước sự kiện, qua sự kiện, tới chính sách. Chỉ số chất lượng thị trường đo khoảng cách giữa sàn niêm yết HNX và HOSE trước hợp nhất (H</w:t>
      </w:r>
      <w:r>
        <w:rPr>
          <w:vertAlign w:val="subscript"/>
        </w:rPr>
        <w:t xml:space="preserve">2</w:t>
      </w:r>
      <w:r>
        <w:t xml:space="preserve">). Sự kiện chuyển sàn cho phép so sánh cùng các cổ phiếu trước và sau ngày 28/12/2026 với nhóm đối chứng, đối với thanh khoản (H</w:t>
      </w:r>
      <w:r>
        <w:rPr>
          <w:vertAlign w:val="subscript"/>
        </w:rPr>
        <w:t xml:space="preserve">3</w:t>
      </w:r>
      <w:r>
        <w:t xml:space="preserve">) và khả năng đầu tư (H</w:t>
      </w:r>
      <w:r>
        <w:rPr>
          <w:vertAlign w:val="subscript"/>
        </w:rPr>
        <w:t xml:space="preserve">4</w:t>
      </w:r>
      <w:r>
        <w:t xml:space="preserve">). Bằng chứng quốc tế (H</w:t>
      </w:r>
      <w:r>
        <w:rPr>
          <w:vertAlign w:val="subscript"/>
        </w:rPr>
        <w:t xml:space="preserve">1</w:t>
      </w:r>
      <w:r>
        <w:t xml:space="preserve">) cho biết mức phát triển thị trường cổ phiếu liên hệ thế nào với điểm GFCI. Các kết quả này là đầu vào cho phần tổng hợp định tính về định hướng chuyên môn hóa của các thị trường mà HNX tiếp tục vận hành.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8788" w:type="dxa"/>
        <w:tblLayout w:type="fixed"/>
        <w:tblLook w:val="0020" w:firstRow="1" w:lastRow="0" w:firstColumn="0" w:lastColumn="0" w:noHBand="0" w:noVBand="0"/>
      </w:tblPr>
      <w:tblGrid>
        <w:gridCol w:w="3400"/>
        <w:gridCol w:w="3000"/>
        <w:gridCol w:w="2388"/>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3400" w:type="dxa"/>
          </w:tcPr>
          <w:p w14:paraId="00C30761" w14:textId="77777777" w:rsidR="005D3DB2" w:rsidRDefault="00000000">
            <w:pPr>
              <w:pStyle w:val="Compact"/>
              <w:jc w:val="center"/>
            </w:pPr>
            <w:r>
              <w:t>Giả thuyết</w:t>
            </w:r>
          </w:p>
        </w:tc>
        <w:tc>
          <w:tcPr>
            <w:tcW w:w="3000" w:type="dxa"/>
          </w:tcPr>
          <w:p w14:paraId="54FEBD5F" w14:textId="77777777" w:rsidR="005D3DB2" w:rsidRDefault="00000000">
            <w:pPr>
              <w:pStyle w:val="Compact"/>
              <w:jc w:val="center"/>
            </w:pPr>
            <w:r>
              <w:t>Thước đo chính</w:t>
            </w:r>
          </w:p>
        </w:tc>
        <w:tc>
          <w:tcPr>
            <w:tcW w:w="2388" w:type="dxa"/>
          </w:tcPr>
          <w:p w14:paraId="4BB3DB00" w14:textId="77777777" w:rsidR="005D3DB2" w:rsidRDefault="00000000">
            <w:pPr>
              <w:pStyle w:val="Compact"/>
              <w:jc w:val="center"/>
            </w:pPr>
            <w:r>
              <w:t xml:space="preserve">Cơ sở lý thuyết và phương pháp</w:t>
            </w:r>
          </w:p>
        </w:tc>
      </w:tr>
      <w:tr w:rsidR="005D3DB2" w14:paraId="2DFD5B42" w14:textId="77777777">
        <w:trPr>
          <w:cantSplit/>
        </w:trPr>
        <w:tc>
          <w:tcPr>
            <w:tcW w:w="3400" w:type="dxa"/>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3000" w:type="dxa"/>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2388" w:type="dxa"/>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3400" w:type="dxa"/>
          </w:tcPr>
          <w:p w14:paraId="6BA2CDB6" w14:textId="77777777" w:rsidR="005D3DB2" w:rsidRDefault="00000000">
            <w:pPr>
              <w:pStyle w:val="Compact"/>
            </w:pPr>
            <w:r>
              <w:t xml:space="preserve">H</w:t>
            </w:r>
            <w:r>
              <w:rPr>
                <w:vertAlign w:val="subscript"/>
              </w:rPr>
              <w:t xml:space="preserve">2</w:t>
            </w:r>
            <w:r>
              <w:t xml:space="preserve">: Trong giai đoạn tham chiếu từ tháng 6/2009 đến tháng 6/2025, Chỉ số chất lượng thị trường vốn</w:t>
            </w:r>
            <w:r>
              <w:rPr>
                <w:vertAlign w:val="subscript"/>
              </w:rPr>
              <w:t xml:space="preserve"/>
            </w:r>
            <w:r>
              <w:t xml:space="preserve"> của sàn niêm yết HNX thấp hơn của HOSE (câu hỏi 2)</w:t>
            </w:r>
          </w:p>
        </w:tc>
        <w:tc>
          <w:tcPr>
            <w:tcW w:w="3000" w:type="dxa"/>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độ trễ công bố</w:t>
            </w:r>
          </w:p>
        </w:tc>
        <w:tc>
          <w:tcPr>
            <w:tcW w:w="2388" w:type="dxa"/>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3400" w:type="dxa"/>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tính trên các ngày có lợi suất tuyệt đối dưới ngưỡng chung và không liền sau ngày chạm biên độ, giảm so với nhóm đối chứng (câu hỏi 3)</w:t>
            </w:r>
          </w:p>
        </w:tc>
        <w:tc>
          <w:tcPr>
            <w:tcW w:w="3000" w:type="dxa"/>
          </w:tcPr>
          <w:p w14:paraId="3D56315F" w14:textId="77777777" w:rsidR="005D3DB2" w:rsidRDefault="00000000">
            <w:pPr>
              <w:pStyle w:val="Compact"/>
            </w:pPr>
            <w:r>
              <w:t xml:space="preserve">Logarit độ phi thanh khoản Amihud trên các ngày có lợi suất tuyệt đối dưới ngưỡng chung, loại ngày liền sau ngày chạm biên độ (chính); vòng quay, tỷ lệ ngày lợi suất bằng 0 (phụ)</w:t>
            </w:r>
          </w:p>
        </w:tc>
        <w:tc>
          <w:tcPr>
            <w:tcW w:w="2388" w:type="dxa"/>
          </w:tcPr>
          <w:p w14:paraId="2EB0DA83" w14:textId="77777777" w:rsidR="005D3DB2" w:rsidRDefault="00000000">
            <w:pPr>
              <w:pStyle w:val="Compact"/>
            </w:pPr>
            <w:r>
              <w:t xml:space="preserve">Amihud và cộng sự (1997); Nielsson (2009); Hisada (2018); Conley và Taber (2011); Rambachan và Roth (2023)</w:t>
            </w:r>
          </w:p>
        </w:tc>
      </w:tr>
      <w:tr w:rsidR="005D3DB2" w14:paraId="001DB05F" w14:textId="77777777">
        <w:trPr>
          <w:cantSplit/>
        </w:trPr>
        <w:tc>
          <w:tcPr>
            <w:tcW w:w="3400" w:type="dxa"/>
          </w:tcPr>
          <w:p w14:paraId="2441B171" w14:textId="77777777" w:rsidR="005D3DB2" w:rsidRDefault="00000000">
            <w:pPr>
              <w:pStyle w:val="Compact"/>
            </w:pPr>
            <w:r>
              <w:t xml:space="preserve">H</w:t>
            </w:r>
            <w:r>
              <w:rPr>
                <w:vertAlign w:val="subscript"/>
              </w:rPr>
              <w:t xml:space="preserve">4</w:t>
            </w:r>
            <w:r>
              <w:t xml:space="preserve"> (ước lượng, không kiểm định xác nhận): Khoảng cách khả năng đầu tư giữa rổ H và rổ cổ phiếu chuyển sàn thu hẹp sau ngày 28/12/2026 (câu hỏi 3)</w:t>
            </w:r>
          </w:p>
        </w:tc>
        <w:tc>
          <w:tcPr>
            <w:tcW w:w="3000" w:type="dxa"/>
          </w:tcPr>
          <w:p w14:paraId="0741046F" w14:textId="77777777" w:rsidR="005D3DB2" w:rsidRDefault="00000000">
            <w:pPr>
              <w:pStyle w:val="Compact"/>
            </w:pPr>
            <w:r>
              <w:t xml:space="preserve">Chỉ số khả năng đầu tư trước và sau sự kiện, chi phí giao dịch theo cổ phiếu và theo tháng; hiệu ứng nhỏ nhất phát hiện được</w:t>
            </w:r>
          </w:p>
        </w:tc>
        <w:tc>
          <w:tcPr>
            <w:tcW w:w="2388" w:type="dxa"/>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3</w:t>
      </w:r>
      <w:r>
        <w:t xml:space="preserve"> là họ kiểm định xác nhận, hiệu chỉnh Holm ở mức 5%; H</w:t>
      </w:r>
      <w:r>
        <w:rPr>
          <w:vertAlign w:val="subscript"/>
        </w:rPr>
        <w:t xml:space="preserve">4</w:t>
      </w:r>
      <w:r>
        <w:t xml:space="preserve"> được báo cáo bằng ước lượng, khoảng tin cậy và hiệu ứng nhỏ nhất phát hiện được; so sánh theo giai đoạn căng thẳng và theo quy mô doanh nghiệp là phân tích mô tả.</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nên hệ số của mức phát triển thị trường bằng 0 sau khi kiểm soát hai nhóm này. Với H</w:t>
      </w:r>
      <w:r>
        <w:rPr>
          <w:vertAlign w:val="subscript"/>
        </w:rPr>
        <w:t xml:space="preserve">2</w:t>
      </w:r>
      <w:r>
        <w:t xml:space="preserve">, chênh lệch có thể do quy mô doanh nghiệp và do biên độ dao động giá khác nhau giữa các sàn, hiện là ±7% ở HOSE, ±10% ở HNX và ±15% ở UPCoM; theo Điều 4 Thông tư số 120/2020/TT-BTC, biên độ do Sở giao dịch quyết định sau khi Ủy ban Chứng khoán Nhà nước chấp thuận (Bộ Tài chính, 2020) [CẦN XÁC MINH các lần thay đổi biên độ trong giai đoạn 2009–2025], nên chỉ số được so sánh cả trên mẫu đối sánh theo quy mô và ngành và cả khi bỏ hai chỉ báo nhạy với biên độ.</w:t>
      </w:r>
      <w:r>
        <w:rPr>
          <w:vertAlign w:val="subscript"/>
        </w:rPr>
        <w:t xml:space="preserve"/>
      </w:r>
      <w:r>
        <w:t xml:space="preserve"/>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Bước giá cũng khác nhau giữa các sàn [CẦN XÁC MINH quy định bước giá theo từng thời kỳ], nên tỷ lệ ngày lợi suất bằng 0 và chênh lệch Corwin–Schultz phản ánh một phần bước giá thay vì chi phí giao dịch, nhất là ở cổ phiếu giá thấp; đề tài báo cáo hai chỉ báo này theo nhóm mức giá và đọc thay đổi của tỷ lệ ngày lợi suất bằng 0 trong H</w:t>
      </w:r>
      <w:r>
        <w:rPr>
          <w:vertAlign w:val="subscript"/>
        </w:rPr>
        <w:t xml:space="preserve">3</w:t>
      </w:r>
      <w:r>
        <w:t xml:space="preserve"> cùng với thay đổi bước giá khi chuyển sàn.</w:t>
      </w:r>
      <w:r>
        <w:rPr>
          <w:vertAlign w:val="subscript"/>
        </w:rPr>
        <w:t xml:space="preserve"/>
      </w:r>
      <w:r>
        <w:t xml:space="preserve"/>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Với H</w:t>
      </w:r>
      <w:r>
        <w:rPr>
          <w:vertAlign w:val="subscript"/>
        </w:rPr>
        <w:t xml:space="preserve">3</w:t>
      </w:r>
      <w:r>
        <w:t xml:space="preserve">, biên độ giảm từ ±10% xuống ±7% khi chuyển sàn làm lợi suất tuyệt đối bị cắt ở những ngày chạm biên độ, nên độ phi thanh khoản Amihud có thể giảm một cách cơ học; việc chỉ loại các ngày chạm biên độ chưa đủ, vì sau khi chuyển sàn mọi ngày có lợi suất tuyệt đối từ khoảng 7% đến 10% trở thành ngày chạm biên độ và bị loại, nên các ngày còn lại có lợi suất tuyệt đối nhỏ hơn một cách cơ học. Đề tài vì vậy tính Amihud, ở cả hai nhóm và cả hai giai đoạn, chỉ trên các ngày có lợi suất tuyệt đối dưới một ngưỡng chung thấp hơn biên độ ±7% (giá trị cụ thể ghi trong tệp đăng ký) và không liền sau một ngày chạm biên độ; giá trị giao dịch chỉ gồm giao dịch khớp lệnh; tháng có ít hơn số ngày hợp lệ tối thiểu ghi trong tệp đăng ký được coi là thiếu; tỷ lệ ngày bị loại và tỷ lệ tháng thiếu được báo cáo theo nhóm và giai đoạn. Vòng quay, không bị cắt theo biên độ như Amihud, là thước đo đối chiếu.</w:t>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của các kỳ 1–40, do Z/Yen công bố công khai từ năm 2007 (hợp tác với China Development Institute từ năm 2016) và được thí sinh số hóa từ báo cáo từng kỳ; thí sinh sẽ xin phép Long Finance dùng bộ dữ liệu lịch sử trước khi phân tích; nếu không được phép, phương án dự phòng thứ nhất ở mục 4.3.10 được áp dụng. Bộ này được ghép với các chỉ báo thị trường cổ phiếu cấp quốc gia trong Cơ sở dữ liệu Phát triển Tài chính Toàn cầu (Čihák và cộng sự, 2012) và các chỉ số quản trị nhà nước toàn cầu (Kaufmann và cộng sự, 2011).</w:t>
      </w:r>
    </w:p>
    <w:p w:rsidR="005D3DB2" w:rsidRDefault="00000000">
      <w:pPr>
        <w:pStyle w:val="FirstParagraph"/>
      </w:pPr>
      <w:r>
        <w:t xml:space="preserve">Bộ dữ liệu Việt Nam gồm giá điều chỉnh theo ngày, khối lượng và giá trị giao dịch của cổ phiếu trên sàn niêm yết HNX, UPCoM và HOSE, kể cả những mã đã hủy niêm yết hoặc đã chuyển sàn, cùng VN-Index, HNX-Index và lợi suất trái phiếu chính phủ kỳ hạn một năm. Dữ liệu minh bạch gồm thời điểm công bố báo cáo tài chính theo quý, lấy từ trang công bố thông tin của HNX và HOSE hoặc từ nhà cung cấp dữ liệu thương mại; nguồn, điều khoản sử dụng và hạn công bố theo quy định được xác nhận trong quý 1 năm thứ nhất (Bảng 5). Nguồn dữ liệu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có giao dịch. Vì lộ trình hợp nhất đã được quy định từ năm 2021 nhưng mốc thực hiện bị lùi hai lần, và HNX ngừng nhận niêm yết mới từ ngày 01/7/2025, giai đoạn tham chiếu kết thúc ngày 30/6/2025; giai đoạn từ tháng 7/2025 đến tháng 12/2026 là giai đoạn chuyển tiếp, được báo cáo riêng trong phiên bản nghiên cứu sự kiện; giai đoạn sau sự kiện kéo dài 24 tháng từ tháng 1/2027. Ngày cổ phiếu bị đình chỉ giao dịch bị loại khỏi mẫu số của tỷ lệ ngày lợi suất bằng 0; lợi suất kỳ hủy niêm yết lấy theo giá giao dịch cuối cùng; độ phi thanh khoản Amihud được cắt đuôi ở phân vị 1% và 99% mỗi tháng; tháng không có giao dịch được ghi là thiếu và tỷ lệ tháng thiếu được báo cáo. Giai đoạn căng thẳng chỉ dùng cho phân tích mô tả và gồm hai đợt trong mẫu: đại dịch COVID-19 năm 2020 (Dao và cộng sự, 2021) và biến cố thị trường trái phiếu doanh nghiệp từ quý 4/2022 (International Monetary Fund, 2023; Vu và cộng sự, 2024). Ngưỡng sụt giảm của VN-Index và HNX-Index xác định mỗi đợt được ghi trong tệp đăng ký trước.</w:t>
      </w:r>
    </w:p>
    <w:p w14:paraId="68236F46" w14:textId="77777777" w:rsidR="005D3DB2" w:rsidRDefault="00000000">
      <w:pPr>
        <w:pStyle w:val="Heading3"/>
      </w:pPr>
      <w:bookmarkStart w:id="17" w:name="_Toc242353134"/>
      <w:bookmarkStart w:id="18" w:name="xác-định-chế-độ-thị-trường"/>
      <w:bookmarkEnd w:id="16"/>
      <w:r>
        <w:t xml:space="preserve">4.3.4. 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Amihud và tỷ lệ ngày lợi suất bằng 0 là chỉ báo chính vì hai thước đo này đã được dùng rộng rãi ở thị trường mới nổi (Lesmond, 2005; Bekaert và cộng sự, 2007) và đã được so sánh với chuẩn tính từ dữ liệu trong ngày trên mẫu toàn cầu (Fong và cộng sự, 2017); nếu có giá chào mua và chào bán đóng cửa cho một phần mẫu, đề tài báo cáo tương quan giữa các chỉ báo ngày và chênh lệch yết giá đóng cửa trên phần mẫu đó.</w:t>
      </w:r>
    </w:p>
    <w:p w:rsidR="005D3DB2" w:rsidRDefault="00000000">
      <w:pPr>
        <w:pStyle w:val="FirstParagraph"/>
      </w:pPr>
      <w:r>
        <w:t xml:space="preserve">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cấu hình bỏ chiều hiệu quả thông tin là kiểm tra độ bền bắt buộc. Chiều minh bạch là số ngày trễ hạn công bố báo cáo tài chính theo quý, giữ nguyên giá trị cho các tháng đến kỳ công bố tiếp theo.</w:t>
      </w:r>
    </w:p>
    <w:p w:rsidR="005D3DB2" w:rsidRDefault="00000000">
      <w:pPr>
        <w:pStyle w:val="FirstParagraph"/>
      </w:pPr>
      <w:r>
        <w:t xml:space="preserve">Các chỉ báo cổ phiếu được gộp lên cấp sàn bằng trung vị có trọng số theo vốn hóa. Trước khi chuẩn hóa, độ phi thanh khoản Amihud được nhân với tỷ số giữa tổng vốn hóa của ba sàn trong tháng t và tổng vốn hóa tại tháng 6/2025, để chỉ số không thay đổi chỉ vì quy mô danh nghĩa của thị trường thay đổi.</w:t>
      </w:r>
    </w:p>
    <w:p>
      <w:pPr>
        <w:pStyle w:val="FirstParagraph"/>
      </w:pPr>
      <w:r>
        <w:t xml:space="preserve">Đề tài gộp các chỉ báo thành Chỉ số chất lượng thị trường vốn theo hướng dẫn xây dựng chỉ số tổng hợp của OECD (2008). Mỗi chỉ báo được chuẩn hóa thành điểm z theo trung bình và độ lệch chuẩn của mẫu gộp các sàn trong giai đoạn tham chiếu (đến tháng 6/2025), để giá trị đã công bố không phải tính lại khi có dữ liệu mới, rồi đổi dấu sao cho giá trị cao hơn là chất lượng tốt hơn. Với sàn k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nary>
          <m:naryPr>
            <m:chr m:val="∑"/>
            <m:limLoc m:val="undOvr"/>
            <m:ctrlPr>
              <w:rPr>
                <w:rFonts w:ascii="Cambria Math" w:hAnsi="Cambria Math"/>
              </w:rPr>
            </m:ctrlP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sSubPr>
                <m:ctrlPr>
                  <w:rPr>
                    <w:rFonts w:ascii="Cambria Math" w:hAnsi="Cambria Math"/>
                  </w:rPr>
                </m:ctrlPr>
              </m:sSubPr>
              <m:e>
                <m:r>
                  <w:rPr>
                    <w:rFonts w:ascii="Cambria Math" w:hAnsi="Cambria Math"/>
                  </w:rPr>
                  <m:t xml:space="preserve">w</m:t>
                </m:r>
              </m:e>
              <m:sub>
                <m:r>
                  <w:rPr>
                    <w:rFonts w:ascii="Cambria Math" w:hAnsi="Cambria Math"/>
                  </w:rPr>
                  <m:t xml:space="preserve">j</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e>
        </m:nary>
      </m:oMath>
      <w:r>
        <w:t xml:space="preserve"> </w:t>
        <w:tab/>
        <w:t>(1)</w:t>
      </w:r>
    </w:p>
    <w:p>
      <w:pPr>
        <w:pStyle w:val="FirstParagraph"/>
      </w:pPr>
      <w:r>
        <w:t xml:space="preserve">trong đó MQI là Chỉ số chất lượng thị trường vốn, J = 6 là số chỉ báo, </w:t>
      </w:r>
      <w:r>
        <w:rPr>
          <w:i/>
          <w:iCs/>
        </w:rPr>
        <w:t xml:space="preserve">z</w:t>
      </w:r>
      <w:r>
        <w:rPr>
          <w:vertAlign w:val="subscript"/>
        </w:rPr>
        <w:t xml:space="preserve">j,k,t</w:t>
      </w:r>
      <w:r>
        <w:t xml:space="preserve"> là điểm z của chỉ báo j, và </w:t>
      </w:r>
      <w:r>
        <w:rPr>
          <w:i/>
          <w:iCs/>
        </w:rPr>
        <w:t xml:space="preserve">w</w:t>
      </w:r>
      <w:r>
        <w:rPr>
          <w:vertAlign w:val="subscript"/>
        </w:rPr>
        <w:t xml:space="preserve">j</w:t>
      </w:r>
      <w:r>
        <w:t xml:space="preserve"> = 1/(3·</w:t>
      </w:r>
      <w:r>
        <w:rPr>
          <w:i/>
          <w:iCs/>
        </w:rPr>
        <w:t xml:space="preserve">n</w:t>
      </w:r>
      <w:r>
        <w:rPr>
          <w:vertAlign w:val="subscript"/>
        </w:rPr>
        <w:t xml:space="preserve">d(j)</w:t>
      </w:r>
      <w:r>
        <w:t xml:space="preserve">) là trọng số, với </w:t>
      </w:r>
      <w:r>
        <w:rPr>
          <w:i/>
          <w:iCs/>
        </w:rPr>
        <w:t xml:space="preserve">n</w:t>
      </w:r>
      <w:r>
        <w:rPr>
          <w:vertAlign w:val="subscript"/>
        </w:rPr>
        <w:t xml:space="preserve">d(j)</w:t>
      </w:r>
      <w:r>
        <w:t xml:space="preserve"> là số chỉ báo thuộc chiều chứa chỉ báo j; k chỉ sàn (sàn niêm yết HNX, UPCoM hoặc HOSE). Trọng số từ thành phần chính thứ nhất và cách gộp bỏ lần lượt từng chiều là kiểm tra độ bền (OECD, 2008).</w:t>
      </w:r>
      <w:r>
        <w:rPr>
          <w:vertAlign w:val="subscript"/>
        </w:rPr>
        <w:t xml:space="preserve"/>
      </w:r>
      <w:r>
        <w:t xml:space="preserve"/>
      </w:r>
      <w:r>
        <w:rPr>
          <w:vertAlign w:val="subscript"/>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Đề tài kiểm định H</w:t>
      </w:r>
      <w:r>
        <w:rPr>
          <w:vertAlign w:val="subscript"/>
        </w:rPr>
        <w:t xml:space="preserve">2</w:t>
      </w:r>
      <w:r>
        <w:t xml:space="preserve"> bằng chuỗi chênh lệch chỉ số theo tháng giữa HOSE và sàn niêm yết HNX: H</w:t>
      </w:r>
      <w:r>
        <w:rPr>
          <w:vertAlign w:val="subscript"/>
        </w:rPr>
        <w:t xml:space="preserve">2</w:t>
      </w:r>
      <w:r>
        <w:t xml:space="preserve"> được ủng hộ khi chênh lệch bình quân trong giai đoạn tham chiếu dương và giá trị p bootstrap khối dừng trên chuỗi tháng (Politis &amp; Romano, 1994) nhỏ hơn ngưỡng Holm tương ứng; khoảng tin cậy được báo cáo kèm theo. Chênh lệch trong giai đoạn chuyển tiếp từ tháng 7/2025 đến tháng 12/2026 được báo cáo riêng ở dạng mô tả, vì HNX không nhận niêm yết mới trong giai đoạn này nên thành phần sàn thay đổi có hệ thống.</w:t>
      </w:r>
      <w:r>
        <w:rPr>
          <w:vertAlign w:val="subscript"/>
        </w:rPr>
        <w:t xml:space="preserve"/>
      </w:r>
      <w:r>
        <w:t xml:space="preserve"> Chênh lệch giữa HOSE và UPCoM, chênh lệch theo giai đoạn căng thẳng và điểm gãy cấu trúc theo Bai và Perron (1998) được báo cáo ở dạng mô tả. Sau năm 2026, chỉ số tiếp tục được cập nhật hằng tháng cho HOSE và cho UPCoM trong thời gian UPCoM còn do HNX vận hành.</w:t>
      </w:r>
    </w:p>
    <w:p w14:paraId="28018213" w14:textId="77777777" w:rsidR="005D3DB2" w:rsidRDefault="00000000">
      <w:pPr>
        <w:pStyle w:val="Heading3"/>
      </w:pPr>
      <w:r>
        <w:t xml:space="preserve">4.3.5. 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quy tắc đơn giản, co rút hiệp phương sai, tối ưu hóa cổ điển, mô hình Black-Litterman, danh mục vững chắc và quy tắc có trạng thái thị trường (Hamilton, 1989; Kritzman và cộng sự, 2012). Đề tài dùng nhiều mô hình vì khoảng cách đo bằng một mô hình có thể chỉ phản ánh sai số ước lượng của mô hình đó; bình quân theo bảy mô hình làm kết luận ít phụ thuộc vào một mô hình, còn độ phân tán giữa các mô hình cho biết mức phụ thuộc đó. Tập mô hình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Bảy mô hình phân bổ dùng làm công cụ đo khả năng đầu tư</w:t>
      </w:r>
      <w:bookmarkEnd w:id="21"/>
    </w:p>
    <w:tbl>
      <w:tblPr>
        <w:tblStyle w:val="Table"/>
        <w:tblW w:w="8788" w:type="dxa"/>
        <w:tblLayout w:type="fixed"/>
        <w:tblLook w:val="0020" w:firstRow="1" w:lastRow="0" w:firstColumn="0" w:lastColumn="0" w:noHBand="0" w:noVBand="0"/>
      </w:tblPr>
      <w:tblGrid>
        <w:gridCol w:w="900"/>
        <w:gridCol w:w="4600"/>
        <w:gridCol w:w="3288"/>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420971C1" w14:textId="77777777" w:rsidR="005D3DB2" w:rsidRDefault="00000000">
            <w:pPr>
              <w:pStyle w:val="Compact"/>
              <w:jc w:val="center"/>
            </w:pPr>
            <w:r>
              <w:t>Mã</w:t>
            </w:r>
          </w:p>
        </w:tc>
        <w:tc>
          <w:tcPr>
            <w:tcW w:w="4600" w:type="dxa"/>
          </w:tcPr>
          <w:p w14:paraId="7F5DC59D" w14:textId="77777777" w:rsidR="005D3DB2" w:rsidRDefault="00000000">
            <w:pPr>
              <w:pStyle w:val="Compact"/>
              <w:jc w:val="center"/>
            </w:pPr>
            <w:r>
              <w:t>Mô hình</w:t>
            </w:r>
          </w:p>
        </w:tc>
        <w:tc>
          <w:tcPr>
            <w:tcW w:w="3288" w:type="dxa"/>
          </w:tcPr>
          <w:p w14:paraId="4B730355" w14:textId="77777777" w:rsidR="005D3DB2" w:rsidRDefault="00000000">
            <w:pPr>
              <w:pStyle w:val="Compact"/>
              <w:jc w:val="center"/>
            </w:pPr>
            <w:r>
              <w:t xml:space="preserve">Tài liệu gốc</w:t>
            </w:r>
          </w:p>
        </w:tc>
      </w:tr>
      <w:tr w:rsidR="005D3DB2" w14:paraId="4BB94694" w14:textId="77777777">
        <w:trPr>
          <w:cantSplit/>
        </w:trPr>
        <w:tc>
          <w:tcPr>
            <w:tcW w:w="900" w:type="dxa"/>
          </w:tcPr>
          <w:p w14:paraId="23DD3646" w14:textId="77777777" w:rsidR="005D3DB2" w:rsidRDefault="00000000">
            <w:pPr>
              <w:pStyle w:val="Compact"/>
            </w:pPr>
            <w:r>
              <w:t>M</w:t>
            </w:r>
            <w:r>
              <w:rPr>
                <w:vertAlign w:val="subscript"/>
              </w:rPr>
              <w:t>1</w:t>
            </w:r>
          </w:p>
        </w:tc>
        <w:tc>
          <w:tcPr>
            <w:tcW w:w="4600" w:type="dxa"/>
          </w:tcPr>
          <w:p w14:paraId="7877F437" w14:textId="77777777" w:rsidR="005D3DB2" w:rsidRDefault="00000000">
            <w:pPr>
              <w:pStyle w:val="Compact"/>
            </w:pPr>
            <w:r>
              <w:t>Phân bổ đều 1/N</w:t>
            </w:r>
          </w:p>
        </w:tc>
        <w:tc>
          <w:tcPr>
            <w:tcW w:w="3288" w:type="dxa"/>
          </w:tcPr>
          <w:p w14:paraId="2CE0EB8D" w14:textId="77777777" w:rsidR="005D3DB2" w:rsidRDefault="00000000">
            <w:pPr>
              <w:pStyle w:val="Compact"/>
            </w:pPr>
            <w:r>
              <w:t>DeMiguel và cộng sự (2009)</w:t>
            </w:r>
          </w:p>
        </w:tc>
      </w:tr>
      <w:tr w:rsidR="005D3DB2" w14:paraId="148889D3" w14:textId="77777777">
        <w:trPr>
          <w:cantSplit/>
        </w:trPr>
        <w:tc>
          <w:tcPr>
            <w:tcW w:w="900" w:type="dxa"/>
          </w:tcPr>
          <w:p w14:paraId="1DD58B1D" w14:textId="77777777" w:rsidR="005D3DB2" w:rsidRDefault="00000000">
            <w:pPr>
              <w:pStyle w:val="Compact"/>
            </w:pPr>
            <w:r>
              <w:t>M</w:t>
            </w:r>
            <w:r>
              <w:rPr>
                <w:vertAlign w:val="subscript"/>
              </w:rPr>
              <w:t>2</w:t>
            </w:r>
          </w:p>
        </w:tc>
        <w:tc>
          <w:tcPr>
            <w:tcW w:w="4600" w:type="dxa"/>
          </w:tcPr>
          <w:p w14:paraId="244687DE" w14:textId="77777777" w:rsidR="005D3DB2" w:rsidRDefault="00000000">
            <w:pPr>
              <w:pStyle w:val="Compact"/>
            </w:pPr>
            <w:r>
              <w:t>Phương sai nhỏ nhất với ma trận hiệp phương sai co rút</w:t>
            </w:r>
          </w:p>
        </w:tc>
        <w:tc>
          <w:tcPr>
            <w:tcW w:w="3288" w:type="dxa"/>
          </w:tcPr>
          <w:p w14:paraId="40D70932" w14:textId="77777777" w:rsidR="005D3DB2" w:rsidRDefault="00000000">
            <w:pPr>
              <w:pStyle w:val="Compact"/>
            </w:pPr>
            <w:r>
              <w:t>Ledoit và Wolf (2004)</w:t>
            </w:r>
          </w:p>
        </w:tc>
      </w:tr>
      <w:tr w:rsidR="005D3DB2" w14:paraId="72D0850C" w14:textId="77777777">
        <w:trPr>
          <w:cantSplit/>
        </w:trPr>
        <w:tc>
          <w:tcPr>
            <w:tcW w:w="900" w:type="dxa"/>
          </w:tcPr>
          <w:p w14:paraId="551C2224" w14:textId="77777777" w:rsidR="005D3DB2" w:rsidRDefault="00000000">
            <w:pPr>
              <w:pStyle w:val="Compact"/>
            </w:pPr>
            <w:r>
              <w:t>M</w:t>
            </w:r>
            <w:r>
              <w:rPr>
                <w:vertAlign w:val="subscript"/>
              </w:rPr>
              <w:t>3</w:t>
            </w:r>
          </w:p>
        </w:tc>
        <w:tc>
          <w:tcPr>
            <w:tcW w:w="4600" w:type="dxa"/>
          </w:tcPr>
          <w:p w14:paraId="3356ABA6" w14:textId="77777777" w:rsidR="005D3DB2" w:rsidRDefault="00000000">
            <w:pPr>
              <w:pStyle w:val="Compact"/>
            </w:pPr>
            <w:r>
              <w:t xml:space="preserve">Trung bình-phương sai với ước lượng mẫu</w:t>
            </w:r>
          </w:p>
        </w:tc>
        <w:tc>
          <w:tcPr>
            <w:tcW w:w="3288" w:type="dxa"/>
          </w:tcPr>
          <w:p w14:paraId="1F03E0B7" w14:textId="77777777" w:rsidR="005D3DB2" w:rsidRDefault="00000000">
            <w:pPr>
              <w:pStyle w:val="Compact"/>
            </w:pPr>
            <w:r>
              <w:t>Markowitz (1952)</w:t>
            </w:r>
          </w:p>
        </w:tc>
      </w:tr>
      <w:tr w:rsidR="005D3DB2" w14:paraId="73E18DCE" w14:textId="77777777">
        <w:trPr>
          <w:cantSplit/>
        </w:trPr>
        <w:tc>
          <w:tcPr>
            <w:tcW w:w="900" w:type="dxa"/>
          </w:tcPr>
          <w:p w14:paraId="448D22E2" w14:textId="77777777" w:rsidR="005D3DB2" w:rsidRDefault="00000000">
            <w:pPr>
              <w:pStyle w:val="Compact"/>
            </w:pPr>
            <w:r>
              <w:t>M</w:t>
            </w:r>
            <w:r>
              <w:rPr>
                <w:vertAlign w:val="subscript"/>
              </w:rPr>
              <w:t>4</w:t>
            </w:r>
          </w:p>
        </w:tc>
        <w:tc>
          <w:tcPr>
            <w:tcW w:w="4600" w:type="dxa"/>
          </w:tcPr>
          <w:p w14:paraId="758005CD" w14:textId="77777777" w:rsidR="005D3DB2" w:rsidRDefault="00000000">
            <w:pPr>
              <w:pStyle w:val="Compact"/>
            </w:pPr>
            <w:r>
              <w:t xml:space="preserve">Black-Litterman với quan điểm từ mô hình dự báo</w:t>
            </w:r>
          </w:p>
        </w:tc>
        <w:tc>
          <w:tcPr>
            <w:tcW w:w="3288" w:type="dxa"/>
          </w:tcPr>
          <w:p w14:paraId="4B6B712C" w14:textId="77777777" w:rsidR="005D3DB2" w:rsidRDefault="00000000">
            <w:pPr>
              <w:pStyle w:val="Compact"/>
            </w:pPr>
            <w:r>
              <w:t>Black và Litterman (1992)</w:t>
            </w:r>
          </w:p>
        </w:tc>
      </w:tr>
      <w:tr w:rsidR="005D3DB2" w14:paraId="2EFBFFC3" w14:textId="77777777">
        <w:trPr>
          <w:cantSplit/>
        </w:trPr>
        <w:tc>
          <w:tcPr>
            <w:tcW w:w="900" w:type="dxa"/>
          </w:tcPr>
          <w:p w14:paraId="2F0A1C76" w14:textId="77777777" w:rsidR="005D3DB2" w:rsidRDefault="00000000">
            <w:pPr>
              <w:pStyle w:val="Compact"/>
            </w:pPr>
            <w:r>
              <w:t>M</w:t>
            </w:r>
            <w:r>
              <w:rPr>
                <w:vertAlign w:val="subscript"/>
              </w:rPr>
              <w:t>5</w:t>
            </w:r>
          </w:p>
        </w:tc>
        <w:tc>
          <w:tcPr>
            <w:tcW w:w="4600" w:type="dxa"/>
          </w:tcPr>
          <w:p w14:paraId="31F2A1AD" w14:textId="77777777" w:rsidR="005D3DB2" w:rsidRDefault="00000000">
            <w:pPr>
              <w:pStyle w:val="Compact"/>
            </w:pPr>
            <w:r>
              <w:t xml:space="preserve">Black-Litterman có chuyển chế độ</w:t>
            </w:r>
          </w:p>
        </w:tc>
        <w:tc>
          <w:tcPr>
            <w:tcW w:w="3288" w:type="dxa"/>
          </w:tcPr>
          <w:p w14:paraId="44313646" w14:textId="77777777" w:rsidR="005D3DB2" w:rsidRDefault="00000000">
            <w:pPr>
              <w:pStyle w:val="Compact"/>
            </w:pPr>
            <w:r>
              <w:t xml:space="preserve">Mở rộng từ Nguyễn và Nguyễn (2026a)</w:t>
            </w:r>
          </w:p>
        </w:tc>
      </w:tr>
      <w:tr w:rsidR="005D3DB2" w14:paraId="3ECC16B1" w14:textId="77777777">
        <w:trPr>
          <w:cantSplit/>
        </w:trPr>
        <w:tc>
          <w:tcPr>
            <w:tcW w:w="900" w:type="dxa"/>
          </w:tcPr>
          <w:p w14:paraId="148F97A3" w14:textId="77777777" w:rsidR="005D3DB2" w:rsidRDefault="00000000">
            <w:pPr>
              <w:pStyle w:val="Compact"/>
            </w:pPr>
            <w:r>
              <w:t>M</w:t>
            </w:r>
            <w:r>
              <w:rPr>
                <w:vertAlign w:val="subscript"/>
              </w:rPr>
              <w:t>6</w:t>
            </w:r>
          </w:p>
        </w:tc>
        <w:tc>
          <w:tcPr>
            <w:tcW w:w="4600" w:type="dxa"/>
          </w:tcPr>
          <w:p w14:paraId="63B8F9BE" w14:textId="77777777" w:rsidR="005D3DB2" w:rsidRDefault="00000000">
            <w:pPr>
              <w:pStyle w:val="Compact"/>
            </w:pPr>
            <w:r>
              <w:t>Danh mục vững chắc với nhiều niềm tin tiên nghiệm</w:t>
            </w:r>
          </w:p>
        </w:tc>
        <w:tc>
          <w:tcPr>
            <w:tcW w:w="3288" w:type="dxa"/>
          </w:tcPr>
          <w:p w14:paraId="4A51CA56" w14:textId="77777777" w:rsidR="005D3DB2" w:rsidRDefault="00000000">
            <w:pPr>
              <w:pStyle w:val="Compact"/>
            </w:pPr>
            <w:r>
              <w:t>Garlappi và cộng sự (2007)</w:t>
            </w:r>
          </w:p>
        </w:tc>
      </w:tr>
      <w:tr w:rsidR="005D3DB2" w14:paraId="043CE885" w14:textId="77777777">
        <w:trPr>
          <w:cantSplit/>
        </w:trPr>
        <w:tc>
          <w:tcPr>
            <w:tcW w:w="900" w:type="dxa"/>
          </w:tcPr>
          <w:p w14:paraId="368F48C9" w14:textId="77777777" w:rsidR="005D3DB2" w:rsidRDefault="00000000">
            <w:pPr>
              <w:pStyle w:val="Compact"/>
            </w:pPr>
            <w:r>
              <w:t>M</w:t>
            </w:r>
            <w:r>
              <w:rPr>
                <w:vertAlign w:val="subscript"/>
              </w:rPr>
              <w:t>7</w:t>
            </w:r>
          </w:p>
        </w:tc>
        <w:tc>
          <w:tcPr>
            <w:tcW w:w="4600" w:type="dxa"/>
          </w:tcPr>
          <w:p w14:paraId="31E8219C" w14:textId="77777777" w:rsidR="005D3DB2" w:rsidRDefault="00000000">
            <w:pPr>
              <w:pStyle w:val="Compact"/>
            </w:pPr>
            <w:r>
              <w:t xml:space="preserve">Giảm tỷ trọng rủi ro theo xác suất trạng thái căng thẳng do mô hình tự ước lượng</w:t>
            </w:r>
          </w:p>
        </w:tc>
        <w:tc>
          <w:tcPr>
            <w:tcW w:w="3288" w:type="dxa"/>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trọng số được ước lượng lại hằng tháng trên cửa sổ trượt 104 tuần;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Moore-Penrose và kết quả ghi rõ điều này.</w:t>
      </w:r>
    </w:p>
    <w:p w14:paraId="0EEA8DBF" w14:textId="77777777" w:rsidR="005D3DB2" w:rsidRDefault="00000000">
      <w:pPr>
        <w:pStyle w:val="BodyText"/>
      </w:pPr>
      <w:r>
        <w:t xml:space="preserve">Thí sinh đã dùng dữ liệu Việt Nam trong bài báo Nguyễn và Nguyễn (2026a) và trong các bản thảo số 5 và số 7 ở Bảng 7 [CẦN XÁC MINH phạm vi sàn của từng bài]. Để kiểm soát rủi ro chọn kết quả sau khi xem dữ liệu, thí sinh đăng ký trước kế hoạch phân tích trên nền tảng OSF Registries trước ngày 28/12/2026, sau khi xin góp ý của người hướng dẫn dự kiến, ở dạng khóa có dấu thời gian, và khai rõ phạm vi sàn, giai đoạn và chỉ báo đã tính trong các bài trước.</w:t>
      </w:r>
    </w:p>
    <w:p w:rsidR="005D3DB2" w:rsidRDefault="00000000">
      <w:pPr>
        <w:pStyle w:val="BodyText"/>
      </w:pPr>
      <w:r>
        <w:t xml:space="preserve">Tệp đăng ký cố định các nội dung sau: danh sách, cách chuẩn hóa và trọng số của chỉ báo; ngưỡng của hai đợt căng thẳng; ngày tham chiếu, quy tắc lập rổ và quy tắc ghép đối chứng; hai cấu hình chi phí giao dịch; siêu tham số của bảy mô hình; đặc tả các phương trình (5)–(7); độ dài khối và số lần tái lấy mẫu bootstrap; bậc trễ, cách hiệu chỉnh độ chệch và số lần lặp của bootstrap tự hồi quy cho H</w:t>
      </w:r>
      <w:r>
        <w:rPr>
          <w:vertAlign w:val="subscript"/>
        </w:rPr>
        <w:t xml:space="preserve">3</w:t>
      </w:r>
      <w:r>
        <w:t xml:space="preserve"> cùng kết quả mô phỏng kích thước của kiểm định; tập ngày giả định cho suy luận hoán vị; ngưỡng lợi suất tuyệt đối và số ngày hợp lệ tối thiểu khi tính Amihud; quy tắc chọn cửa sổ trước theo điểm gãy; mức ý nghĩa và quy tắc hiệu chỉnh so sánh bội; quy tắc gọi một kết quả là chưa đủ cơ sở kết luận.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thường gặp trong giai đoạn căng thẳng, danh mục biến động mạnh hơn lại có tỷ số Sharpe ít âm hơn. Đề tài chỉ báo cáo tỷ số Sharpe như thước đo phụ.</w:t>
      </w:r>
    </w:p>
    <w:p>
      <w:pPr>
        <w:pStyle w:val="FirstParagraph"/>
      </w:pPr>
      <w:r>
        <w:t xml:space="preserve">Gọi M = {M</w:t>
      </w:r>
      <w:r>
        <w:rPr>
          <w:vertAlign w:val="subscript"/>
        </w:rPr>
        <w:t xml:space="preserve">1</w:t>
      </w:r>
      <w:r>
        <w:t xml:space="preserve">, …, M</w:t>
      </w:r>
      <w:r>
        <w:rPr>
          <w:vertAlign w:val="subscript"/>
        </w:rPr>
        <w:t xml:space="preserve">7</w:t>
      </w:r>
      <w:r>
        <w:t xml:space="preserve">} là tập mô hình ở Bảng 3 và b ∈ {H, CS} là rổ, trong đó CS là rổ cổ phiếu chuyển sàn và H là rổ cổ phiếu HOSE được ghép với CS. Với cửa sổ đánh giá kết thúc tại t, </w:t>
      </w:r>
      <w:r>
        <w:rPr>
          <w:i/>
          <w:iCs/>
        </w:rPr>
        <w:t xml:space="preserve">μ</w:t>
      </w:r>
      <w:r>
        <w:rPr>
          <w:vertAlign w:val="subscript"/>
        </w:rPr>
        <w:t xml:space="preserve">m,b,t</w:t>
      </w:r>
      <w:r>
        <w:t xml:space="preserve"> và </w:t>
      </w:r>
      <w:r>
        <w:rPr>
          <w:i/>
          <w:iCs/>
        </w:rPr>
        <w:t xml:space="preserve">σ</w:t>
      </w:r>
      <w:r>
        <w:t xml:space="preserve">²</w:t>
      </w:r>
      <w:r>
        <w:rPr>
          <w:vertAlign w:val="subscript"/>
        </w:rPr>
        <w:t xml:space="preserve">m,b,t</w:t>
      </w:r>
      <w:r>
        <w:t xml:space="preserve">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 Đề tài dùng hai cấu hình chi phí. Cấu hình A dùng tỷ lệ cố định c nhân với vòng quay danh mục và chỉ đo kênh lợi suất và rủi ro. Cấu hình B dùng chi phí theo cổ phiếu và theo tháng, gồm phí giao dịch, thuế và một nửa chênh lệch giá chào mua và chào bán, lấy từ giá chào đóng cửa nếu nhà cung cấp dữ liệu có, nếu không thì dùng chênh lệch ước lượng từ giá cao nhất và thấp nhất theo tháng (Corwin &amp; Schultz, 2012), nên đo thêm kênh chi phí giao dịch mà sàn tác động. Lợi suất tương đương chắc chắn là:</w:t>
      </w:r>
    </w:p>
    <w:p>
      <w:pPr>
        <w:pStyle w:val="Equation"/>
      </w:pPr>
      <w:r>
        <w:tab/>
      </w:r>
      <m:oMath>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μ</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bSup>
          <m:sSubSupPr>
            <m:ctrlPr>
              <w:rPr>
                <w:rFonts w:ascii="Cambria Math" w:hAnsi="Cambria Math"/>
              </w:rPr>
            </m:ctrlPr>
          </m:sSubSupPr>
          <m:e>
            <m:r>
              <w:rPr>
                <w:rFonts w:ascii="Cambria Math" w:hAnsi="Cambria Math"/>
              </w:rPr>
              <m:t xml:space="preserve">σ</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up>
            <m:r>
              <m:rPr>
                <m:sty m:val="p"/>
              </m:rPr>
              <w:rPr>
                <w:rFonts w:ascii="Cambria Math" w:hAnsi="Cambria Math"/>
              </w:rPr>
              <m:t xml:space="preserve">2</m:t>
            </m:r>
          </m:sup>
        </m:sSub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oMath>
      <w:r>
        <w:t xml:space="preserve"> </w:t>
        <w:tab/>
        <w:t>(3)</w:t>
      </w:r>
    </w:p>
    <w:p>
      <w:pPr>
        <w:pStyle w:val="FirstParagraph"/>
      </w:pPr>
      <w:r>
        <w:t xml:space="preserve">Chỉ số khả năng đầu tư là khoảng cách bình quân theo bảy mô hình:</w:t>
      </w:r>
    </w:p>
    <w:p>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 xml:space="preserve">G</m:t>
                </m:r>
              </m:e>
            </m:bar>
          </m:e>
          <m:sub>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d>
              <m:dPr>
                <m:begChr m:val="|"/>
                <m:endChr m:val="|"/>
                <m:ctrlPr>
                  <w:rPr>
                    <w:rFonts w:ascii="Cambria Math" w:hAnsi="Cambria Math"/>
                  </w:rPr>
                </m:ctrlPr>
              </m:dPr>
              <m:e>
                <m:r>
                  <w:rPr>
                    <w:rFonts w:ascii="Cambria Math" w:hAnsi="Cambria Math"/>
                  </w:rPr>
                  <m:t xml:space="preserve">M</m:t>
                </m:r>
              </m:e>
            </m:d>
          </m:den>
        </m:f>
        <m:nary>
          <m:naryPr>
            <m:chr m:val="∑"/>
            <m:limLoc m:val="undOvr"/>
            <m:supHide m:val="1"/>
            <m:ctrlPr>
              <w:rPr>
                <w:rFonts w:ascii="Cambria Math" w:hAnsi="Cambria Math"/>
              </w:rPr>
            </m:ctrlPr>
          </m:naryPr>
          <m:sub>
            <m:r>
              <w:rPr>
                <w:rFonts w:ascii="Cambria Math" w:hAnsi="Cambria Math"/>
              </w:rPr>
              <m:t xml:space="preserve">m</m:t>
            </m:r>
            <m:r>
              <m:rPr>
                <m:sty m:val="p"/>
              </m:rPr>
              <w:rPr>
                <w:rFonts w:ascii="Cambria Math" w:hAnsi="Cambria Math"/>
              </w:rPr>
              <m:t xml:space="preserve">∈</m:t>
            </m:r>
            <m:r>
              <w:rPr>
                <w:rFonts w:ascii="Cambria Math" w:hAnsi="Cambria Math"/>
              </w:rPr>
              <m:t xml:space="preserve">M</m:t>
            </m:r>
          </m:sub>
          <m:sup/>
          <m:e>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e>
        </m:nary>
      </m:oMath>
      <w:r>
        <w:t xml:space="preserve"> </w:t>
        <w:tab/>
        <w:t>(4)</w:t>
      </w:r>
    </w:p>
    <w:p>
      <w:pPr>
        <w:pStyle w:val="FirstParagraph"/>
      </w:pPr>
      <w:r>
        <w:t xml:space="preserve">Chỉ số khả năng đầu tư dương nghĩa là nhà đầu tư đa dạng hóa đạt lợi suất tương đương chắc chắn thấp hơn với rổ CS, tính bằng điểm phần trăm mỗi năm. Đề tài báo cáo kèm độ phân tán của </w:t>
      </w:r>
      <w:r>
        <w:rPr>
          <w:i/>
          <w:iCs/>
        </w:rPr>
        <w:t xml:space="preserve">G</w:t>
      </w:r>
      <w:r>
        <w:rPr>
          <w:vertAlign w:val="subscript"/>
        </w:rPr>
        <w:t xml:space="preserve">m,t</w:t>
      </w:r>
      <w:r>
        <w:t xml:space="preserve"> theo m.</w:t>
      </w:r>
    </w:p>
    <w:p>
      <w:pPr>
        <w:pStyle w:val="FirstParagraph"/>
      </w:pPr>
      <w:r>
        <w:t xml:space="preserve"/>
      </w:r>
      <w:r>
        <w:rPr>
          <w:i/>
          <w:iCs/>
        </w:rPr>
        <w:t xml:space="preserve"/>
      </w:r>
      <w:r>
        <w:rPr>
          <w:vertAlign w:val="subscript"/>
        </w:rPr>
        <w:t xml:space="preserve"/>
      </w:r>
      <w:r>
        <w:t xml:space="preserve">Rổ CS gồm tối đa 30 cổ phiếu có giá trị giao dịch bình quân ba tháng lớn nhất trong số các cổ phiếu chuyển sàn, xác định chỉ bằng dữ liệu có tại ngày tham chiếu 30/6/2025; mã hủy niêm yết sau ngày này được giữ đến tháng cuối cùng có giao dịch. Rổ H gồm, cho mỗi cổ phiếu của rổ CS, cổ phiếu HOSE gần nhất về vốn hóa, ngành và độ phi thanh khoản tại cùng ngày, ghép có hoàn lại với ngưỡng khoảng cách ghi trong tệp đăng ký; mã HOSE được ghép nhiều lần nhận trọng số theo số lần ghép, và số mã khác nhau của rổ H được báo cáo. Giữ nguyên thành phần rổ giúp so sánh cùng các cổ phiếu quanh sự kiện, nhưng không loại hết các nguồn thiên lệch: thông tin tại ngày tham chiếu có thể lỗi thời ở các cửa sổ xa, và các mã được chọn vì thanh khoản cao có thể hồi quy về trung bình. Hai rổ được lập theo cùng quy tắc nên các nguồn này tác động lên cả hai.</w:t>
      </w:r>
    </w:p>
    <w:p w14:paraId="20510674" w14:textId="77777777" w:rsidR="005D3DB2" w:rsidRDefault="00000000">
      <w:pPr>
        <w:pStyle w:val="BodyText"/>
      </w:pPr>
      <w:r>
        <w:t xml:space="preserve">Đề tài ước lượng mỗi mô hình trên cửa sổ 104 tuần và đánh giá trên cửa sổ 3 tháng không chồng lấn (Hình 2). Giai đoạn tham chiếu dùng các cửa sổ từ quý 3/2020 đến quý 2/2025, tức 20 cửa sổ; giai đoạn sau sự kiện dùng các cửa sổ từ quý 1/2027 đến quý 4/2028, tức 8 cửa sổ. Cửa sổ ước lượng của mọi cửa sổ đánh giá sau sự kiện đều chứa một phần dữ liệu trước ngày chuyển sàn, nên khoảng cách của các mô hình cần ước lượng gộp cả chất lượng thị trường mới lẫn tham số ước lượng trên dữ liệu cũ; khoảng cách của M1, không cần ước lượng, được báo cáo riêng như phép so sánh sạch nhất. Vì số cửa sổ ít và lợi suất tương đương chắc chắn có phương sai lớn, hiệu ứng nhỏ nhất phát hiện được của H</w:t>
      </w:r>
      <w:r>
        <w:rPr>
          <w:vertAlign w:val="subscript"/>
        </w:rPr>
        <w:t xml:space="preserve">4</w:t>
      </w:r>
      <w:r>
        <w:t xml:space="preserve"> có thể lớn hơn nhiều so với một tác động hợp lý; đề tài tính con số này trên dữ liệu tham chiếu, ghi vào tệp đăng ký, và báo cáo H</w:t>
      </w:r>
      <w:r>
        <w:rPr>
          <w:vertAlign w:val="subscript"/>
        </w:rPr>
        <w:t xml:space="preserve">4</w:t>
      </w:r>
      <w:r>
        <w:t xml:space="preserve"> ở dạng ước lượng.</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cách tính khoảng cách khả năng đầu tư</w:t>
      </w:r>
      <w:bookmarkEnd w:id="24"/>
    </w:p>
    <w:p w14:paraId="14F05B63" w14:textId="77777777" w:rsidR="005D3DB2" w:rsidRDefault="00000000">
      <w:pPr>
        <w:pStyle w:val="SourceNote"/>
      </w:pPr>
      <w:r>
        <w:t xml:space="preserve">Nguồn: Thí sinh đề xuất. Ghi chú: ở mỗi cửa sổ đánh giá, đề tài tính lợi suất tương đương chắc chắn của bảy mô hình trên rổ CS và rổ H, rồi tính khoảng cách G</w:t>
      </w:r>
      <w:r>
        <w:rPr>
          <w:vertAlign w:val="subscript"/>
        </w:rPr>
        <w:t xml:space="preserve">m,t</w:t>
      </w:r>
      <w:r>
        <w:t xml:space="preserve">.</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tính trên các ngày có lợi suất tuyệt đối dưới ngưỡng chung (thấp hơn biên độ ±7%) và không liền sau một ngày chạm biên độ; </w:t>
      </w:r>
      <w:r>
        <w:rPr>
          <w:i/>
          <w:iCs/>
        </w:rPr>
        <w:t xml:space="preserve">D</w:t>
      </w:r>
      <w:r>
        <w:rPr>
          <w:vertAlign w:val="subscript"/>
        </w:rPr>
        <w:t xml:space="preserve">i</w:t>
      </w:r>
      <w:r>
        <w:t xml:space="preserve"> bằng 1 nếu cổ phiếu chuyển sàn, tức mọi cổ phiếu niêm yết tại HNX được chuyển sang HOSE theo lịch của VNX, không chỉ các mã của rổ CS; </w:t>
      </w:r>
      <w:r>
        <w:rPr>
          <w:i/>
          <w:iCs/>
        </w:rPr>
        <w:t xml:space="preserve">Post</w:t>
      </w:r>
      <w:r>
        <w:rPr>
          <w:vertAlign w:val="subscript"/>
        </w:rPr>
        <w:t xml:space="preserve">t</w:t>
      </w:r>
      <w:r>
        <w:t xml:space="preserve"> bằng 1 từ tháng 1/2027; phương trình (5) được ước lượng trên giai đoạn tham chiếu (đến tháng 6/2025) và giai đoạn sau sự kiện (từ tháng 1/2027), còn các tháng từ 7/2025 đến 12/2026, gồm tháng chuyển sàn, chỉ được ước lượng trong phương trình (6); vì giai đoạn tham chiếu dài 16 năm, đề tài kiểm định điểm gãy cấu trúc của chuỗi chênh lệch theo tháng trong giai đoạn này (Bai &amp; Perron, 1998), cho cửa sổ trước của ước lượng chính bắt đầu sau điểm gãy cuối cùng được phát hiện theo quy tắc ghi trong tệp đăng ký, và báo cáo kèm ước lượng với cửa sổ trước 24 tháng (7/2023–6/2025);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cổ phiếu và theo tháng.</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Nhóm đối chứng chính gồm cổ phiếu HOSE ghép láng giềng gần nhất theo vốn hóa, ngành và độ phi thanh khoản tại ngày 30/6/2025, có hoàn lại, trong vùng hỗ trợ chung; vì ghép theo mức độ phi thanh khoản có thể tạo hồi quy về trung bình, đề tài báo cáo thêm kết quả khi chỉ ghép theo vốn hóa và ngành (Daw &amp; Hatfield, 2018); nhóm đối chứng phụ gồm cổ phiếu UPCoM trong thời gian còn do HNX vận hành.</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Vì mọi cổ phiếu chuyển sàn cùng một ngày, suy luận chính dựa trên chuỗi chênh lệch theo tháng giữa nhóm xử lý và nhóm đối chứng: gọi dₜ là chênh lệch trung bình logarit Amihud giữa các cổ phiếu chuyển sàn và các cổ phiếu đối chứng ghép cặp trong tháng t, mỗi cặp có dữ liệu trong tháng có trọng số bằng nhau; thống kê kiểm định là trung bình của dₜ trong giai đoạn sau sự kiện trừ trung bình của dₜ trong cửa sổ trước. Giá trị p chính được tính bằng bootstrap tự hồi quy trên chuỗi dₜ: mô hình tự hồi quy được ước lượng trên giai đoạn tham chiếu, bậc trễ chọn theo tiêu chí thông tin, hệ số được hiệu chỉnh độ chệch, và kích thước của kiểm định được kiểm tra bằng mô phỏng trước ngày đăng ký.</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Suy luận trên các ngày giả định trong giai đoạn tham chiếu, với cùng cấu trúc cửa sổ trước, 18 tháng loại trừ và 24 tháng sau, theo tinh thần của Conley và Taber (2011), chỉ được báo cáo như kiểm tra bổ sung: các cửa sổ giả chồng lấn nhau và chỉ tạo ra khoảng sáu cửa sổ độc lập, và mô phỏng sơ bộ của thí sinh với chuỗi tự hồi quy bậc một cho thấy kiểm định này bác bỏ giả thuyết không thường xuyên hơn đáng kể so với mức danh nghĩa. Sai số chuẩn phân cụm theo cổ phiếu và theo tháng chỉ được báo cáo để so sánh. H</w:t>
      </w:r>
      <w:r>
        <w:rPr>
          <w:vertAlign w:val="subscript"/>
        </w:rPr>
        <w:t xml:space="preserve">3</w:t>
      </w:r>
      <w:r>
        <w:t xml:space="preserve"> được ủng hộ khi δ âm và giá trị p bootstrap tự hồi quy nhỏ hơn ngưỡng Holm tương ứng; giá trị p hoán vị được báo cáo kèm.</w:t>
      </w:r>
      <w:r>
        <w:rPr>
          <w:vertAlign w:val="subscript"/>
        </w:rPr>
        <w:t xml:space="preserve"/>
      </w:r>
      <w:r>
        <w:t xml:space="preserve"/>
      </w:r>
      <w:r>
        <w:rPr>
          <w:i/>
          <w:iCs/>
        </w:rPr>
        <w:t xml:space="preserve"/>
      </w:r>
      <w:r>
        <w:t xml:space="preserve"> 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sty m:val="p"/>
                  </m:rPr>
                  <w:rPr>
                    <w:rFonts w:ascii="Cambria Math" w:hAnsi="Cambria Math"/>
                  </w:rPr>
                  <m:t xml:space="preserve">0</m:t>
                </m:r>
              </m:sub>
            </m:sSub>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e>
        </m:nary>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pre</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&lt;</m:t>
        </m:r>
        <m:r>
          <m:rPr>
            <m:sty m:val="p"/>
          </m:rPr>
          <w:rPr>
            <w:rFonts w:ascii="Cambria Math" w:hAnsi="Cambria Math"/>
          </w:rPr>
          <m:t xml:space="preserve">1/2024</m:t>
        </m:r>
        <m:r>
          <m:rPr>
            <m:sty m:val="p"/>
          </m:rPr>
          <w:rPr>
            <w:rFonts w:ascii="Cambria Math" w:hAnsi="Cambria Math"/>
          </w:rPr>
          <m:t xml:space="preserve">]</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(6)</w:t>
      </w:r>
    </w:p>
    <w:p>
      <w:pPr>
        <w:pStyle w:val="FirstParagraph"/>
      </w:pPr>
      <w:r>
        <w:t xml:space="preserve">trong đó k chạy từ tháng 1/2024 đến tháng 12/2028, các tháng trước 1/2024 được gộp vào một biến chỉ chung, </w:t>
      </w:r>
      <w:r>
        <w:rPr>
          <w:i/>
          <w:iCs/>
        </w:rPr>
        <w:t xml:space="preserve">k</w:t>
      </w:r>
      <w:r>
        <w:rPr>
          <w:vertAlign w:val="subscript"/>
        </w:rPr>
        <w:t xml:space="preserve">0</w:t>
      </w:r>
      <w:r>
        <w:t xml:space="preserve"> là tháng 6/2025, tức tháng gốc, và 1[t = k] bằng 1 nếu tháng t là tháng k. Các hệ số </w:t>
      </w:r>
      <w:r>
        <w:rPr>
          <w:i/>
          <w:iCs/>
        </w:rPr>
        <w:t xml:space="preserve">δ</w:t>
      </w:r>
      <w:r>
        <w:rPr>
          <w:vertAlign w:val="subscript"/>
        </w:rPr>
        <w:t xml:space="preserve">k</w:t>
      </w:r>
      <w:r>
        <w:t xml:space="preserve"> trong giai đoạn chuyển tiếp cho biết phản ứng trước sự kiện. Đề tài kiểm định đồng thời giả thuyết các hệ số δk từ tháng 1/2024 đến tháng 5/2025 bằng 0, và báo cáo độ nhạy của kết luận khi xu hướng song song bị vi phạm ở mức tương đương độ lệch lớn nhất của các hệ số này, tức các tháng trước giai đoạn chuyển tiếp (Rambachan &amp; Roth, 2023). 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lấy mẫu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dựa trên cách tiếp cận dữ liệu bảng của Naeem (2023), nhưng dùng điểm GFCI chuẩn hóa theo kỳ thay cho thứ hạng.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γ</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θ</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p>
          <m:sSupPr>
            <m:ctrlPr>
              <w:rPr>
                <w:rFonts w:ascii="Cambria Math" w:hAnsi="Cambria Math"/>
              </w:rPr>
            </m:ctrlPr>
          </m:sSupPr>
          <m:e>
            <m:r>
              <w:rPr>
                <w:rFonts w:ascii="Cambria Math" w:hAnsi="Cambria Math"/>
              </w:rPr>
              <m:t xml:space="preserve">λ</m:t>
            </m:r>
          </m:e>
          <m:sup>
            <m:r>
              <m:rPr>
                <m:sty m:val="p"/>
              </m:rPr>
              <w:rPr>
                <w:rFonts w:ascii="Cambria Math" w:hAnsi="Cambria Math"/>
              </w:rPr>
              <m:t xml:space="preserve">′</m:t>
            </m:r>
          </m:sup>
        </m:sSup>
        <m:sSub>
          <m:sSubPr>
            <m:ctrlPr>
              <w:rPr>
                <w:rFonts w:ascii="Cambria Math" w:hAnsi="Cambria Math"/>
              </w:rPr>
            </m:ctrlPr>
          </m:sSubPr>
          <m:e>
            <m:r>
              <w:rPr>
                <w:rFonts w:ascii="Cambria Math" w:hAnsi="Cambria Math"/>
              </w:rPr>
              <m:t xml:space="preserve">W</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chuẩn hóa thành điểm z trong từng kỳ. Đề tài chuẩn hóa vì điểm GFCI được ước lượng lại mỗi kỳ và số trung tâm thay đổi giữa các kỳ. </w:t>
      </w:r>
      <w:r>
        <w:rPr>
          <w:i/>
          <w:iCs/>
        </w:rPr>
        <w:t xml:space="preserve">SMD</w:t>
      </w:r>
      <w:r>
        <w:rPr>
          <w:vertAlign w:val="subscript"/>
        </w:rPr>
        <w:t xml:space="preserve">c(i),y(t)−1</w:t>
      </w:r>
      <w:r>
        <w:t xml:space="preserve"> là chỉ báo phát triển thị trường cổ phiếu của quốc gia c(i) chứa trung tâm i trong năm liền trước năm y(t) của kỳ t, gộp từ tỷ lệ vòng quay và vốn hóa trên GDP (Čihák và cộng sự, 2012); </w:t>
      </w:r>
      <w:r>
        <w:rPr>
          <w:i/>
          <w:iCs/>
        </w:rPr>
        <w:t xml:space="preserve">W</w:t>
      </w:r>
      <w:r>
        <w:rPr>
          <w:vertAlign w:val="subscript"/>
        </w:rPr>
        <w:t xml:space="preserve">c(i),y(t)−1</w:t>
      </w:r>
      <w:r>
        <w:t xml:space="preserve"> là véc-tơ gồm thu nhập bình quân đầu người và chỉ số quản trị nhà nước (Kaufmann và cộng sự, 2011); </w:t>
      </w:r>
      <w:r>
        <w:rPr>
          <w:i/>
          <w:iCs/>
        </w:rPr>
        <w:t xml:space="preserve">γ</w:t>
      </w:r>
      <w:r>
        <w:rPr>
          <w:vertAlign w:val="subscript"/>
        </w:rPr>
        <w:t xml:space="preserve">i</w:t>
      </w:r>
      <w:r>
        <w:t xml:space="preserve"> và </w:t>
      </w:r>
      <w:r>
        <w:rPr>
          <w:i/>
          <w:iCs/>
        </w:rPr>
        <w:t xml:space="preserve">θ</w:t>
      </w:r>
      <w:r>
        <w:rPr>
          <w:vertAlign w:val="subscript"/>
        </w:rPr>
        <w:t xml:space="preserve">t</w:t>
      </w:r>
      <w:r>
        <w:t xml:space="preserve"> là hiệu ứng cố định theo trung tâm và theo kỳ. Nếu Cơ sở dữ liệu Phát triển Tài chính Toàn cầu không phủ các năm sau 2021, đề tài dùng số liệu của Liên đoàn các Sở Giao dịch Thế giới, sau khi kiểm tra độ phủ và điều khoản sử dụng.</w:t>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Sai số chuẩn được phân cụm theo quốc gia. Vì </w:t>
      </w:r>
      <w:r>
        <w:rPr>
          <w:i/>
          <w:iCs/>
        </w:rPr>
        <w:t xml:space="preserve">SMD</w:t>
      </w:r>
      <w:r>
        <w:t xml:space="preserve"> thay đổi chậm, </w:t>
      </w:r>
      <w:r>
        <w:rPr>
          <w:i/>
          <w:iCs/>
        </w:rPr>
        <w:t xml:space="preserve">β</w:t>
      </w:r>
      <w:r>
        <w:t xml:space="preserve"> chủ yếu được xác định từ biến thiên theo thời gian trong từng quốc gia; đề tài báo cáo thêm ước lượng không có hiệu ứng cố định theo trung tâm. </w:t>
      </w:r>
      <w:r>
        <w:rPr>
          <w:i/>
          <w:iCs/>
        </w:rPr>
        <w:t xml:space="preserve">SMD</w:t>
      </w:r>
      <w:r>
        <w:t xml:space="preserve"> khác với MQI ở phương trình (1) và không được quy đổi sang chỉ số đó. Vì điểm GFCI gộp kết quả khảo sát với các nhân tố định lượng, trong đó nhóm phát triển khu vực tài chính có vốn hóa, giá trị và khối lượng giao dịch cổ phiếu lấy từ Liên đoàn các Sở Giao dịch Thế giới (3 trong 144 nhân tố của kỳ GFCI 40; Wardle &amp; Mainelli, 2026), và vì trung tâm mạnh có thể kéo theo giao dịch cổ phiếu, đề tài gọi </w:t>
      </w:r>
      <w:r>
        <w:rPr>
          <w:i/>
          <w:iCs/>
        </w:rPr>
        <w:t xml:space="preserve">β</w:t>
      </w:r>
      <w:r>
        <w:t xml:space="preserve"> là liên hệ có điều kiện.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xu hướng song song, kiểm tra bằng các hệ số trước sự kiện của phương trình (6).</w:t>
      </w:r>
      <w:r>
        <w:rPr>
          <w:i/>
          <w:iCs/>
        </w:rPr>
        <w:t xml:space="preserve"/>
      </w:r>
      <w:r>
        <w:t xml:space="preserve"/>
      </w:r>
      <w:r>
        <w:rPr>
          <w:i/>
          <w:iCs/>
        </w:rPr>
        <w:t xml:space="preserve"/>
      </w:r>
      <w:r>
        <w:t xml:space="preserve"/>
      </w:r>
    </w:p>
    <w:p w:rsidR="005D3DB2" w:rsidRDefault="00000000">
      <w:pPr>
        <w:pStyle w:val="FirstParagraph"/>
      </w:pPr>
      <w:r>
        <w:t xml:space="preserve">Thứ hai, nhóm đối chứng không chịu tác động của sự kiện. Ba thay đổi trùng thời gian tác động lên nhóm đối chứng HOSE: FTSE Russell đưa cổ phiếu Việt Nam vào chỉ số theo bốn đợt vào các tháng 9/2026, 3/2027, 6/2027 và 9/2027 (FTSE Russell, 2026); theo dự thảo quy chế mà VNX đang lấy ý kiến, HOSE dự kiến công bố kết quả phân loại cổ phiếu vào Bảng Chính và Bảng Tiêu chuẩn lần đầu ngày 28/12/2026 (Tuổi Trẻ Online, 2026); và HOSE tiếp nhận 299 mã, đồng thời VN-Index gồm toàn bộ cổ phiếu niêm yết trên HOSE và tự động cập nhật danh mục sau ngày giao dịch đầu tiên của cổ phiếu niêm yết mới (Sở Giao dịch Chứng khoán Thành phố Hồ Chí Minh, 2026), nên các mã chuyển sàn nhiều khả năng vào chỉ số từ phiên thứ hai trên HOSE [CẦN XÁC MINH cách HOSE xử lý mã chuyển sàn trong VN-Index và quy chế phân bảng chính thức]. Vì vậy nhóm đối chứng HOSE loại các mã thuộc danh sách dự kiến của FTSE Russell, </w:t>
      </w:r>
      <w:r>
        <w:rPr>
          <w:i/>
          <w:iCs/>
        </w:rPr>
        <w:t xml:space="preserve">δ</w:t>
      </w:r>
      <w:r>
        <w:t xml:space="preserve"> được ước lượng thêm với biến chỉ nhóm bảng phân loại, và đề tài báo cáo riêng thay đổi thanh khoản của từng nhóm đối chứng so với xu hướng trước của chính nhóm đó. Ngoài ra, Ủy ban Chứng khoán Nhà nước cho biết đang nghiên cứu nới biên độ dao động giá và giao dịch xuyên trưa (Thời báo Tài chính Việt Nam, 2026); nếu các thay đổi này được áp dụng trong cửa sổ sau sự kiện, chúng tác động như nhau lên cổ phiếu chuyển sàn và nhóm đối chứng HOSE, và ngưỡng lợi suất chung khi tính Amihud được đặt thấp hơn biên độ hẹp nhất có hiệu lực trong toàn mẫu.</w:t>
      </w:r>
      <w:r>
        <w:rPr>
          <w:i/>
          <w:iCs/>
        </w:rPr>
        <w:t xml:space="preserve"/>
      </w:r>
      <w:r>
        <w:t xml:space="preserve"/>
      </w:r>
    </w:p>
    <w:p w:rsidR="005D3DB2" w:rsidRDefault="00000000">
      <w:pPr>
        <w:pStyle w:val="FirstParagraph"/>
      </w:pPr>
      <w:r>
        <w:t xml:space="preserve"/>
      </w:r>
      <w:r>
        <w:rPr>
          <w:i/>
          <w:iCs/>
        </w:rPr>
        <w:t xml:space="preserve"/>
      </w:r>
      <w:r>
        <w:t xml:space="preserve">Amihud và cộng sự (1997) ghi nhận thanh khoản lan tỏa giữa các cổ phiếu liên quan; nếu nhóm đối chứng HOSE mất thanh khoản do dòng lệnh chuyển sang cổ phiếu chuyển sàn, δ phóng đại tác động, nên ước lượng với nhóm đối chứng UPCoM được trình bày như một cận khác. Ngược lại, Hisada (2018) cho thấy thanh khoản của cổ phiếu sẵn có trên sàn tiếp nhận cũng tăng trong ngắn hạn quanh đợt hợp nhất Tokyo–Osaka; nếu điều tương tự xảy ra với nhóm đối chứng HOSE, δ đánh giá thấp tác động.</w:t>
      </w:r>
      <w:r>
        <w:rPr>
          <w:i/>
          <w:iCs/>
        </w:rPr>
        <w:t xml:space="preserve"/>
      </w:r>
      <w:r>
        <w:t xml:space="preserve"/>
      </w:r>
    </w:p>
    <w:p w:rsidR="005D3DB2" w:rsidRDefault="00000000">
      <w:pPr>
        <w:pStyle w:val="FirstParagraph"/>
      </w:pPr>
      <w:r>
        <w:t xml:space="preserve"/>
      </w:r>
      <w:r>
        <w:rPr>
          <w:i/>
          <w:iCs/>
        </w:rPr>
        <w:t xml:space="preserve"/>
      </w:r>
      <w:r>
        <w:t xml:space="preserve">Thứ ba, việc rời mẫu không liên quan đến sự kiện: đề tài báo cáo tỷ lệ mã hủy niêm yết sau sự kiện ở từng nhóm và ước lượng lại trên bảng cân bằng. Việc chuyển sàn đổi cùng lúc biên độ dao động giá, hệ thống giao dịch và tư cách thành phần chỉ số, nên </w:t>
      </w:r>
      <w:r>
        <w:rPr>
          <w:i/>
          <w:iCs/>
        </w:rPr>
        <w:t xml:space="preserve">δ</w:t>
      </w:r>
      <w:r>
        <w:t xml:space="preserve"> đo tác động gộp của sàn, không đo riêng từng quy tắc.</w:t>
      </w:r>
    </w:p>
    <w:p w14:paraId="6A2099F9" w14:textId="77777777" w:rsidR="005D3DB2" w:rsidRDefault="00000000">
      <w:pPr>
        <w:pStyle w:val="BodyText"/>
      </w:pPr>
      <w:r>
        <w:t xml:space="preserve">Từ bằng chứng đến định hướng cho Hà Nội. Sau hợp nhất, HNX tổ chức thị trường trái phiếu và chứng khoán phái sinh (Bộ Tài chính, 2023). Kết quả H</w:t>
      </w:r>
      <w:r>
        <w:rPr>
          <w:vertAlign w:val="subscript"/>
        </w:rPr>
        <w:t xml:space="preserve">2</w:t>
      </w:r>
      <w:r>
        <w:t xml:space="preserve">–H</w:t>
      </w:r>
      <w:r>
        <w:rPr>
          <w:vertAlign w:val="subscript"/>
        </w:rPr>
        <w:t xml:space="preserve">4</w:t>
      </w:r>
      <w:r>
        <w:t xml:space="preserve"> cho biết sàn giao dịch liên hệ thế nào với thanh khoản và khả năng đầu tư; kết quả H</w:t>
      </w:r>
      <w:r>
        <w:rPr>
          <w:vertAlign w:val="subscript"/>
        </w:rPr>
        <w:t xml:space="preserve">1</w:t>
      </w:r>
      <w:r>
        <w:t xml:space="preserve"> cho biết mức phát triển thị trường cổ phiếu liên hệ thế nào với vị thế trung tâm. Đề tài so sánh vai trò của Hà Nội với Bắc Kinh và Thượng Hải (Lai, 2012; Wang và cộng sự, 2007) và với Thành phố Hồ Chí Minh bằng văn bản chính sách và dữ liệu công khai, rồi đề xuất định hướng chuyên môn hóa cho các thị trường mà HNX tiếp tục vận hành. Phần này là tổng hợp định tính, không kiểm định giả thuyết. Nếu người hướng dẫn và các tổ chức liên quan đồng ý, thí sinh lấy ý kiến chuyên gia không chính thức.</w:t>
      </w:r>
    </w:p>
    <w:p>
      <w:pPr>
        <w:pStyle w:val="BodyText"/>
      </w:pPr>
      <w:r>
        <w:t xml:space="preserve">Hai chỉ số được đóng gói thành mã nguồn mở, có tài liệu hướng dẫn. Chỉ số chất lượng thị trường vốn được cập nhật theo tháng cho HOSE, và cho UPCoM trong thời gian UPCoM còn do HNX vận hành, khi có dữ liệu mới. Phần công khai gồm mã nguồn, chỉ số đã tính và tệp đăng ký trước; dữ liệu gốc từ nhà cung cấp thương mại được chia sẻ tùy điều khoản giấy phép.</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Công suất của H</w:t>
      </w:r>
      <w:r>
        <w:rPr>
          <w:vertAlign w:val="subscript"/>
        </w:rPr>
        <w:t xml:space="preserve">3</w:t>
      </w:r>
      <w:r>
        <w:t xml:space="preserve"> phụ thuộc vào số tháng trước và sau sự kiện và vào phương sai và mức tự tương quan của chuỗi chênh lệch theo tháng; công suất chỉ phụ thuộc yếu vào số cổ phiếu, vì mọi cổ phiếu chuyển sàn cùng một ngày và phần nhiễu riêng của từng mã đã được bình quân trong chuỗi chênh lệch.</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Với giả định chuỗi chênh lệch theo tháng là một quá trình tự hồi quy bậc một có hệ số φ và độ lệch chuẩn σ, cửa sổ trước dài 193 tháng (6/2009–6/2025), 18 tháng chuyển tiếp bị loại và giai đoạn sau dài 24 tháng, hiệu ứng nhỏ nhất phát hiện được của δ ở công suất 80% và mức ý nghĩa một phía 0,05/3 xấp xỉ 0,64σ khi φ = 0, 1,24σ khi φ = 0,6 và 1,76σ khi φ = 0,8. Nếu cửa sổ trước được rút ngắn do điểm gãy cấu trúc, hiệu ứng nhỏ nhất phát hiện được tăng lên, khoảng 1,3 lần khi cửa sổ trước chỉ còn 24 tháng. Chẳng hạn, với σ = 0,2 và φ = 0,6, đề tài chỉ phát hiện được mức giảm logarit Amihud từ khoảng 0,25 trở lên, tương đương độ phi thanh khoản giảm khoảng 22%. Các giá trị σ và φ này là giả định minh họa; thí sinh ước lượng hai tham số từ chuỗi chênh lệch của giai đoạn tham chiếu, tính lại hiệu ứng nhỏ nhất phát hiện được bằng mô phỏng theo đúng thủ tục kiểm định của H</w:t>
      </w:r>
      <w:r>
        <w:rPr>
          <w:vertAlign w:val="subscript"/>
        </w:rPr>
        <w:t xml:space="preserve">3</w:t>
      </w:r>
      <w:r>
        <w:t xml:space="preserve">, và ghi kết quả vào tệp đăng ký trước ngày 28/12/2026.</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H</w:t>
      </w:r>
      <w:r>
        <w:rPr>
          <w:vertAlign w:val="subscript"/>
        </w:rPr>
        <w:t xml:space="preserve">4</w:t>
      </w:r>
      <w:r>
        <w:t xml:space="preserve"> có ít cửa sổ nên chỉ được báo cáo ở dạng ước lượng. Các so sánh theo giai đoạn căng thẳng dựa trên hai đợt nên chỉ được báo cáo theo từng đợt ở dạng mô tả. Giá trị p đưa vào thủ tục Holm (1979) ở mức 5% là giá trị p phân cụm theo quốc gia cho H</w:t>
      </w:r>
      <w:r>
        <w:rPr>
          <w:vertAlign w:val="subscript"/>
        </w:rPr>
        <w:t xml:space="preserve">1</w:t>
      </w:r>
      <w:r>
        <w:t xml:space="preserve">, giá trị p bootstrap khối cho H</w:t>
      </w:r>
      <w:r>
        <w:rPr>
          <w:vertAlign w:val="subscript"/>
        </w:rPr>
        <w:t xml:space="preserve">2</w:t>
      </w:r>
      <w:r>
        <w:t xml:space="preserve"> và giá trị p bootstrap tự hồi quy cho H</w:t>
      </w:r>
      <w:r>
        <w:rPr>
          <w:vertAlign w:val="subscript"/>
        </w:rPr>
        <w:t xml:space="preserve">3</w:t>
      </w:r>
      <w:r>
        <w:t xml:space="preserve">.</w:t>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Ở H</w:t>
      </w:r>
      <w:r>
        <w:rPr>
          <w:vertAlign w:val="subscript"/>
        </w:rPr>
        <w:t xml:space="preserve">1</w:t>
      </w:r>
      <w:r>
        <w:t xml:space="preserve">, đề tài kiểm tra độ bền trên mẫu các trung tâm có ít nhất năm kỳ và trên mẫu cân bằng gồm các trung tâm có mặt ở mọi kỳ được dùng, vì điểm z theo kỳ thay đổi khi tập trung tâm thay đổi,</w:t>
      </w:r>
      <w:r>
        <w:rPr>
          <w:vertAlign w:val="subscript"/>
        </w:rPr>
        <w:t xml:space="preserve"/>
      </w:r>
      <w:r>
        <w:t xml:space="preserve"> và đối chiếu danh sách nhân tố công bố của từng kỳ GFCI với các thành phần của SMD, báo cáo tỷ lệ kỳ có trùng lặp; vì kỳ GFCI 40 đã có trùng lặp (Wardle &amp; Mainelli, 2026), đề tài ước lượng lại H</w:t>
      </w:r>
      <w:r>
        <w:rPr>
          <w:vertAlign w:val="subscript"/>
        </w:rPr>
        <w:t xml:space="preserve">1</w:t>
      </w:r>
      <w:r>
        <w:t xml:space="preserve"> trên các kỳ không trùng lặp nếu số kỳ đủ lớn, và trong mọi trường hợp gọi β là liên hệ có điều kiện, gồm cả phần cơ học này.</w:t>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Nếu dữ liệu không ủng hộ giả thuyết, đề tài vẫn trả lời được câu hỏi nghiên cứu bằng kích thước hiệu ứng và khoảng tin cậy; khi khoảng tin cậy chứa cả 0 lẫn những tác động lớn hơn hiệu ứng nhỏ nhất phát hiện được, kết quả được gọi là chưa đủ cơ sở kết luận, không phải bằng chứng về việc không có tác động.</w:t>
      </w:r>
    </w:p>
    <w:p w14:paraId="37F1B519" w14:textId="77777777" w:rsidR="005D3DB2" w:rsidRDefault="00000000">
      <w:pPr>
        <w:pStyle w:val="BodyText"/>
      </w:pPr>
      <w:r>
        <w:t xml:space="preserve">Kế hoạch có năm phương án dự phòng. Nếu không số hóa được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câu hỏi 3 dùng các mã đã tự chuyển từ HNX sang HOSE trước năm 2026.</w:t>
      </w:r>
    </w:p>
    <w:p w:rsidR="005D3DB2" w:rsidRDefault="00000000">
      <w:pPr>
        <w:pStyle w:val="BodyText"/>
      </w:pPr>
      <w:r>
        <w:t xml:space="preserve"/>
      </w:r>
      <w:r>
        <w:rPr>
          <w:vertAlign w:val="subscript"/>
        </w:rPr>
        <w:t xml:space="preserve"/>
      </w:r>
      <w:r>
        <w:t xml:space="preserve">Nếu cổ phiếu UPCoM được chuyển sang HOSE cùng đợt hoặc trong 24 tháng sau sự kiện, nhóm đối chứng UPCoM chỉ được dùng đến tháng liền trước ngày chuyển của UPCoM, Chỉ số chất lượng thị trường vốn của UPCoM dừng tại tháng đó, và ước lượng chính chỉ dựa vào nhóm đối chứng HOSE. Nếu cả hai nhóm đối chứng không đạt kiểm tra xu hướng song song, đề tài dùng nhóm đối chứng tổng hợp từ các mã HOSE ngoài danh sách FTSE Russell và mã UPCoM. Nếu dữ liệu sau sự kiện ngắn hơn 24 tháng hoặc rổ chuyển sàn có ít hơn 30 cổ phiếu đủ thanh khoản, đề tài dùng toàn bộ tháng có sẵn và rổ 20 cổ phiếu.</w:t>
      </w:r>
    </w:p>
    <w:p w:rsidR="005D3DB2" w:rsidRDefault="00000000">
      <w:pPr>
        <w:pStyle w:val="BodyText"/>
      </w:pPr>
      <w:r>
        <w:t xml:space="preserve"/>
      </w:r>
      <w:r>
        <w:rPr>
          <w:vertAlign w:val="subscript"/>
        </w:rPr>
        <w:t xml:space="preserve"/>
      </w:r>
      <w:r>
        <w:t xml:space="preserve">Các mã đã tự chuyển sàn trước năm 2026 còn được dùng làm phân tích phụ để tách tác động của biên độ giá. Thí sinh công khai mã nguồn và tệp đăng ký trước trên một kho lưu trữ mở, chậm nhất khi nộp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khác biệt chất lượng thị trường giữa các sàn và tác động của việc đổi sàn lên thanh khoản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(không bán khống) là cấu hình cơ sở của bảy mô hình phân bổ. Phân tích định lượng không xét thị trường trái phiếu và phái sinh; hai thị trường này chỉ được xét trong phần định hướng chuyên môn hóa. Đề tài không đánh giá chính sách nào khác ngoài đợt chuyển sàn, không khảo sát nhà đầu tư và không vận hành dịch vụ thương mại.</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điều kiện các giả định ở mục 4.3.8 được thỏa mãn, và chỉ áp dụng cho một sự kiện; kết luận về H</w:t>
      </w:r>
      <w:r>
        <w:rPr>
          <w:vertAlign w:val="subscript"/>
        </w:rPr>
        <w:t xml:space="preserve">4</w:t>
      </w:r>
      <w:r>
        <w:t xml:space="preserve"> là ước lượng và chỉ áp dụng cho rổ CS, gồm tối đa 30 cổ phiếu chuyển sàn có thanh khoản cao nhất; định hướng chuyên môn hóa là tổng hợp có căn cứ.</w:t>
      </w:r>
    </w:p>
    <w:p>
      <w:pPr>
        <w:pStyle w:val="BodyText"/>
      </w:pPr>
      <w:r>
        <w:t xml:space="preserve">Đề tài không giải quyết trọn bài toán số 19; câu hỏi số 2 và số 4 về công nghệ tài chính và dịch vụ tài chính thế hệ mới nằm ngoài phạm vi; với câu hỏi số 3, đề tài chỉ cung cấp thước đo minh bạch và hiệu quả thị trường làm nền, không đề xuất nền tảng công nghệ. Người dùng dự kiến của kết quả gồm Sở Khoa học và Công nghệ Hà Nội, cơ quan đầu mối theo dõi và đánh giá kết quả thực hiện Danh mục các bài toán lớn (Ủy ban nhân dân thành phố Hà Nội, 2026, Điều 3), Ủy ban nhân dân thành phố Hà Nội, Ủy ban Chứng khoán Nhà nước, HNX, HOSE và các tổ chức đầu tư. Trước khi nộp hồ sơ đề nghị hỗ trợ, thí sinh sẽ xin văn bản xác nhận nhu cầu sử dụng kết quả của ít nhất một đơn vị trong số này.</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8788" w:type="dxa"/>
        <w:tblLayout w:type="fixed"/>
        <w:tblLook w:val="0020" w:firstRow="1" w:lastRow="0" w:firstColumn="0" w:lastColumn="0" w:noHBand="0" w:noVBand="0"/>
      </w:tblPr>
      <w:tblGrid>
        <w:gridCol w:w="1100"/>
        <w:gridCol w:w="2900"/>
        <w:gridCol w:w="4788"/>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1100" w:type="dxa"/>
          </w:tcPr>
          <w:p w14:paraId="68617A13" w14:textId="77777777" w:rsidR="005D3DB2" w:rsidRDefault="00000000">
            <w:pPr>
              <w:pStyle w:val="Compact"/>
              <w:jc w:val="center"/>
            </w:pPr>
            <w:r>
              <w:t>Chương</w:t>
            </w:r>
          </w:p>
        </w:tc>
        <w:tc>
          <w:tcPr>
            <w:tcW w:w="2900" w:type="dxa"/>
          </w:tcPr>
          <w:p w14:paraId="7E951140" w14:textId="77777777" w:rsidR="005D3DB2" w:rsidRDefault="00000000">
            <w:pPr>
              <w:pStyle w:val="Compact"/>
              <w:jc w:val="center"/>
            </w:pPr>
            <w:r>
              <w:t>Tên chương</w:t>
            </w:r>
          </w:p>
        </w:tc>
        <w:tc>
          <w:tcPr>
            <w:tcW w:w="4788" w:type="dxa"/>
          </w:tcPr>
          <w:p w14:paraId="37C3C919" w14:textId="77777777" w:rsidR="005D3DB2" w:rsidRDefault="00000000">
            <w:pPr>
              <w:pStyle w:val="Compact"/>
              <w:jc w:val="center"/>
            </w:pPr>
            <w:r>
              <w:t>Các tiểu mục chính (đến ba chữ số)</w:t>
            </w:r>
          </w:p>
        </w:tc>
      </w:tr>
      <w:tr w:rsidR="005D3DB2" w14:paraId="4C1B0FF7" w14:textId="77777777">
        <w:trPr>
          <w:cantSplit/>
        </w:trPr>
        <w:tc>
          <w:tcPr>
            <w:tcW w:w="1100" w:type="dxa"/>
          </w:tcPr>
          <w:p w14:paraId="322FF50B" w14:textId="77777777" w:rsidR="005D3DB2" w:rsidRDefault="00000000">
            <w:pPr>
              <w:pStyle w:val="Compact"/>
            </w:pPr>
            <w:r>
              <w:t>Chương 1</w:t>
            </w:r>
          </w:p>
        </w:tc>
        <w:tc>
          <w:tcPr>
            <w:tcW w:w="2900" w:type="dxa"/>
          </w:tcPr>
          <w:p w14:paraId="74D88853" w14:textId="77777777" w:rsidR="005D3DB2" w:rsidRDefault="00000000">
            <w:pPr>
              <w:pStyle w:val="Compact"/>
            </w:pPr>
            <w:r>
              <w:t>Giới thiệu nghiên cứu</w:t>
            </w:r>
          </w:p>
        </w:tc>
        <w:tc>
          <w:tcPr>
            <w:tcW w:w="4788" w:type="dxa"/>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1100" w:type="dxa"/>
          </w:tcPr>
          <w:p w14:paraId="4540440E" w14:textId="77777777" w:rsidR="005D3DB2" w:rsidRDefault="00000000">
            <w:pPr>
              <w:pStyle w:val="Compact"/>
            </w:pPr>
            <w:r>
              <w:t>Chương 2</w:t>
            </w:r>
          </w:p>
        </w:tc>
        <w:tc>
          <w:tcPr>
            <w:tcW w:w="2900" w:type="dxa"/>
          </w:tcPr>
          <w:p w14:paraId="4D7FB84F" w14:textId="77777777" w:rsidR="005D3DB2" w:rsidRDefault="00000000">
            <w:pPr>
              <w:pStyle w:val="Compact"/>
            </w:pPr>
            <w:r>
              <w:t xml:space="preserve">Tổng quan tài liệu và khung phân tích</w:t>
            </w:r>
          </w:p>
        </w:tc>
        <w:tc>
          <w:tcPr>
            <w:tcW w:w="4788" w:type="dxa"/>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1100" w:type="dxa"/>
          </w:tcPr>
          <w:p w14:paraId="42945545" w14:textId="77777777" w:rsidR="005D3DB2" w:rsidRDefault="00000000">
            <w:pPr>
              <w:pStyle w:val="Compact"/>
            </w:pPr>
            <w:r>
              <w:t>Chương 3</w:t>
            </w:r>
          </w:p>
        </w:tc>
        <w:tc>
          <w:tcPr>
            <w:tcW w:w="2900" w:type="dxa"/>
          </w:tcPr>
          <w:p w14:paraId="4F981ECB" w14:textId="77777777" w:rsidR="005D3DB2" w:rsidRDefault="00000000">
            <w:pPr>
              <w:pStyle w:val="Compact"/>
            </w:pPr>
            <w:r>
              <w:t xml:space="preserve">Dữ liệu và phương pháp</w:t>
            </w:r>
          </w:p>
        </w:tc>
        <w:tc>
          <w:tcPr>
            <w:tcW w:w="4788" w:type="dxa"/>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1100" w:type="dxa"/>
          </w:tcPr>
          <w:p w14:paraId="0BA0B803" w14:textId="77777777" w:rsidR="005D3DB2" w:rsidRDefault="00000000">
            <w:pPr>
              <w:pStyle w:val="Compact"/>
            </w:pPr>
            <w:r>
              <w:t>Chương 4</w:t>
            </w:r>
          </w:p>
        </w:tc>
        <w:tc>
          <w:tcPr>
            <w:tcW w:w="2900" w:type="dxa"/>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4788" w:type="dxa"/>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bền; 4.4 Thảo luận: Thành phố Hồ Chí Minh, Đà Nẵng và Hà Nội</w:t>
            </w:r>
          </w:p>
        </w:tc>
      </w:tr>
      <w:tr w:rsidR="005D3DB2" w14:paraId="2E8DF854" w14:textId="77777777">
        <w:trPr>
          <w:cantSplit/>
        </w:trPr>
        <w:tc>
          <w:tcPr>
            <w:tcW w:w="1100" w:type="dxa"/>
          </w:tcPr>
          <w:p w14:paraId="59786C49" w14:textId="77777777" w:rsidR="005D3DB2" w:rsidRDefault="00000000">
            <w:pPr>
              <w:pStyle w:val="Compact"/>
            </w:pPr>
            <w:r>
              <w:t>Chương 5</w:t>
            </w:r>
          </w:p>
        </w:tc>
        <w:tc>
          <w:tcPr>
            <w:tcW w:w="2900" w:type="dxa"/>
          </w:tcPr>
          <w:p w14:paraId="7BDF0C6D" w14:textId="77777777" w:rsidR="005D3DB2" w:rsidRDefault="00000000">
            <w:pPr>
              <w:pStyle w:val="Compact"/>
            </w:pPr>
            <w:r>
              <w:t xml:space="preserve">Chất lượng thị trường vốn trước hợp nhất: HNX, UPCoM và HOSE</w:t>
            </w:r>
          </w:p>
        </w:tc>
        <w:tc>
          <w:tcPr>
            <w:tcW w:w="4788" w:type="dxa"/>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1100" w:type="dxa"/>
          </w:tcPr>
          <w:p w14:paraId="177C7BB2" w14:textId="77777777" w:rsidR="005D3DB2" w:rsidRDefault="00000000">
            <w:pPr>
              <w:pStyle w:val="Compact"/>
            </w:pPr>
            <w:r>
              <w:t>Chương 6</w:t>
            </w:r>
          </w:p>
        </w:tc>
        <w:tc>
          <w:tcPr>
            <w:tcW w:w="2900" w:type="dxa"/>
          </w:tcPr>
          <w:p w14:paraId="1DA21297" w14:textId="77777777" w:rsidR="005D3DB2" w:rsidRDefault="00000000">
            <w:pPr>
              <w:pStyle w:val="Compact"/>
            </w:pPr>
            <w:r>
              <w:t xml:space="preserve">Tác động của việc chuyển sàn và định hướng cho thị trường vốn Hà Nội</w:t>
            </w:r>
          </w:p>
        </w:tc>
        <w:tc>
          <w:tcPr>
            <w:tcW w:w="4788" w:type="dxa"/>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Khác biệt theo quy mô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1100" w:type="dxa"/>
          </w:tcPr>
          <w:p w14:paraId="488E10B5" w14:textId="77777777" w:rsidR="005D3DB2" w:rsidRDefault="00000000">
            <w:pPr>
              <w:pStyle w:val="Compact"/>
            </w:pPr>
            <w:r>
              <w:t>Kết luận</w:t>
            </w:r>
          </w:p>
        </w:tc>
        <w:tc>
          <w:tcPr>
            <w:tcW w:w="2900" w:type="dxa"/>
          </w:tcPr>
          <w:p w14:paraId="0D23B9F0" w14:textId="77777777" w:rsidR="005D3DB2" w:rsidRDefault="005D3DB2">
            <w:pPr>
              <w:pStyle w:val="Compact"/>
            </w:pPr>
          </w:p>
        </w:tc>
        <w:tc>
          <w:tcPr>
            <w:tcW w:w="4788" w:type="dxa"/>
          </w:tcPr>
          <w:p w14:paraId="2EA0D8EC" w14:textId="77777777" w:rsidR="005D3DB2" w:rsidRDefault="00000000">
            <w:pPr>
              <w:pStyle w:val="Compact"/>
            </w:pPr>
            <w:r>
              <w:t xml:space="preserve">Trả lời ba câu hỏi nghiên cứu; hạn chế (một sự kiện duy nhất, độ dài dữ liệu sau sự kiện, các cú sốc trùng thời gian,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còn đề tài thuộc tài chính định lượng và quản lý, và giao thoa với quản lý ở phần định hướng chuyên môn hóa thị trường vốn Hà Nội. Lý do thứ hai là ngôn ngữ đào tạo: chương trình giảng dạy bằng tiếng Anh hoặc tiếng Việt; học bằng tiếng Anh thuận lợi cho công bố quốc tế, và thí sinh có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ước lượng tác động của một sự kiện duy nhất với suy luận phù hợp, và báo cáo trung thực cả những kết quả chưa đủ cơ sở kết luận.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 Thí sinh mong muốn công bố kết quả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so sánh vai trò của Hà Nội với các trung tâm trong khu vực.</w:t>
      </w:r>
      <w:r>
        <w:rPr>
          <w:vertAlign w:val="subscript"/>
        </w:rPr>
        <w:t xml:space="preserve"/>
      </w:r>
      <w:r>
        <w:t xml:space="preserve"> Mục tiêu là ít nhất một bài thuộc cơ sở dữ liệu Web of Science hạng Q1 hoặc Q2. Số bài là mục tiêu; kết quả cụ thể phụ thuộc vào dữ liệu và quy trình phản biện của tạp chí.</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 xml:space="preserve">Thời gian đào tạo đối với người có bằng đại học là bốn năm, theo hình thức tập trung toàn thời gian; thời gian này không vượt quá 48 tháng, là thời gian hỗ trợ tối đa theo Điều 13 Nghị quyết số 57/2026/NQ-HĐND (Hội đồng nhân dân thành phố Hà Nội, 2026).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8788" w:type="dxa"/>
        <w:tblLayout w:type="fixed"/>
        <w:tblLook w:val="0020" w:firstRow="1" w:lastRow="0" w:firstColumn="0" w:lastColumn="0" w:noHBand="0" w:noVBand="0"/>
      </w:tblPr>
      <w:tblGrid>
        <w:gridCol w:w="1000"/>
        <w:gridCol w:w="4900"/>
        <w:gridCol w:w="2888"/>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1000" w:type="dxa"/>
          </w:tcPr>
          <w:p w14:paraId="1D0347E4" w14:textId="77777777" w:rsidR="005D3DB2" w:rsidRDefault="00000000">
            <w:pPr>
              <w:pStyle w:val="Compact"/>
              <w:jc w:val="center"/>
            </w:pPr>
            <w:r>
              <w:t>Năm</w:t>
            </w:r>
          </w:p>
        </w:tc>
        <w:tc>
          <w:tcPr>
            <w:tcW w:w="4900" w:type="dxa"/>
          </w:tcPr>
          <w:p w14:paraId="21E9C063" w14:textId="77777777" w:rsidR="005D3DB2" w:rsidRDefault="00000000">
            <w:pPr>
              <w:pStyle w:val="Compact"/>
              <w:jc w:val="center"/>
            </w:pPr>
            <w:r>
              <w:t>Nội dung</w:t>
            </w:r>
          </w:p>
        </w:tc>
        <w:tc>
          <w:tcPr>
            <w:tcW w:w="2888" w:type="dxa"/>
          </w:tcPr>
          <w:p w14:paraId="1F86562E" w14:textId="77777777" w:rsidR="005D3DB2" w:rsidRDefault="00000000">
            <w:pPr>
              <w:pStyle w:val="Compact"/>
              <w:jc w:val="center"/>
            </w:pPr>
            <w:r>
              <w:t>Sản phẩm</w:t>
            </w:r>
          </w:p>
        </w:tc>
      </w:tr>
      <w:tr w:rsidR="005D3DB2" w14:paraId="489CA679" w14:textId="77777777">
        <w:trPr>
          <w:cantSplit/>
        </w:trPr>
        <w:tc>
          <w:tcPr>
            <w:tcW w:w="1000" w:type="dxa"/>
          </w:tcPr>
          <w:p w14:paraId="758DF502" w14:textId="77777777" w:rsidR="005D3DB2" w:rsidRDefault="00000000">
            <w:pPr>
              <w:pStyle w:val="Compact"/>
            </w:pPr>
            <w:r>
              <w:t>Năm 1</w:t>
            </w:r>
          </w:p>
        </w:tc>
        <w:tc>
          <w:tcPr>
            <w:tcW w:w="4900" w:type="dxa"/>
          </w:tcPr>
          <w:p w14:paraId="61FD355A" w14:textId="77777777" w:rsidR="005D3DB2" w:rsidRDefault="00000000">
            <w:pPr>
              <w:pStyle w:val="Compact"/>
            </w:pPr>
            <w: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2888" w:type="dxa"/>
          </w:tcPr>
          <w:p w14:paraId="49F49FA0" w14:textId="77777777" w:rsidR="005D3DB2" w:rsidRDefault="00000000">
            <w:pPr>
              <w:pStyle w:val="Compact"/>
            </w:pPr>
            <w:r>
              <w:t xml:space="preserve">Tệp đăng ký trước; tổng quan nghiên cứu; chuyên đề 1; chỉ số chất lượng bản đầu</w:t>
            </w:r>
          </w:p>
        </w:tc>
      </w:tr>
      <w:tr w:rsidR="005D3DB2" w14:paraId="475714BB" w14:textId="77777777">
        <w:trPr>
          <w:cantSplit/>
        </w:trPr>
        <w:tc>
          <w:tcPr>
            <w:tcW w:w="1000" w:type="dxa"/>
          </w:tcPr>
          <w:p w14:paraId="3CAB58A2" w14:textId="77777777" w:rsidR="005D3DB2" w:rsidRDefault="00000000">
            <w:pPr>
              <w:pStyle w:val="Compact"/>
            </w:pPr>
            <w:r>
              <w:t>Năm 2</w:t>
            </w:r>
          </w:p>
        </w:tc>
        <w:tc>
          <w:tcPr>
            <w:tcW w:w="4900" w:type="dxa"/>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ước lượng giữa kỳ cho H</w:t>
            </w:r>
            <w:r>
              <w:rPr>
                <w:vertAlign w:val="subscript"/>
              </w:rPr>
              <w:t xml:space="preserve">3</w:t>
            </w:r>
            <w:r>
              <w:t xml:space="preserve"> với 12 tháng dữ liệu sau sự kiện, báo cáo là kết quả giữa kỳ theo tệp đăng ký</w:t>
            </w:r>
          </w:p>
        </w:tc>
        <w:tc>
          <w:tcPr>
            <w:tcW w:w="2888" w:type="dxa"/>
          </w:tcPr>
          <w:p w14:paraId="43770066" w14:textId="77777777" w:rsidR="005D3DB2" w:rsidRDefault="00000000">
            <w:pPr>
              <w:pStyle w:val="Compact"/>
            </w:pPr>
            <w:r>
              <w:t xml:space="preserve">Bài báo 1; kết quả giữa kỳ H</w:t>
            </w:r>
            <w:r>
              <w:rPr>
                <w:vertAlign w:val="subscript"/>
              </w:rPr>
              <w:t xml:space="preserve">3</w:t>
            </w:r>
            <w:r>
              <w:t xml:space="preserve">; báo cáo hội thảo; chuyên đề 2</w:t>
            </w:r>
          </w:p>
        </w:tc>
      </w:tr>
      <w:tr w:rsidR="005D3DB2" w14:paraId="4FE2EDEA" w14:textId="77777777">
        <w:trPr>
          <w:cantSplit/>
        </w:trPr>
        <w:tc>
          <w:tcPr>
            <w:tcW w:w="1000" w:type="dxa"/>
          </w:tcPr>
          <w:p w14:paraId="72C3354E" w14:textId="77777777" w:rsidR="005D3DB2" w:rsidRDefault="00000000">
            <w:pPr>
              <w:pStyle w:val="Compact"/>
            </w:pPr>
            <w:r>
              <w:t>Năm 3</w:t>
            </w:r>
          </w:p>
        </w:tc>
        <w:tc>
          <w:tcPr>
            <w:tcW w:w="4900" w:type="dxa"/>
          </w:tcPr>
          <w:p w14:paraId="45E0D657" w14:textId="77777777" w:rsidR="005D3DB2" w:rsidRDefault="00000000">
            <w:pPr>
              <w:pStyle w:val="Compact"/>
            </w:pPr>
            <w:r>
              <w:t xml:space="preserve">Quý 1–2: hoàn tất 24 tháng dữ liệu sau sự kiện; kiểm định H</w:t>
            </w:r>
            <w:r>
              <w:rPr>
                <w:vertAlign w:val="subscript"/>
              </w:rPr>
              <w:t xml:space="preserve">3</w:t>
            </w:r>
            <w:r>
              <w:t xml:space="preserve"> và ước lượng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2888" w:type="dxa"/>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1000" w:type="dxa"/>
          </w:tcPr>
          <w:p w14:paraId="4FCE09B1" w14:textId="77777777" w:rsidR="005D3DB2" w:rsidRDefault="00000000">
            <w:pPr>
              <w:pStyle w:val="Compact"/>
            </w:pPr>
            <w:r>
              <w:t>Năm 4</w:t>
            </w:r>
          </w:p>
        </w:tc>
        <w:tc>
          <w:tcPr>
            <w:tcW w:w="4900" w:type="dxa"/>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2888" w:type="dxa"/>
          </w:tcPr>
          <w:p w14:paraId="4CC80AB9" w14:textId="77777777" w:rsidR="005D3DB2" w:rsidRDefault="00000000">
            <w:pPr>
              <w:pStyle w:val="Compact"/>
            </w:pPr>
            <w:r>
              <w:t xml:space="preserve">Bài báo 3; báo cáo định hướng chuyên môn hóa gửi Sở Khoa học và Công nghệ Hà Nội; luận án; hai chỉ số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năm phương án dự phòng (mục 4.3.10): không số hóa được điểm GFCI; sự kiện bị lùi, thực hiện theo nhiều đợt hoặc không diễn ra; UPCoM chuyển sang HOSE trong cửa sổ sau sự kiện; nhóm đối chứng không đạt kiểm tra xu hướng song song; dữ liệu sau sự kiện ngắn hơn 24 tháng hoặc rổ chuyển sàn quá ít mã. Phương án xử lý từng trường hợp được ghi trong tệp đăng ký trước.</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8788" w:type="dxa"/>
        <w:tblLayout w:type="fixed"/>
        <w:tblLook w:val="0020" w:firstRow="1" w:lastRow="0" w:firstColumn="0" w:lastColumn="0" w:noHBand="0" w:noVBand="0"/>
      </w:tblPr>
      <w:tblGrid>
        <w:gridCol w:w="600"/>
        <w:gridCol w:w="3900"/>
        <w:gridCol w:w="2600"/>
        <w:gridCol w:w="1688"/>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600" w:type="dxa"/>
          </w:tcPr>
          <w:p w14:paraId="7F46F851" w14:textId="77777777" w:rsidR="005D3DB2" w:rsidRDefault="00000000">
            <w:pPr>
              <w:pStyle w:val="Compact"/>
              <w:jc w:val="center"/>
            </w:pPr>
            <w:r>
              <w:t>TT</w:t>
            </w:r>
          </w:p>
        </w:tc>
        <w:tc>
          <w:tcPr>
            <w:tcW w:w="3900" w:type="dxa"/>
          </w:tcPr>
          <w:p w14:paraId="60B13376" w14:textId="77777777" w:rsidR="005D3DB2" w:rsidRDefault="00000000">
            <w:pPr>
              <w:pStyle w:val="Compact"/>
              <w:jc w:val="center"/>
            </w:pPr>
            <w:r>
              <w:t>Công trình</w:t>
            </w:r>
          </w:p>
        </w:tc>
        <w:tc>
          <w:tcPr>
            <w:tcW w:w="2600" w:type="dxa"/>
          </w:tcPr>
          <w:p w14:paraId="09100F43" w14:textId="77777777" w:rsidR="005D3DB2" w:rsidRDefault="00000000">
            <w:pPr>
              <w:pStyle w:val="Compact"/>
              <w:jc w:val="center"/>
            </w:pPr>
            <w:r>
              <w:t>Tạp chí; ISSN</w:t>
            </w:r>
          </w:p>
        </w:tc>
        <w:tc>
          <w:tcPr>
            <w:tcW w:w="1688" w:type="dxa"/>
          </w:tcPr>
          <w:p w14:paraId="48262534" w14:textId="77777777" w:rsidR="005D3DB2" w:rsidRDefault="00000000">
            <w:pPr>
              <w:pStyle w:val="Compact"/>
              <w:jc w:val="center"/>
            </w:pPr>
            <w:r>
              <w:t>Trạng thái</w:t>
            </w:r>
          </w:p>
        </w:tc>
      </w:tr>
      <w:tr w:rsidR="005D3DB2" w14:paraId="223C44CB" w14:textId="77777777">
        <w:trPr>
          <w:cantSplit/>
        </w:trPr>
        <w:tc>
          <w:tcPr>
            <w:tcW w:w="600" w:type="dxa"/>
          </w:tcPr>
          <w:p w14:paraId="6A2810EB" w14:textId="77777777" w:rsidR="005D3DB2" w:rsidRDefault="00000000">
            <w:pPr>
              <w:pStyle w:val="Compact"/>
            </w:pPr>
            <w:r>
              <w:t>1</w:t>
            </w:r>
          </w:p>
        </w:tc>
        <w:tc>
          <w:tcPr>
            <w:tcW w:w="3900" w:type="dxa"/>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2600" w:type="dxa"/>
          </w:tcPr>
          <w:p w14:paraId="7C63DA21" w14:textId="77777777" w:rsidR="005D3DB2" w:rsidRDefault="00000000">
            <w:pPr>
              <w:pStyle w:val="Compact"/>
            </w:pPr>
            <w:r>
              <w:t>Tạp chí Kinh tế - Luật và Ngân hàng; ISSN 3030-4199; Tập 28, Số 9, tr. 52–64; DOI 10.59276/3030-4199/jelb.bav.895</w:t>
            </w:r>
          </w:p>
        </w:tc>
        <w:tc>
          <w:tcPr>
            <w:tcW w:w="1688" w:type="dxa"/>
          </w:tcPr>
          <w:p w14:paraId="1DB41FFF" w14:textId="77777777" w:rsidR="005D3DB2" w:rsidRDefault="00000000">
            <w:pPr>
              <w:pStyle w:val="Compact"/>
            </w:pPr>
            <w:r>
              <w:t>Đã công bố</w:t>
            </w:r>
          </w:p>
        </w:tc>
      </w:tr>
      <w:tr w:rsidR="005D3DB2" w14:paraId="136CE50D" w14:textId="77777777">
        <w:trPr>
          <w:cantSplit/>
        </w:trPr>
        <w:tc>
          <w:tcPr>
            <w:tcW w:w="600" w:type="dxa"/>
          </w:tcPr>
          <w:p w14:paraId="7D27DA56" w14:textId="77777777" w:rsidR="005D3DB2" w:rsidRDefault="00000000">
            <w:pPr>
              <w:pStyle w:val="Compact"/>
            </w:pPr>
            <w:r>
              <w:t>2</w:t>
            </w:r>
          </w:p>
        </w:tc>
        <w:tc>
          <w:tcPr>
            <w:tcW w:w="3900" w:type="dxa"/>
          </w:tcPr>
          <w:p w14:paraId="7CF01717" w14:textId="77777777" w:rsidR="005D3DB2" w:rsidRDefault="00000000">
            <w:pPr>
              <w:pStyle w:val="Compact"/>
            </w:pPr>
            <w:r>
              <w:t xml:space="preserve">Nguyễn Thanh Bình, Nguyễn Văn Trung, “Black-Litterman portfolio optimization using regime switching CAPM and ABC-MCMC: Empirical evidence from the Vietnamese stock market period 2019 - 2025” (Nguyễn &amp; Nguyễn, 2026a)</w:t>
            </w:r>
          </w:p>
        </w:tc>
        <w:tc>
          <w:tcPr>
            <w:tcW w:w="2600" w:type="dxa"/>
          </w:tcPr>
          <w:p w14:paraId="21B2C551" w14:textId="77777777" w:rsidR="005D3DB2" w:rsidRDefault="00000000">
            <w:pPr>
              <w:pStyle w:val="Compact"/>
            </w:pPr>
            <w:r>
              <w:t>Tạp chí Nghiên cứu Chính sách và Phát triển; ISSN 3030-4091; Tập 3, Số 1, tr. 81–99; DOI 10.63640/3030-4091/jpd.apd.194</w:t>
            </w:r>
          </w:p>
        </w:tc>
        <w:tc>
          <w:tcPr>
            <w:tcW w:w="1688" w:type="dxa"/>
          </w:tcPr>
          <w:p w14:paraId="624886EC" w14:textId="77777777" w:rsidR="005D3DB2" w:rsidRDefault="00000000">
            <w:pPr>
              <w:pStyle w:val="Compact"/>
            </w:pPr>
            <w:r>
              <w:t>Đã công bố</w:t>
            </w:r>
          </w:p>
        </w:tc>
      </w:tr>
      <w:tr w:rsidR="005D3DB2" w14:paraId="33E29DC0" w14:textId="77777777">
        <w:trPr>
          <w:cantSplit/>
        </w:trPr>
        <w:tc>
          <w:tcPr>
            <w:tcW w:w="600" w:type="dxa"/>
          </w:tcPr>
          <w:p w14:paraId="539BEAFB" w14:textId="77777777" w:rsidR="005D3DB2" w:rsidRDefault="00000000">
            <w:pPr>
              <w:pStyle w:val="Compact"/>
            </w:pPr>
            <w:r>
              <w:t>3</w:t>
            </w:r>
          </w:p>
        </w:tc>
        <w:tc>
          <w:tcPr>
            <w:tcW w:w="3900" w:type="dxa"/>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2600" w:type="dxa"/>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1688" w:type="dxa"/>
          </w:tcPr>
          <w:p w14:paraId="6213FD20" w14:textId="77777777" w:rsidR="005D3DB2" w:rsidRDefault="00000000">
            <w:pPr>
              <w:pStyle w:val="Compact"/>
            </w:pPr>
            <w:r>
              <w:t xml:space="preserve">Đã được chấp nhận đăng năm 2026, chưa xuất bản tại ngày 30/9/2026</w:t>
            </w:r>
          </w:p>
        </w:tc>
      </w:tr>
    </w:tbl>
    <w:p w14:paraId="17CAA286" w14:textId="77777777" w:rsidR="005D3DB2" w:rsidRDefault="00000000">
      <w:pPr>
        <w:pStyle w:val="SourceNote"/>
      </w:pPr>
      <w:r>
        <w:t xml:space="preserve">Ghi chú: (*) Tác giả liên hệ. Tên bài báo bằng tiếng Anh giữ nguyên như khi công bố. Trạng thái tính đến ngày 30/9/2026.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xml:space="preserve">. Bản thảo đã gửi tạp chí, chưa công bố tại ngày 30/9/2026</w:t>
      </w:r>
      <w:bookmarkEnd w:id="59"/>
    </w:p>
    <w:tbl>
      <w:tblPr>
        <w:tblStyle w:val="Table"/>
        <w:tblW w:w="8788" w:type="dxa"/>
        <w:tblLayout w:type="fixed"/>
        <w:tblLook w:val="0020" w:firstRow="1" w:lastRow="0" w:firstColumn="0" w:lastColumn="0" w:noHBand="0" w:noVBand="0"/>
      </w:tblPr>
      <w:tblGrid>
        <w:gridCol w:w="550"/>
        <w:gridCol w:w="2900"/>
        <w:gridCol w:w="800"/>
        <w:gridCol w:w="2150"/>
        <w:gridCol w:w="1500"/>
        <w:gridCol w:w="888"/>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550" w:type="dxa"/>
          </w:tcPr>
          <w:p w14:paraId="1E281E21" w14:textId="77777777" w:rsidR="005D3DB2" w:rsidRDefault="00000000">
            <w:pPr>
              <w:pStyle w:val="Compact"/>
              <w:jc w:val="center"/>
            </w:pPr>
            <w:r>
              <w:t>TT</w:t>
            </w:r>
          </w:p>
        </w:tc>
        <w:tc>
          <w:tcPr>
            <w:tcW w:w="2900" w:type="dxa"/>
          </w:tcPr>
          <w:p w14:paraId="04188E2A" w14:textId="77777777" w:rsidR="005D3DB2" w:rsidRDefault="00000000">
            <w:pPr>
              <w:pStyle w:val="Compact"/>
              <w:jc w:val="center"/>
            </w:pPr>
            <w:r>
              <w:t>Tên bài báo</w:t>
            </w:r>
          </w:p>
        </w:tc>
        <w:tc>
          <w:tcPr>
            <w:tcW w:w="800" w:type="dxa"/>
          </w:tcPr>
          <w:p w14:paraId="3D12A13F" w14:textId="77777777" w:rsidR="005D3DB2" w:rsidRDefault="00000000">
            <w:pPr>
              <w:pStyle w:val="Compact"/>
              <w:jc w:val="center"/>
            </w:pPr>
            <w:r>
              <w:t>Số tác giả</w:t>
            </w:r>
          </w:p>
        </w:tc>
        <w:tc>
          <w:tcPr>
            <w:tcW w:w="2150" w:type="dxa"/>
          </w:tcPr>
          <w:p w14:paraId="0EC0CC60" w14:textId="77777777" w:rsidR="005D3DB2" w:rsidRDefault="00000000">
            <w:pPr>
              <w:pStyle w:val="Compact"/>
              <w:jc w:val="center"/>
            </w:pPr>
            <w:r>
              <w:t>Tạp chí; ISSN</w:t>
            </w:r>
          </w:p>
        </w:tc>
        <w:tc>
          <w:tcPr>
            <w:tcW w:w="1500" w:type="dxa"/>
          </w:tcPr>
          <w:p w14:paraId="156D343A" w14:textId="77777777" w:rsidR="005D3DB2" w:rsidRDefault="00000000">
            <w:pPr>
              <w:pStyle w:val="Compact"/>
              <w:jc w:val="center"/>
            </w:pPr>
            <w:r>
              <w:t>Trạng thái (mã bài)</w:t>
            </w:r>
          </w:p>
        </w:tc>
        <w:tc>
          <w:tcPr>
            <w:tcW w:w="888" w:type="dxa"/>
          </w:tcPr>
          <w:p w14:paraId="19795523" w14:textId="77777777" w:rsidR="005D3DB2" w:rsidRDefault="00000000">
            <w:pPr>
              <w:pStyle w:val="Compact"/>
              <w:jc w:val="center"/>
            </w:pPr>
            <w:r>
              <w:t>Liên quan đến đề tài</w:t>
            </w:r>
          </w:p>
        </w:tc>
      </w:tr>
      <w:tr w:rsidR="005D3DB2" w14:paraId="722A5281" w14:textId="77777777">
        <w:trPr>
          <w:cantSplit/>
        </w:trPr>
        <w:tc>
          <w:tcPr>
            <w:tcW w:w="550" w:type="dxa"/>
          </w:tcPr>
          <w:p w14:paraId="1B475C6E" w14:textId="77777777" w:rsidR="005D3DB2" w:rsidRDefault="00000000">
            <w:pPr>
              <w:pStyle w:val="Compact"/>
            </w:pPr>
            <w:r>
              <w:t>1</w:t>
            </w:r>
          </w:p>
        </w:tc>
        <w:tc>
          <w:tcPr>
            <w:tcW w:w="2900" w:type="dxa"/>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800" w:type="dxa"/>
          </w:tcPr>
          <w:p w14:paraId="099632FD" w14:textId="77777777" w:rsidR="005D3DB2" w:rsidRDefault="00000000">
            <w:pPr>
              <w:pStyle w:val="Compact"/>
            </w:pPr>
            <w:r>
              <w:t>5</w:t>
            </w:r>
          </w:p>
        </w:tc>
        <w:tc>
          <w:tcPr>
            <w:tcW w:w="2150" w:type="dxa"/>
          </w:tcPr>
          <w:p w14:paraId="622ED6E5" w14:textId="77777777" w:rsidR="005D3DB2" w:rsidRDefault="00000000">
            <w:pPr>
              <w:pStyle w:val="Compact"/>
            </w:pPr>
            <w:r>
              <w:t>Multidisciplinary Science Journal; ISSN 2675-1240; Scopus Q3</w:t>
            </w:r>
          </w:p>
        </w:tc>
        <w:tc>
          <w:tcPr>
            <w:tcW w:w="1500" w:type="dxa"/>
          </w:tcPr>
          <w:p w14:paraId="39F6F7DE" w14:textId="77777777" w:rsidR="005D3DB2" w:rsidRDefault="00000000">
            <w:pPr>
              <w:pStyle w:val="Compact"/>
            </w:pPr>
            <w:r>
              <w:t>Đã sửa xong vòng 2 (mã 19322)</w:t>
            </w:r>
          </w:p>
        </w:tc>
        <w:tc>
          <w:tcPr>
            <w:tcW w:w="888" w:type="dxa"/>
          </w:tcPr>
          <w:p w14:paraId="528FCFF9" w14:textId="77777777" w:rsidR="005D3DB2" w:rsidRDefault="00000000">
            <w:pPr>
              <w:pStyle w:val="Compact"/>
            </w:pPr>
            <w:r>
              <w:t>Có (mô hình danh mục)</w:t>
            </w:r>
          </w:p>
        </w:tc>
      </w:tr>
      <w:tr w:rsidR="005D3DB2" w14:paraId="636303B6" w14:textId="77777777">
        <w:trPr>
          <w:cantSplit/>
        </w:trPr>
        <w:tc>
          <w:tcPr>
            <w:tcW w:w="550" w:type="dxa"/>
          </w:tcPr>
          <w:p w14:paraId="5CAC10E7" w14:textId="77777777" w:rsidR="005D3DB2" w:rsidRDefault="00000000">
            <w:pPr>
              <w:pStyle w:val="Compact"/>
            </w:pPr>
            <w:r>
              <w:t>2</w:t>
            </w:r>
          </w:p>
        </w:tc>
        <w:tc>
          <w:tcPr>
            <w:tcW w:w="2900" w:type="dxa"/>
          </w:tcPr>
          <w:p w14:paraId="5011594A" w14:textId="77777777" w:rsidR="005D3DB2" w:rsidRDefault="00000000">
            <w:pPr>
              <w:pStyle w:val="Compact"/>
            </w:pPr>
            <w:r>
              <w:t>Tác động của cấu trúc sở hữu lên ổn định tài chính của các ngân hàng thương mại Việt Nam</w:t>
            </w:r>
          </w:p>
        </w:tc>
        <w:tc>
          <w:tcPr>
            <w:tcW w:w="800" w:type="dxa"/>
          </w:tcPr>
          <w:p w14:paraId="449B50E3" w14:textId="77777777" w:rsidR="005D3DB2" w:rsidRDefault="00000000">
            <w:pPr>
              <w:pStyle w:val="Compact"/>
            </w:pPr>
            <w:r>
              <w:t>2</w:t>
            </w:r>
          </w:p>
        </w:tc>
        <w:tc>
          <w:tcPr>
            <w:tcW w:w="2150" w:type="dxa"/>
          </w:tcPr>
          <w:p w14:paraId="157AE89D" w14:textId="77777777" w:rsidR="005D3DB2" w:rsidRDefault="00000000">
            <w:pPr>
              <w:pStyle w:val="Compact"/>
            </w:pPr>
            <w:r>
              <w:t>Tạp chí Kinh tế - Luật và Ngân hàng; ISSN 3030-4199</w:t>
            </w:r>
          </w:p>
        </w:tc>
        <w:tc>
          <w:tcPr>
            <w:tcW w:w="1500" w:type="dxa"/>
          </w:tcPr>
          <w:p w14:paraId="273A81D7" w14:textId="77777777" w:rsidR="005D3DB2" w:rsidRDefault="00000000">
            <w:pPr>
              <w:pStyle w:val="Compact"/>
            </w:pPr>
            <w:r>
              <w:t>Qua 2 vòng phản biện, đang chỉnh sửa (mã 3129)</w:t>
            </w:r>
          </w:p>
        </w:tc>
        <w:tc>
          <w:tcPr>
            <w:tcW w:w="888" w:type="dxa"/>
          </w:tcPr>
          <w:p w14:paraId="0A93CE6E" w14:textId="77777777" w:rsidR="005D3DB2" w:rsidRDefault="00000000">
            <w:pPr>
              <w:pStyle w:val="Compact"/>
            </w:pPr>
            <w:r>
              <w:t>Không</w:t>
            </w:r>
          </w:p>
        </w:tc>
      </w:tr>
      <w:tr w:rsidR="005D3DB2" w14:paraId="7954A65C" w14:textId="77777777">
        <w:trPr>
          <w:cantSplit/>
        </w:trPr>
        <w:tc>
          <w:tcPr>
            <w:tcW w:w="550" w:type="dxa"/>
          </w:tcPr>
          <w:p w14:paraId="68924E55" w14:textId="77777777" w:rsidR="005D3DB2" w:rsidRDefault="00000000">
            <w:pPr>
              <w:pStyle w:val="Compact"/>
            </w:pPr>
            <w:r>
              <w:t>3</w:t>
            </w:r>
          </w:p>
        </w:tc>
        <w:tc>
          <w:tcPr>
            <w:tcW w:w="2900" w:type="dxa"/>
          </w:tcPr>
          <w:p w14:paraId="4FD3FE53" w14:textId="77777777" w:rsidR="005D3DB2" w:rsidRDefault="00000000">
            <w:pPr>
              <w:pStyle w:val="Compact"/>
            </w:pPr>
            <w:r>
              <w:t>Limits to arbitrage in the Vietnamese physical gold market: The failure of short-term momentum</w:t>
            </w:r>
          </w:p>
        </w:tc>
        <w:tc>
          <w:tcPr>
            <w:tcW w:w="800" w:type="dxa"/>
          </w:tcPr>
          <w:p w14:paraId="12D0A221" w14:textId="77777777" w:rsidR="005D3DB2" w:rsidRDefault="00000000">
            <w:pPr>
              <w:pStyle w:val="Compact"/>
            </w:pPr>
            <w:r>
              <w:t>3</w:t>
            </w:r>
          </w:p>
        </w:tc>
        <w:tc>
          <w:tcPr>
            <w:tcW w:w="2150" w:type="dxa"/>
          </w:tcPr>
          <w:p w14:paraId="68E875A5" w14:textId="77777777" w:rsidR="005D3DB2" w:rsidRDefault="00000000">
            <w:pPr>
              <w:pStyle w:val="Compact"/>
            </w:pPr>
            <w:r>
              <w:t>Journal of Economic and Banking Studies; ISSN 2734-9853</w:t>
            </w:r>
          </w:p>
        </w:tc>
        <w:tc>
          <w:tcPr>
            <w:tcW w:w="1500" w:type="dxa"/>
          </w:tcPr>
          <w:p w14:paraId="38F63AD8" w14:textId="77777777" w:rsidR="005D3DB2" w:rsidRDefault="00000000">
            <w:pPr>
              <w:pStyle w:val="Compact"/>
            </w:pPr>
            <w:r>
              <w:t>Đang sửa vòng 1 (mã JEBS.1563)</w:t>
            </w:r>
          </w:p>
        </w:tc>
        <w:tc>
          <w:tcPr>
            <w:tcW w:w="888" w:type="dxa"/>
          </w:tcPr>
          <w:p w14:paraId="593C4CA1" w14:textId="77777777" w:rsidR="005D3DB2" w:rsidRDefault="00000000">
            <w:pPr>
              <w:pStyle w:val="Compact"/>
            </w:pPr>
            <w:r>
              <w:t>Không</w:t>
            </w:r>
          </w:p>
        </w:tc>
      </w:tr>
      <w:tr w:rsidR="005D3DB2" w14:paraId="455EFBD7" w14:textId="77777777">
        <w:trPr>
          <w:cantSplit/>
        </w:trPr>
        <w:tc>
          <w:tcPr>
            <w:tcW w:w="550" w:type="dxa"/>
          </w:tcPr>
          <w:p w14:paraId="3F7F0A83" w14:textId="77777777" w:rsidR="005D3DB2" w:rsidRDefault="00000000">
            <w:pPr>
              <w:pStyle w:val="Compact"/>
            </w:pPr>
            <w:r>
              <w:t>4</w:t>
            </w:r>
          </w:p>
        </w:tc>
        <w:tc>
          <w:tcPr>
            <w:tcW w:w="2900" w:type="dxa"/>
          </w:tcPr>
          <w:p w14:paraId="07C31D6F" w14:textId="77777777" w:rsidR="005D3DB2" w:rsidRDefault="00000000">
            <w:pPr>
              <w:pStyle w:val="Compact"/>
            </w:pPr>
            <w:r>
              <w:t>Corporate Brownwashing and Firm Valuation in ASEAN-5 Disclosure Regimes</w:t>
            </w:r>
          </w:p>
        </w:tc>
        <w:tc>
          <w:tcPr>
            <w:tcW w:w="800" w:type="dxa"/>
          </w:tcPr>
          <w:p w14:paraId="634CD6A2" w14:textId="77777777" w:rsidR="005D3DB2" w:rsidRDefault="00000000">
            <w:pPr>
              <w:pStyle w:val="Compact"/>
            </w:pPr>
            <w:r>
              <w:t>2</w:t>
            </w:r>
          </w:p>
        </w:tc>
        <w:tc>
          <w:tcPr>
            <w:tcW w:w="2150" w:type="dxa"/>
          </w:tcPr>
          <w:p w14:paraId="15D2DE3E" w14:textId="77777777" w:rsidR="005D3DB2" w:rsidRDefault="00000000">
            <w:pPr>
              <w:pStyle w:val="Compact"/>
            </w:pPr>
            <w:r>
              <w:t>Cogent Business &amp; Management; ISSN 2331-1975; Scopus Q2</w:t>
            </w:r>
          </w:p>
        </w:tc>
        <w:tc>
          <w:tcPr>
            <w:tcW w:w="1500" w:type="dxa"/>
          </w:tcPr>
          <w:p w14:paraId="55A4BEBF" w14:textId="77777777" w:rsidR="005D3DB2" w:rsidRDefault="00000000">
            <w:pPr>
              <w:pStyle w:val="Compact"/>
            </w:pPr>
            <w:r>
              <w:t>Đang phản biện vòng 1 (mã 260865765)</w:t>
            </w:r>
          </w:p>
        </w:tc>
        <w:tc>
          <w:tcPr>
            <w:tcW w:w="888" w:type="dxa"/>
          </w:tcPr>
          <w:p w14:paraId="2C369781" w14:textId="77777777" w:rsidR="005D3DB2" w:rsidRDefault="00000000">
            <w:pPr>
              <w:pStyle w:val="Compact"/>
            </w:pPr>
            <w:r>
              <w:t>Không</w:t>
            </w:r>
          </w:p>
        </w:tc>
      </w:tr>
      <w:tr w:rsidR="005D3DB2" w14:paraId="4E668E66" w14:textId="77777777">
        <w:trPr>
          <w:cantSplit/>
        </w:trPr>
        <w:tc>
          <w:tcPr>
            <w:tcW w:w="550" w:type="dxa"/>
          </w:tcPr>
          <w:p w14:paraId="67F047FC" w14:textId="77777777" w:rsidR="005D3DB2" w:rsidRDefault="00000000">
            <w:pPr>
              <w:pStyle w:val="Compact"/>
            </w:pPr>
            <w:r>
              <w:t>5</w:t>
            </w:r>
          </w:p>
        </w:tc>
        <w:tc>
          <w:tcPr>
            <w:tcW w:w="2900" w:type="dxa"/>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800" w:type="dxa"/>
          </w:tcPr>
          <w:p w14:paraId="7DD3169A" w14:textId="77777777" w:rsidR="005D3DB2" w:rsidRDefault="00000000">
            <w:pPr>
              <w:pStyle w:val="Compact"/>
            </w:pPr>
            <w:r>
              <w:t>6</w:t>
            </w:r>
          </w:p>
        </w:tc>
        <w:tc>
          <w:tcPr>
            <w:tcW w:w="2150" w:type="dxa"/>
          </w:tcPr>
          <w:p w14:paraId="26170363" w14:textId="77777777" w:rsidR="005D3DB2" w:rsidRDefault="00000000">
            <w:pPr>
              <w:pStyle w:val="Compact"/>
            </w:pPr>
            <w:r>
              <w:t>Asian Journal of Economics and Banking; ISSN 2615-9821</w:t>
            </w:r>
          </w:p>
        </w:tc>
        <w:tc>
          <w:tcPr>
            <w:tcW w:w="1500" w:type="dxa"/>
          </w:tcPr>
          <w:p w14:paraId="5BE9C6F4" w14:textId="77777777" w:rsidR="005D3DB2" w:rsidRDefault="00000000">
            <w:pPr>
              <w:pStyle w:val="Compact"/>
            </w:pPr>
            <w:r>
              <w:t>Chờ phân công phản biện (mã AJEB-08-2026-0208)</w:t>
            </w:r>
          </w:p>
        </w:tc>
        <w:tc>
          <w:tcPr>
            <w:tcW w:w="888" w:type="dxa"/>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550" w:type="dxa"/>
          </w:tcPr>
          <w:p w14:paraId="4F71AE07" w14:textId="77777777" w:rsidR="005D3DB2" w:rsidRDefault="00000000">
            <w:pPr>
              <w:pStyle w:val="Compact"/>
            </w:pPr>
            <w:r>
              <w:t>6</w:t>
            </w:r>
          </w:p>
        </w:tc>
        <w:tc>
          <w:tcPr>
            <w:tcW w:w="2900" w:type="dxa"/>
          </w:tcPr>
          <w:p w14:paraId="572E2D9D" w14:textId="77777777" w:rsidR="005D3DB2" w:rsidRDefault="00000000">
            <w:pPr>
              <w:pStyle w:val="Compact"/>
            </w:pPr>
            <w:r>
              <w:t>Nested equity index correlations overstate true co-movement: Evidence from Vietnam</w:t>
            </w:r>
          </w:p>
        </w:tc>
        <w:tc>
          <w:tcPr>
            <w:tcW w:w="800" w:type="dxa"/>
          </w:tcPr>
          <w:p w14:paraId="2198CF88" w14:textId="77777777" w:rsidR="005D3DB2" w:rsidRDefault="00000000">
            <w:pPr>
              <w:pStyle w:val="Compact"/>
            </w:pPr>
            <w:r>
              <w:t>4</w:t>
            </w:r>
          </w:p>
        </w:tc>
        <w:tc>
          <w:tcPr>
            <w:tcW w:w="2150" w:type="dxa"/>
          </w:tcPr>
          <w:p w14:paraId="7E5E52AB" w14:textId="77777777" w:rsidR="005D3DB2" w:rsidRDefault="00000000">
            <w:pPr>
              <w:pStyle w:val="Compact"/>
            </w:pPr>
            <w:r>
              <w:t>Asia-Pacific Financial Markets; ISSN 1387-2834; Scopus Q2</w:t>
            </w:r>
          </w:p>
        </w:tc>
        <w:tc>
          <w:tcPr>
            <w:tcW w:w="1500" w:type="dxa"/>
          </w:tcPr>
          <w:p w14:paraId="03966828" w14:textId="77777777" w:rsidR="005D3DB2" w:rsidRDefault="00000000">
            <w:pPr>
              <w:pStyle w:val="Compact"/>
            </w:pPr>
            <w:r>
              <w:t>Ban biên tập đang xem xét (mã FEJM-D-26-00726)</w:t>
            </w:r>
          </w:p>
        </w:tc>
        <w:tc>
          <w:tcPr>
            <w:tcW w:w="888" w:type="dxa"/>
          </w:tcPr>
          <w:p w14:paraId="3C266793" w14:textId="77777777" w:rsidR="005D3DB2" w:rsidRDefault="00000000">
            <w:pPr>
              <w:pStyle w:val="Compact"/>
            </w:pPr>
            <w:r>
              <w:t xml:space="preserve">Không</w:t>
            </w:r>
          </w:p>
        </w:tc>
      </w:tr>
      <w:tr w:rsidR="005D3DB2" w14:paraId="789C5D6A" w14:textId="77777777">
        <w:trPr>
          <w:cantSplit/>
        </w:trPr>
        <w:tc>
          <w:tcPr>
            <w:tcW w:w="550" w:type="dxa"/>
          </w:tcPr>
          <w:p w14:paraId="11F21158" w14:textId="77777777" w:rsidR="005D3DB2" w:rsidRDefault="00000000">
            <w:pPr>
              <w:pStyle w:val="Compact"/>
            </w:pPr>
            <w:r>
              <w:t>7</w:t>
            </w:r>
          </w:p>
        </w:tc>
        <w:tc>
          <w:tcPr>
            <w:tcW w:w="2900" w:type="dxa"/>
          </w:tcPr>
          <w:p w14:paraId="0E901BC3" w14:textId="77777777" w:rsidR="005D3DB2" w:rsidRDefault="00000000">
            <w:pPr>
              <w:pStyle w:val="Compact"/>
            </w:pPr>
            <w:r>
              <w:t>Who gains from a market upgrade? Stock liquidity and prices around Vietnam’s FTSE Russell reclassification</w:t>
            </w:r>
          </w:p>
        </w:tc>
        <w:tc>
          <w:tcPr>
            <w:tcW w:w="800" w:type="dxa"/>
          </w:tcPr>
          <w:p w14:paraId="4985C38F" w14:textId="77777777" w:rsidR="005D3DB2" w:rsidRDefault="00000000">
            <w:pPr>
              <w:pStyle w:val="Compact"/>
            </w:pPr>
            <w:r>
              <w:t>4</w:t>
            </w:r>
          </w:p>
        </w:tc>
        <w:tc>
          <w:tcPr>
            <w:tcW w:w="2150" w:type="dxa"/>
          </w:tcPr>
          <w:p w14:paraId="2BAC15E0" w14:textId="77777777" w:rsidR="005D3DB2" w:rsidRDefault="00000000">
            <w:pPr>
              <w:pStyle w:val="Compact"/>
            </w:pPr>
            <w:r>
              <w:t>Finance Research Open; ISSN 3050-7006</w:t>
            </w:r>
          </w:p>
        </w:tc>
        <w:tc>
          <w:tcPr>
            <w:tcW w:w="1500" w:type="dxa"/>
          </w:tcPr>
          <w:p w14:paraId="03CFEC73" w14:textId="77777777" w:rsidR="005D3DB2" w:rsidRDefault="00000000">
            <w:pPr>
              <w:pStyle w:val="Compact"/>
            </w:pPr>
            <w:r>
              <w:t>Ban biên tập đang xem xét (mã FINR-D-26-00823)</w:t>
            </w:r>
          </w:p>
        </w:tc>
        <w:tc>
          <w:tcPr>
            <w:tcW w:w="888" w:type="dxa"/>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550" w:type="dxa"/>
          </w:tcPr>
          <w:p w14:paraId="21B89AB4" w14:textId="77777777" w:rsidR="005D3DB2" w:rsidRDefault="00000000">
            <w:pPr>
              <w:pStyle w:val="Compact"/>
            </w:pPr>
            <w:r>
              <w:t>8</w:t>
            </w:r>
          </w:p>
        </w:tc>
        <w:tc>
          <w:tcPr>
            <w:tcW w:w="2900" w:type="dxa"/>
          </w:tcPr>
          <w:p w14:paraId="4213B425" w14:textId="77777777" w:rsidR="005D3DB2" w:rsidRDefault="00000000">
            <w:pPr>
              <w:pStyle w:val="Compact"/>
            </w:pPr>
            <w:r>
              <w:t>Rated at the peak? Firm valuation around the first LSEG ESG score in five Southeast Asian markets</w:t>
            </w:r>
          </w:p>
        </w:tc>
        <w:tc>
          <w:tcPr>
            <w:tcW w:w="800" w:type="dxa"/>
          </w:tcPr>
          <w:p w14:paraId="08F2D798" w14:textId="77777777" w:rsidR="005D3DB2" w:rsidRDefault="00000000">
            <w:pPr>
              <w:pStyle w:val="Compact"/>
            </w:pPr>
            <w:r>
              <w:t>4</w:t>
            </w:r>
          </w:p>
        </w:tc>
        <w:tc>
          <w:tcPr>
            <w:tcW w:w="2150" w:type="dxa"/>
          </w:tcPr>
          <w:p w14:paraId="6745A820" w14:textId="77777777" w:rsidR="005D3DB2" w:rsidRDefault="00000000">
            <w:pPr>
              <w:pStyle w:val="Compact"/>
            </w:pPr>
            <w:r>
              <w:t>Sustainable Finance Review; ISSN 2977-7542</w:t>
            </w:r>
          </w:p>
        </w:tc>
        <w:tc>
          <w:tcPr>
            <w:tcW w:w="1500" w:type="dxa"/>
          </w:tcPr>
          <w:p w14:paraId="764FBF85" w14:textId="77777777" w:rsidR="005D3DB2" w:rsidRDefault="00000000">
            <w:pPr>
              <w:pStyle w:val="Compact"/>
            </w:pPr>
            <w:r>
              <w:t>Chờ xử lý tại tòa soạn (mã SFR-09-2026-0113)</w:t>
            </w:r>
          </w:p>
        </w:tc>
        <w:tc>
          <w:tcPr>
            <w:tcW w:w="888" w:type="dxa"/>
          </w:tcPr>
          <w:p w14:paraId="6C7340BB" w14:textId="77777777" w:rsidR="005D3DB2" w:rsidRDefault="00000000">
            <w:pPr>
              <w:pStyle w:val="Compact"/>
            </w:pPr>
            <w:r>
              <w:t>Không</w:t>
            </w:r>
          </w:p>
        </w:tc>
      </w:tr>
      <w:tr w:rsidR="005D3DB2" w14:paraId="56719B6F" w14:textId="77777777">
        <w:trPr>
          <w:cantSplit/>
        </w:trPr>
        <w:tc>
          <w:tcPr>
            <w:tcW w:w="550" w:type="dxa"/>
          </w:tcPr>
          <w:p w14:paraId="0D2FF7BD" w14:textId="77777777" w:rsidR="005D3DB2" w:rsidRDefault="00000000">
            <w:pPr>
              <w:pStyle w:val="Compact"/>
            </w:pPr>
            <w:r>
              <w:t>9</w:t>
            </w:r>
          </w:p>
        </w:tc>
        <w:tc>
          <w:tcPr>
            <w:tcW w:w="2900" w:type="dxa"/>
          </w:tcPr>
          <w:p w14:paraId="043FD78B" w14:textId="77777777" w:rsidR="005D3DB2" w:rsidRDefault="00000000">
            <w:pPr>
              <w:pStyle w:val="Compact"/>
            </w:pPr>
            <w:r>
              <w:t>Sales-based real earnings management and the cost of debt: Evidence from five ASEAN markets</w:t>
            </w:r>
          </w:p>
        </w:tc>
        <w:tc>
          <w:tcPr>
            <w:tcW w:w="800" w:type="dxa"/>
          </w:tcPr>
          <w:p w14:paraId="203CA6B8" w14:textId="77777777" w:rsidR="005D3DB2" w:rsidRDefault="00000000">
            <w:pPr>
              <w:pStyle w:val="Compact"/>
            </w:pPr>
            <w:r>
              <w:t>5</w:t>
            </w:r>
          </w:p>
        </w:tc>
        <w:tc>
          <w:tcPr>
            <w:tcW w:w="2150" w:type="dxa"/>
          </w:tcPr>
          <w:p w14:paraId="51D4B5A9" w14:textId="77777777" w:rsidR="005D3DB2" w:rsidRDefault="00000000">
            <w:pPr>
              <w:pStyle w:val="Compact"/>
            </w:pPr>
            <w:r>
              <w:t>Accounting Open; ISSN 3050-5461</w:t>
            </w:r>
          </w:p>
        </w:tc>
        <w:tc>
          <w:tcPr>
            <w:tcW w:w="1500" w:type="dxa"/>
          </w:tcPr>
          <w:p w14:paraId="684A05E9" w14:textId="77777777" w:rsidR="005D3DB2" w:rsidRDefault="00000000">
            <w:pPr>
              <w:pStyle w:val="Compact"/>
            </w:pPr>
            <w:r>
              <w:t>Ban biên tập đang xem xét (mã ACCOP-D-26-00232)</w:t>
            </w:r>
          </w:p>
        </w:tc>
        <w:tc>
          <w:tcPr>
            <w:tcW w:w="888" w:type="dxa"/>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cả chín bản thảo.</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w:t>
      </w:r>
    </w:p>
    <w:p w:rsidR="005D3DB2" w:rsidRDefault="00000000">
      <w:pPr>
        <w:pStyle w:val="FirstParagraph"/>
      </w:pPr>
      <w:r>
        <w:t xml:space="preserve">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7/2026.</w:t>
      </w:r>
    </w:p>
    <w:p w:rsidR="005D3DB2" w:rsidRDefault="00000000">
      <w:pPr>
        <w:pStyle w:val="FirstParagraph"/>
      </w:pPr>
      <w:r>
        <w:t xml:space="preserve">Nếu trúng tuyển, thí sinh cam kết theo học chương trình đào tạo tiến sĩ theo hình thức tập trung toàn thời gian, đáp ứng điều kiện tại khoản 3 Điều 11 Nghị quyết số 57/2026/NQ-HĐND (Hội đồng nhân dân thành phố Hà Nội, 2026), và trước khi nhập học sẽ hoàn thành, bảo lưu hoặc dừng các chương trình đang theo học nêu trên để dành toàn bộ thời gian cho học tập và nghiên cứu.</w:t>
      </w:r>
    </w:p>
    <w:p w:rsidR="005D3DB2" w:rsidRDefault="00000000">
      <w:pPr>
        <w:pStyle w:val="FirstParagraph"/>
      </w:pPr>
      <w:r>
        <w:t xml:space="preserve">Về ngoại ngữ, thí sinh có chứng chỉ tiếng Anh Bậc 4 (VSTEP, Vietnamese Standardized Test of English Proficiency),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về thanh khoản cổ phiếu quanh đợt nâng hạng thị trường của FTSE Russell (bản thảo số 7 ở Bảng 7) cho thí sinh kinh nghiệm với nghiên cứu sự kiện trên thanh khoản cấp cổ phiếu, công cụ trực tiếp của H</w:t>
      </w:r>
      <w:r>
        <w:rPr>
          <w:vertAlign w:val="subscript"/>
        </w:rPr>
        <w:t xml:space="preserve">3</w:t>
      </w:r>
      <w:r>
        <w:t xml:space="preserve">. Bản thảo về điểm gãy cấu trúc của thanh khoản (bản thảo số 5) cho thí sinh kinh nghiệm với độ phi thanh khoản Amihud và phương pháp Bai-Perron. Bài báo Nguyễn và Nguyễn (2026a) cho thí sinh kinh nghiệm với mô hình Black-Litterman và phương pháp tính toán Bayes xấp xỉ, nền của mô hình M</w:t>
      </w:r>
      <w:r>
        <w:rPr>
          <w:vertAlign w:val="subscript"/>
        </w:rPr>
        <w:t xml:space="preserve">5</w:t>
      </w:r>
      <w:r>
        <w:t xml:space="preserve">. Bản thảo về mô hình Black-Litterman nghịch đảo kết hợp học máy phân cụm (bản thảo số 1)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w:t>
      </w:r>
    </w:p>
    <w:p w14:paraId="03A74E3B" w14:textId="77777777" w:rsidR="005D3DB2" w:rsidRDefault="00000000">
      <w:pPr>
        <w:pStyle w:val="BodyText"/>
      </w:pPr>
      <w:r>
        <w:t xml:space="preserve">Về nghiên cứu, thí sinh dự kiến mở rộng đề tài theo ba hướng: mở rộng Chỉ số chất lượng thị trường vốn sang thị trường trái phiếu chính phủ và phái sinh do HNX vận hành; đánh giá tác động dài hạn của đợt hợp nhất khi có thêm dữ liệu;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“chính sách tài khóa, tài chính tiền tệ, phát triển thị trường tài chính, tái cấu trúc hệ thống ngân hàng, quản trị tài chính, quản trị ngân hàng”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cấu trúc và chất lượng thị trường vốn mới nổi, nghiên cứu sự kiện trên thị trường và quyết định danh mục.</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phần hàm ý chính sách và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Bộ Tài chính. (2020). </w:t>
      </w:r>
      <w:r>
        <w:rPr>
          <w:i/>
          <w:iCs/>
        </w:rPr>
        <w:t xml:space="preserve">Thông tư số 120/2020/TT-BTC ngày 31/12/2020 quy định giao dịch cổ phiếu niêm yết, đăng ký giao dịch và chứng chỉ quỹ, trái phiếu doanh nghiệp, chứng quyền có bảo đảm niêm yết trên hệ thống giao dịch chứng khoán</w:t>
      </w:r>
      <w:r>
        <w:t xml:space="preserve">.</w:t>
      </w:r>
    </w:p>
    <w:p>
      <w:pPr>
        <w:pStyle w:val="Reference"/>
      </w:pPr>
      <w:r>
        <w:t xml:space="preserve">Bộ Tài chính. (2023). </w:t>
      </w:r>
      <w:r>
        <w:rPr>
          <w:i/>
          <w:iCs/>
        </w:rPr>
        <w:t xml:space="preserve">Văn bản hợp nhất số 19/VBHN-BTC ngày 25/12/2023 hợp nhất Thông tư quy định lộ trình sắp xếp lại thị trường giao dịch cổ phiếu, thị trường giao dịch trái phiếu, thị trường giao dịch chứng khoán phái sinh và thị trường giao dịch các loại chứng khoán khác</w:t>
      </w:r>
      <w:r>
        <w:t xml:space="preserve"> (hợp nhất Thông tư số 57/2021/TT-BTC ngày 12/7/2021 và Thông tư số 69/2023/TT-BTC ngày 15/11/2023).</w:t>
      </w:r>
    </w:p>
    <w:p>
      <w:pPr>
        <w:pStyle w:val="Reference"/>
      </w:pPr>
      <w:r>
        <w:t xml:space="preserve">Bộ Tài chính. (2025). </w:t>
      </w:r>
      <w:r>
        <w:rPr>
          <w:i/>
          <w:iCs/>
        </w:rPr>
        <w:t xml:space="preserve">Thông tư số 139/2025/TT-BTC ngày 30/12/2025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t xml:space="preserve">.</w:t>
      </w:r>
    </w:p>
    <w:p>
      <w:pPr>
        <w:pStyle w:val="Reference"/>
      </w:pPr>
      <w:r>
        <w:t xml:space="preserve">Hội đồng nhân dân thành phố Hà Nội. (2026). </w:t>
      </w:r>
      <w:r>
        <w:rPr>
          <w:i/>
          <w:iCs/>
        </w:rPr>
        <w:t xml:space="preserve">Nghị quyết số 57/2026/NQ-HĐND ngày 15/6/2026 quy định một số chính sách phát triển nguồn nhân lực chất lượng cao của Thành phố</w:t>
      </w:r>
      <w:r>
        <w:t xml:space="preserve">.</w:t>
      </w:r>
    </w:p>
    <w:p w14:paraId="6DB249FB" w14:textId="77777777" w:rsidR="005D3DB2" w:rsidRDefault="00000000">
      <w:pPr>
        <w:pStyle w:val="Reference"/>
      </w:pPr>
      <w:r>
        <w:t xml:space="preserve">Nguyễn, T. B., &amp; Nguyễn, V. T. (2026b). Tiền gửi không kỳ hạn, hiệu quả hoạt động và ổn định tài chính ngân hàng: Bằng chứng từ mô hình ngưỡng tại Việt Nam. </w:t>
      </w:r>
      <w:r>
        <w:rPr>
          <w:i/>
          <w:iCs/>
        </w:rPr>
        <w:t xml:space="preserve">Tạp chí Kinh tế - Luật và Ngân hàng</w:t>
      </w:r>
      <w:r>
        <w:t xml:space="preserve">, </w:t>
      </w:r>
      <w:r>
        <w:rPr>
          <w:i/>
          <w:iCs/>
        </w:rPr>
        <w:t xml:space="preserve">28</w:t>
      </w:r>
      <w:r>
        <w:t xml:space="preserve">(9), 52–64. https://doi.org/10.59276/3030-4199/jelb.bav.895</w:t>
      </w:r>
    </w:p>
    <w:p>
      <w:pPr>
        <w:pStyle w:val="Reference"/>
      </w:pPr>
      <w:r>
        <w:t xml:space="preserve">Quốc hội. (2025). </w:t>
      </w:r>
      <w:r>
        <w:rPr>
          <w:i/>
          <w:iCs/>
        </w:rPr>
        <w:t xml:space="preserve">Nghị quyết số 222/2025/QH15 ngày 27/6/2025 về Trung tâm tài chính quốc tế tại Việt Nam</w:t>
      </w:r>
      <w:r>
        <w:t xml:space="preserve">.</w:t>
      </w:r>
    </w:p>
    <w:p>
      <w:pPr>
        <w:pStyle w:val="Reference"/>
      </w:pPr>
      <w:r>
        <w:t xml:space="preserve">Sở Giao dịch Chứng khoán Thành phố Hồ Chí Minh. (2026). </w:t>
      </w:r>
      <w:r>
        <w:rPr>
          <w:i/>
          <w:iCs/>
        </w:rPr>
        <w:t xml:space="preserve">Quyết định số 737/QĐ-SGDHCM ngày 29/9/2026 ban hành Quy tắc chỉ số VNINDEX phiên bản 1.0</w:t>
      </w:r>
      <w:r>
        <w:t xml:space="preserve"> [CẦN XÁC MINH số hiệu và ngày trên bản gốc; bản OCR chỉ đọc được tháng 9/2026].</w:t>
      </w:r>
    </w:p>
    <w:p>
      <w:pPr>
        <w:pStyle w:val="Reference"/>
      </w:pPr>
      <w:r>
        <w:t xml:space="preserve">Sở Giao dịch Chứng khoán Việt Nam. (2026). </w:t>
      </w:r>
      <w:r>
        <w:rPr>
          <w:i/>
          <w:iCs/>
        </w:rPr>
        <w:t xml:space="preserve">Sắp xếp lại thị trường giao dịch cổ phiếu niêm yết theo Thông tư số 139/2025/TT-BTC ngày 30/12/2025 của Bộ Tài chính</w:t>
      </w:r>
      <w:r>
        <w:t xml:space="preserve"> [Thông báo ngày 30/9/2026]. https://vnx.vn/vi/thong-tin-tu-sgdck/VNX_QLHD/10005421</w:t>
      </w:r>
    </w:p>
    <w:p>
      <w:pPr>
        <w:pStyle w:val="Reference"/>
      </w:pPr>
      <w:r>
        <w:t xml:space="preserve">Thời báo Tài chính Việt Nam. (2026). Chuyển toàn bộ cổ phiếu HNX sang HOSE trong năm 2026, nghiên cứu giao dịch xuyên trưa và nới biên độ. </w:t>
      </w:r>
      <w:r>
        <w:rPr>
          <w:i/>
          <w:iCs/>
        </w:rPr>
        <w:t xml:space="preserve">Thời báo Tài chính Việt Nam</w:t>
      </w:r>
      <w:r>
        <w:t xml:space="preserve">. https://thoibaotaichinhvietnam.vn/chuyen-toan-bo-co-phieu-hnx-sang-hose-trong-nam-2026-nghien-cuu-giao-dich-xuyen-trua-va-noi-bien-do-204943.html</w:t>
      </w:r>
    </w:p>
    <w:p>
      <w:pPr>
        <w:pStyle w:val="Reference"/>
      </w:pPr>
      <w:r>
        <w:t xml:space="preserve">Tuổi Trẻ Online. (2026). HOSE chia cổ phiếu thành hai bảng Prime Board và Standard Board. </w:t>
      </w:r>
      <w:r>
        <w:rPr>
          <w:i/>
          <w:iCs/>
        </w:rPr>
        <w:t xml:space="preserve">Tuổi Trẻ Online</w:t>
      </w:r>
      <w:r>
        <w:t xml:space="preserve">. https://tuoitre.vn/hose-du-kien-chia-co-phieu-thanh-hai-bang-prime-board-va-standard-board-100261002092239776.htm</w:t>
      </w:r>
    </w:p>
    <w:p>
      <w:pPr>
        <w:pStyle w:val="Reference"/>
      </w:pPr>
      <w:r>
        <w:t xml:space="preserve">Ủy ban nhân dân thành phố Hà Nội. (2026). </w:t>
      </w:r>
      <w:r>
        <w:rPr>
          <w:i/>
          <w:iCs/>
        </w:rPr>
        <w:t xml:space="preserve">Quyết định số 1193/QĐ-UBND ngày 18/3/2026 về việc công bố Danh mục các bài toán lớn của thành phố Hà Nội giai đoạn 2026–2030 (đợt 1)</w:t>
      </w:r>
      <w:r>
        <w:t xml:space="preserve">.</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 xml:space="preserve">Journal of Financial Markets</w:t>
      </w:r>
      <w:r>
        <w:t xml:space="preserve">, </w:t>
      </w:r>
      <w:r>
        <w:rPr>
          <w:i/>
          <w:iCs/>
        </w:rPr>
        <w:t xml:space="preserve">5</w:t>
      </w:r>
      <w:r>
        <w:t xml:space="preserve">(1), 31–56.</w:t>
      </w:r>
    </w:p>
    <w:p>
      <w:pPr>
        <w:pStyle w:val="Reference"/>
      </w:pPr>
      <w:r>
        <w:t xml:space="preserve">Amihud, Y., Mendelson, H., &amp; Lauterbach, B. (1997). Market microstructure and securities values: Evidence from the Tel Aviv Stock Exchange. </w:t>
      </w:r>
      <w:r>
        <w:rPr>
          <w:i/>
          <w:iCs/>
        </w:rPr>
        <w:t xml:space="preserve">Journal of Financial Economics</w:t>
      </w:r>
      <w:r>
        <w:t xml:space="preserve">, </w:t>
      </w:r>
      <w:r>
        <w:rPr>
          <w:i/>
          <w:iCs/>
        </w:rPr>
        <w:t xml:space="preserve">45</w:t>
      </w:r>
      <w:r>
        <w:t xml:space="preserve">(3), 365–390.</w:t>
      </w:r>
    </w:p>
    <w:p>
      <w:pPr>
        <w:pStyle w:val="Reference"/>
      </w:pPr>
      <w:r>
        <w:t xml:space="preserve">Bae, K.-H., Chan, K., &amp; Ng, A. (2004). Investibility and return volatility. </w:t>
      </w:r>
      <w:r>
        <w:rPr>
          <w:i/>
          <w:iCs/>
        </w:rPr>
        <w:t xml:space="preserve">Journal of Financial Economics</w:t>
      </w:r>
      <w:r>
        <w:t xml:space="preserve">, </w:t>
      </w:r>
      <w:r>
        <w:rPr>
          <w:i/>
          <w:iCs/>
        </w:rPr>
        <w:t xml:space="preserve">71</w:t>
      </w:r>
      <w:r>
        <w:t xml:space="preserve">(2), 239–263.</w:t>
      </w:r>
    </w:p>
    <w:p w14:paraId="63C4F7D7" w14:textId="77777777" w:rsidR="005D3DB2" w:rsidRDefault="00000000">
      <w:pPr>
        <w:pStyle w:val="Reference"/>
      </w:pPr>
      <w:r>
        <w:t xml:space="preserve">Bai, J., &amp; Perron, P. (1998). Estimating and testing linear models with multiple structural changes. </w:t>
      </w:r>
      <w:r>
        <w:rPr>
          <w:i/>
          <w:iCs/>
        </w:rPr>
        <w:t xml:space="preserve">Econometrica</w:t>
      </w:r>
      <w:r>
        <w:t xml:space="preserve">, </w:t>
      </w:r>
      <w:r>
        <w:rPr>
          <w:i/>
          <w:iCs/>
        </w:rPr>
        <w:t xml:space="preserve">66</w:t>
      </w:r>
      <w:r>
        <w:t xml:space="preserve">(1), 47–78.</w:t>
      </w:r>
    </w:p>
    <w:p>
      <w:pPr>
        <w:pStyle w:val="Reference"/>
      </w:pPr>
      <w:r>
        <w:t xml:space="preserve">Bekaert, G., Harvey, C. R., &amp; Lundblad, C. (2007). Liquidity and expected returns: Lessons from emerging markets. </w:t>
      </w:r>
      <w:r>
        <w:rPr>
          <w:i/>
          <w:iCs/>
        </w:rPr>
        <w:t xml:space="preserve">The Review of Financial Studies</w:t>
      </w:r>
      <w:r>
        <w:t xml:space="preserve">, </w:t>
      </w:r>
      <w:r>
        <w:rPr>
          <w:i/>
          <w:iCs/>
        </w:rPr>
        <w:t xml:space="preserve">20</w:t>
      </w:r>
      <w:r>
        <w:t xml:space="preserve">(6), 1783–1831.</w:t>
      </w:r>
    </w:p>
    <w:p w14:paraId="50DA7DE5" w14:textId="77777777" w:rsidR="005D3DB2" w:rsidRDefault="00000000">
      <w:pPr>
        <w:pStyle w:val="Reference"/>
      </w:pPr>
      <w:r>
        <w:t xml:space="preserve">Bessler, W., Opfer, H., &amp; Wolff, D. (2017). Multi-asset portfolio optimization and out-of-sample performance: An evaluation of Black-Litterman, mean-variance, and naïve diversification approaches. </w:t>
      </w:r>
      <w:r>
        <w:rPr>
          <w:i/>
          <w:iCs/>
        </w:rPr>
        <w:t xml:space="preserve">The European Journal of Finance</w:t>
      </w:r>
      <w:r>
        <w:t xml:space="preserve">, </w:t>
      </w:r>
      <w:r>
        <w:rPr>
          <w:i/>
          <w:iCs/>
        </w:rPr>
        <w:t xml:space="preserve">23</w:t>
      </w:r>
      <w:r>
        <w:t xml:space="preserve">(1), 1–30.</w:t>
      </w:r>
    </w:p>
    <w:p w14:paraId="691C8D36" w14:textId="77777777" w:rsidR="005D3DB2" w:rsidRDefault="00000000">
      <w:pPr>
        <w:pStyle w:val="Reference"/>
      </w:pPr>
      <w:r>
        <w:t xml:space="preserve">Black, F., &amp; Litterman, R. (1992). Global portfolio optimization. </w:t>
      </w:r>
      <w:r>
        <w:rPr>
          <w:i/>
          <w:iCs/>
        </w:rPr>
        <w:t xml:space="preserve">Financial Analysts Journal</w:t>
      </w:r>
      <w:r>
        <w:t xml:space="preserve">, </w:t>
      </w:r>
      <w:r>
        <w:rPr>
          <w:i/>
          <w:iCs/>
        </w:rPr>
        <w:t xml:space="preserve">48</w:t>
      </w:r>
      <w:r>
        <w:t xml:space="preserve">(5), 28–43.</w:t>
      </w:r>
    </w:p>
    <w:p>
      <w:pPr>
        <w:pStyle w:val="Reference"/>
      </w:pPr>
      <w:r>
        <w:t xml:space="preserve">Callaway, B., &amp; Sant’Anna, P. H. C. (2021). Difference-in-differences with multiple time periods. </w:t>
      </w:r>
      <w:r>
        <w:rPr>
          <w:i/>
          <w:iCs/>
        </w:rPr>
        <w:t xml:space="preserve">Journal of Econometrics</w:t>
      </w:r>
      <w:r>
        <w:t xml:space="preserve">, </w:t>
      </w:r>
      <w:r>
        <w:rPr>
          <w:i/>
          <w:iCs/>
        </w:rPr>
        <w:t xml:space="preserve">225</w:t>
      </w:r>
      <w:r>
        <w:t xml:space="preserve">(2), 200–230.</w:t>
      </w:r>
    </w:p>
    <w:p>
      <w:pPr>
        <w:pStyle w:val="Reference"/>
      </w:pPr>
      <w:r>
        <w:t xml:space="preserve">Cetorelli, N., &amp; Peristiani, S. (2013). Prestigious stock exchanges: A network analysis of international financial centers. </w:t>
      </w:r>
      <w:r>
        <w:rPr>
          <w:i/>
          <w:iCs/>
        </w:rPr>
        <w:t xml:space="preserve">Journal of Banking &amp; Finance</w:t>
      </w:r>
      <w:r>
        <w:t xml:space="preserve">, </w:t>
      </w:r>
      <w:r>
        <w:rPr>
          <w:i/>
          <w:iCs/>
        </w:rPr>
        <w:t xml:space="preserve">37</w:t>
      </w:r>
      <w:r>
        <w:t xml:space="preserve">(5), 1543–1551.</w:t>
      </w:r>
    </w:p>
    <w:p>
      <w:pPr>
        <w:pStyle w:val="Reference"/>
      </w:pPr>
      <w:r>
        <w:t xml:space="preserve">Chen, K., &amp; Chen, G. (2015). The rise of international financial centers in mainland China. </w:t>
      </w:r>
      <w:r>
        <w:rPr>
          <w:i/>
          <w:iCs/>
        </w:rPr>
        <w:t xml:space="preserve">Cities</w:t>
      </w:r>
      <w:r>
        <w:t xml:space="preserve">, </w:t>
      </w:r>
      <w:r>
        <w:rPr>
          <w:i/>
          <w:iCs/>
        </w:rPr>
        <w:t xml:space="preserve">47</w:t>
      </w:r>
      <w:r>
        <w:t xml:space="preserve">, 10–22.</w:t>
      </w:r>
    </w:p>
    <w:p>
      <w:pPr>
        <w:pStyle w:val="Reference"/>
      </w:pPr>
      <w:r>
        <w:t xml:space="preserve">Christie, W. G., &amp; Huang, R. D. (1994). Market structures and liquidity: A transactions data study of exchange listings. </w:t>
      </w:r>
      <w:r>
        <w:rPr>
          <w:i/>
          <w:iCs/>
        </w:rPr>
        <w:t xml:space="preserve">Journal of Financial Intermediation</w:t>
      </w:r>
      <w:r>
        <w:t xml:space="preserve">, </w:t>
      </w:r>
      <w:r>
        <w:rPr>
          <w:i/>
          <w:iCs/>
        </w:rPr>
        <w:t xml:space="preserve">3</w:t>
      </w:r>
      <w:r>
        <w:t xml:space="preserve">(3), 300–326.</w:t>
      </w:r>
    </w:p>
    <w:p>
      <w:pPr>
        <w:pStyle w:val="Reference"/>
      </w:pPr>
      <w:r>
        <w:t xml:space="preserve">Čihák, M., Demirgüç-Kunt, A., Feyen, E., &amp; Levine, R. (2012). </w:t>
      </w:r>
      <w:r>
        <w:rPr>
          <w:i/>
          <w:iCs/>
        </w:rPr>
        <w:t xml:space="preserve">Benchmarking financial systems around the world</w:t>
      </w:r>
      <w:r>
        <w:t xml:space="preserve"> (Policy Research Working Paper No. 6175). World Bank.</w:t>
      </w:r>
    </w:p>
    <w:p>
      <w:pPr>
        <w:pStyle w:val="Reference"/>
      </w:pPr>
      <w:r>
        <w:t xml:space="preserve">Conley, T. G., &amp; Taber, C. R. (2011). Inference with "difference in differences" with a small number of policy changes. </w:t>
      </w:r>
      <w:r>
        <w:rPr>
          <w:i/>
          <w:iCs/>
        </w:rPr>
        <w:t xml:space="preserve">The Review of Economics and Statistics</w:t>
      </w:r>
      <w:r>
        <w:t xml:space="preserve">, </w:t>
      </w:r>
      <w:r>
        <w:rPr>
          <w:i/>
          <w:iCs/>
        </w:rPr>
        <w:t xml:space="preserve">93</w:t>
      </w:r>
      <w:r>
        <w:t xml:space="preserve">(1), 113–125.</w:t>
      </w:r>
    </w:p>
    <w:p>
      <w:pPr>
        <w:pStyle w:val="Reference"/>
      </w:pPr>
      <w:r>
        <w:t xml:space="preserve">Corwin, S. A., &amp; Schultz, P. (2012). A simple way to estimate bid-ask spreads from daily high and low prices. </w:t>
      </w:r>
      <w:r>
        <w:rPr>
          <w:i/>
          <w:iCs/>
        </w:rPr>
        <w:t xml:space="preserve">The Journal of Finance</w:t>
      </w:r>
      <w:r>
        <w:t xml:space="preserve">, </w:t>
      </w:r>
      <w:r>
        <w:rPr>
          <w:i/>
          <w:iCs/>
        </w:rPr>
        <w:t xml:space="preserve">67</w:t>
      </w:r>
      <w:r>
        <w:t xml:space="preserve">(2), 719–760.</w:t>
      </w:r>
    </w:p>
    <w:p w14:paraId="6BACEDDA" w14:textId="77777777" w:rsidR="005D3DB2" w:rsidRDefault="00000000">
      <w:pPr>
        <w:pStyle w:val="Reference"/>
      </w:pPr>
      <w:r>
        <w:t xml:space="preserve">Dao, V. H., Nguyen, T. M. H., &amp; Vu, T. D. (2021). The impact of COVID-19 on stock market returns in Vietnam. </w:t>
      </w:r>
      <w:r>
        <w:rPr>
          <w:i/>
          <w:iCs/>
        </w:rPr>
        <w:t xml:space="preserve">Journal of Risk and Financial Management</w:t>
      </w:r>
      <w:r>
        <w:t xml:space="preserve">, </w:t>
      </w:r>
      <w:r>
        <w:rPr>
          <w:i/>
          <w:iCs/>
        </w:rPr>
        <w:t xml:space="preserve">14</w:t>
      </w:r>
      <w:r>
        <w:t xml:space="preserve">(9), Article 441. https://doi.org/10.3390/jrfm14090441</w:t>
      </w:r>
    </w:p>
    <w:p>
      <w:pPr>
        <w:pStyle w:val="Reference"/>
      </w:pPr>
      <w:r>
        <w:t xml:space="preserve">Daw, J. R., &amp; Hatfield, L. A. (2018). Matching and regression to the mean in difference-in-differences analysis. </w:t>
      </w:r>
      <w:r>
        <w:rPr>
          <w:i/>
          <w:iCs/>
        </w:rPr>
        <w:t xml:space="preserve">Health Services Research</w:t>
      </w:r>
      <w:r>
        <w:t xml:space="preserve">, </w:t>
      </w:r>
      <w:r>
        <w:rPr>
          <w:i/>
          <w:iCs/>
        </w:rPr>
        <w:t xml:space="preserve">53</w:t>
      </w:r>
      <w:r>
        <w:t xml:space="preserve">(6), 4138–4156. [CẦN XÁC MINH]</w:t>
      </w:r>
    </w:p>
    <w:p w14:paraId="642DAD51" w14:textId="77777777" w:rsidR="005D3DB2" w:rsidRDefault="00000000">
      <w:pPr>
        <w:pStyle w:val="Reference"/>
      </w:pPr>
      <w:r>
        <w:t xml:space="preserve">DeMiguel, V., Garlappi, L., &amp; Uppal, R. (2009). Optimal versus naive diversification: How inefficient is the 1/N portfolio strategy? </w:t>
      </w:r>
      <w:r>
        <w:rPr>
          <w:i/>
          <w:iCs/>
        </w:rPr>
        <w:t xml:space="preserve">The Review of Financial Studies</w:t>
      </w:r>
      <w:r>
        <w:t xml:space="preserve">, </w:t>
      </w:r>
      <w:r>
        <w:rPr>
          <w:i/>
          <w:iCs/>
        </w:rPr>
        <w:t xml:space="preserve">22</w:t>
      </w:r>
      <w:r>
        <w:t xml:space="preserve">(5), 1915–1953.</w:t>
      </w:r>
    </w:p>
    <w:p>
      <w:pPr>
        <w:pStyle w:val="Reference"/>
      </w:pPr>
      <w:r>
        <w:t xml:space="preserve">Eichengreen, B., &amp; Shah, N. (2020). The correlates of international financial-center status. </w:t>
      </w:r>
      <w:r>
        <w:rPr>
          <w:i/>
          <w:iCs/>
        </w:rPr>
        <w:t xml:space="preserve">Review of International Economics</w:t>
      </w:r>
      <w:r>
        <w:t xml:space="preserve">, </w:t>
      </w:r>
      <w:r>
        <w:rPr>
          <w:i/>
          <w:iCs/>
        </w:rPr>
        <w:t xml:space="preserve">28</w:t>
      </w:r>
      <w:r>
        <w:t xml:space="preserve">(1), 62–81.</w:t>
      </w:r>
    </w:p>
    <w:p>
      <w:pPr>
        <w:pStyle w:val="Reference"/>
      </w:pPr>
      <w:r>
        <w:t xml:space="preserve">Elliott, D. J. (2011). </w:t>
      </w:r>
      <w:r>
        <w:rPr>
          <w:i/>
          <w:iCs/>
        </w:rPr>
        <w:t xml:space="preserve">Building a global financial center in Shanghai: Observations from other centers</w:t>
      </w:r>
      <w:r>
        <w:t xml:space="preserve">. Brookings Institution.</w:t>
      </w:r>
    </w:p>
    <w:p>
      <w:pPr>
        <w:pStyle w:val="Reference"/>
      </w:pPr>
      <w:r>
        <w:t xml:space="preserve">Fong, K. Y. L., Holden, C. W., &amp; Trzcinka, C. A. (2017). What are the best liquidity proxies for global research? </w:t>
      </w:r>
      <w:r>
        <w:rPr>
          <w:i/>
          <w:iCs/>
        </w:rPr>
        <w:t xml:space="preserve">Review of Finance</w:t>
      </w:r>
      <w:r>
        <w:t xml:space="preserve">, </w:t>
      </w:r>
      <w:r>
        <w:rPr>
          <w:i/>
          <w:iCs/>
        </w:rPr>
        <w:t xml:space="preserve">21</w:t>
      </w:r>
      <w:r>
        <w:t xml:space="preserve">(4), 1355–1401.</w:t>
      </w:r>
    </w:p>
    <w:p>
      <w:pPr>
        <w:pStyle w:val="Reference"/>
      </w:pPr>
      <w:r>
        <w:t xml:space="preserve">FTSE Russell. (2026). </w:t>
      </w:r>
      <w:r>
        <w:rPr>
          <w:i/>
          <w:iCs/>
        </w:rPr>
        <w:t xml:space="preserve">Reclassification of Vietnam from Frontier to Secondary Emerging market status: Frequently asked questions</w:t>
      </w:r>
      <w:r>
        <w:t xml:space="preserve"> (Version 1.3). LSEG.</w:t>
      </w:r>
    </w:p>
    <w:p w14:paraId="2B09AD08" w14:textId="77777777" w:rsidR="005D3DB2" w:rsidRDefault="00000000">
      <w:pPr>
        <w:pStyle w:val="Reference"/>
      </w:pPr>
      <w:r>
        <w:t xml:space="preserve">Garlappi, L., Uppal, R., &amp; Wang, T. (2007). Portfolio selection with parameter and model uncertainty: A multi-prior approach. </w:t>
      </w:r>
      <w:r>
        <w:rPr>
          <w:i/>
          <w:iCs/>
        </w:rPr>
        <w:t xml:space="preserve">The Review of Financial Studies</w:t>
      </w:r>
      <w:r>
        <w:t xml:space="preserve">, </w:t>
      </w:r>
      <w:r>
        <w:rPr>
          <w:i/>
          <w:iCs/>
        </w:rPr>
        <w:t xml:space="preserve">20</w:t>
      </w:r>
      <w:r>
        <w:t xml:space="preserve">(1), 41–81.</w:t>
      </w:r>
    </w:p>
    <w:p>
      <w:pPr>
        <w:pStyle w:val="Reference"/>
      </w:pPr>
      <w:r>
        <w:t xml:space="preserve">Gehrig, T. (2000). Cities and the geography of financial centers. In J.-M. Huriot &amp; J.-F. Thisse (Eds.), </w:t>
      </w:r>
      <w:r>
        <w:rPr>
          <w:i/>
          <w:iCs/>
        </w:rPr>
        <w:t xml:space="preserve">Economics of cities: Theoretical perspectives</w:t>
      </w:r>
      <w:r>
        <w:t xml:space="preserve"> (pp. [CẦN BỔ SUNG số trang]). Cambridge University Press.</w:t>
      </w:r>
    </w:p>
    <w:p w14:paraId="06E207A0" w14:textId="77777777" w:rsidR="005D3DB2" w:rsidRDefault="00000000">
      <w:pPr>
        <w:pStyle w:val="Reference"/>
      </w:pPr>
      <w:r>
        <w:t xml:space="preserve">Goutte, S., Le, H.-V., Liu, F., &amp; von Mettenheim, H.-J. (2025). MCDA strategies for portfolio optimization: A case study on Vietnamese stock market dynamics. </w:t>
      </w:r>
      <w:r>
        <w:rPr>
          <w:i/>
          <w:iCs/>
        </w:rPr>
        <w:t xml:space="preserve">Annals of Operations Research</w:t>
      </w:r>
      <w:r>
        <w:t xml:space="preserve">, </w:t>
      </w:r>
      <w:r>
        <w:rPr>
          <w:i/>
          <w:iCs/>
        </w:rPr>
        <w:t xml:space="preserve">353</w:t>
      </w:r>
      <w:r>
        <w:t xml:space="preserve">(1), 321–351.</w:t>
      </w:r>
    </w:p>
    <w:p>
      <w:pPr>
        <w:pStyle w:val="Reference"/>
      </w:pPr>
      <w:r>
        <w:t xml:space="preserve">Griffin, J. M., Kelly, P. J., &amp; Nardari, F. (2010). Do market efficiency measures yield correct inferences? A comparison of developed and emerging markets. </w:t>
      </w:r>
      <w:r>
        <w:rPr>
          <w:i/>
          <w:iCs/>
        </w:rPr>
        <w:t xml:space="preserve">The Review of Financial Studies</w:t>
      </w:r>
      <w:r>
        <w:t xml:space="preserve">, </w:t>
      </w:r>
      <w:r>
        <w:rPr>
          <w:i/>
          <w:iCs/>
        </w:rPr>
        <w:t xml:space="preserve">23</w:t>
      </w:r>
      <w:r>
        <w:t xml:space="preserve">(8),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 xml:space="preserve">Econometrica</w:t>
      </w:r>
      <w:r>
        <w:t xml:space="preserve">, </w:t>
      </w:r>
      <w:r>
        <w:rPr>
          <w:i/>
          <w:iCs/>
        </w:rPr>
        <w:t xml:space="preserve">57</w:t>
      </w:r>
      <w:r>
        <w:t xml:space="preserve">(2),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w:t>
      </w:r>
      <w:r>
        <w:rPr>
          <w:i/>
          <w:iCs/>
        </w:rPr>
        <w:t xml:space="preserve">8</w:t>
      </w:r>
      <w:r>
        <w:t xml:space="preserve">(2), 315–318.</w:t>
      </w:r>
    </w:p>
    <w:p w14:paraId="657A6141" w14:textId="77777777" w:rsidR="005D3DB2" w:rsidRDefault="00000000">
      <w:pPr>
        <w:pStyle w:val="Reference"/>
      </w:pPr>
      <w:r>
        <w:t xml:space="preserve">Hoang, V.-M. D., &amp; Luu, D. T. (2024). </w:t>
      </w:r>
      <w:r>
        <w:rPr>
          <w:i/>
          <w:iCs/>
        </w:rPr>
        <w:t xml:space="preserve">Modelling volatility dynamics and identifying regime switching in a frontier stock market: The case of Vietnam</w:t>
      </w:r>
      <w:r>
        <w:t xml:space="preserve"> (SSRN Working Paper No. 4867203; bản sửa ngày 17/9/2025). SSRN.</w:t>
      </w:r>
    </w:p>
    <w:p w14:paraId="35DFD03D" w14:textId="77777777" w:rsidR="005D3DB2" w:rsidRDefault="00000000">
      <w:pPr>
        <w:pStyle w:val="Reference"/>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w:t>
      </w:r>
    </w:p>
    <w:p>
      <w:pPr>
        <w:pStyle w:val="Reference"/>
      </w:pPr>
      <w:r>
        <w:t xml:space="preserve">Hou, K., &amp; Moskowitz, T. J. (2005). Market frictions, price delay, and the cross-section of expected returns. </w:t>
      </w:r>
      <w:r>
        <w:rPr>
          <w:i/>
          <w:iCs/>
        </w:rPr>
        <w:t xml:space="preserve">The Review of Financial Studies</w:t>
      </w:r>
      <w:r>
        <w:t xml:space="preserve">, </w:t>
      </w:r>
      <w:r>
        <w:rPr>
          <w:i/>
          <w:iCs/>
        </w:rPr>
        <w:t xml:space="preserve">18</w:t>
      </w:r>
      <w:r>
        <w:t xml:space="preserve">(3), 981–1020.</w:t>
      </w:r>
    </w:p>
    <w:p>
      <w:pPr>
        <w:pStyle w:val="Reference"/>
      </w:pPr>
      <w:r>
        <w:t xml:space="preserve">Huang, R. D., &amp; Stoll, H. R. (1996). Dealer versus auction markets: A paired comparison of execution costs on NASDAQ and the NYSE. </w:t>
      </w:r>
      <w:r>
        <w:rPr>
          <w:i/>
          <w:iCs/>
        </w:rPr>
        <w:t xml:space="preserve">Journal of Financial Economics</w:t>
      </w:r>
      <w:r>
        <w:t xml:space="preserve">, </w:t>
      </w:r>
      <w:r>
        <w:rPr>
          <w:i/>
          <w:iCs/>
        </w:rPr>
        <w:t xml:space="preserve">41</w:t>
      </w:r>
      <w:r>
        <w:t xml:space="preserve">(3), 313–357.</w:t>
      </w:r>
    </w:p>
    <w:p w14:paraId="6644927E" w14:textId="77777777" w:rsidR="005D3DB2" w:rsidRDefault="00000000">
      <w:pPr>
        <w:pStyle w:val="Reference"/>
      </w:pPr>
      <w:r>
        <w:t xml:space="preserve">International Monetary Fund. (2023). </w:t>
      </w:r>
      <w:r>
        <w:rPr>
          <w:i/>
          <w:iCs/>
        </w:rPr>
        <w:t xml:space="preserve">Vietnam: 2023 Article IV consultation</w:t>
      </w:r>
      <w:r>
        <w:t xml:space="preserve"> (IMF Country Report No. 23/338). https://www.elibrary.imf.org/view/journals/002/2023/338/article-A001-en.xml</w:t>
      </w:r>
    </w:p>
    <w:p w14:paraId="08FEDC51" w14:textId="77777777" w:rsidR="005D3DB2" w:rsidRDefault="00000000">
      <w:pPr>
        <w:pStyle w:val="Reference"/>
      </w:pPr>
      <w:r>
        <w:t xml:space="preserve">Kan, R., &amp; Zhou, G. (2007). Optimal portfolio choice with parameter uncertainty. </w:t>
      </w:r>
      <w:r>
        <w:rPr>
          <w:i/>
          <w:iCs/>
        </w:rPr>
        <w:t xml:space="preserve">Journal of Financial and Quantitative Analysis</w:t>
      </w:r>
      <w:r>
        <w:t xml:space="preserve">, </w:t>
      </w:r>
      <w:r>
        <w:rPr>
          <w:i/>
          <w:iCs/>
        </w:rPr>
        <w:t xml:space="preserve">42</w:t>
      </w:r>
      <w:r>
        <w:t xml:space="preserve">(3), 621–656.</w:t>
      </w:r>
    </w:p>
    <w:p>
      <w:pPr>
        <w:pStyle w:val="Reference"/>
      </w:pPr>
      <w:r>
        <w:t xml:space="preserve">Kaufmann, D., Kraay, A., &amp; Mastruzzi, M. (2011). The Worldwide Governance Indicators: Methodology and analytical issues. </w:t>
      </w:r>
      <w:r>
        <w:rPr>
          <w:i/>
          <w:iCs/>
        </w:rPr>
        <w:t xml:space="preserve">Hague Journal on the Rule of Law</w:t>
      </w:r>
      <w:r>
        <w:t xml:space="preserve">, </w:t>
      </w:r>
      <w:r>
        <w:rPr>
          <w:i/>
          <w:iCs/>
        </w:rPr>
        <w:t xml:space="preserve">3</w:t>
      </w:r>
      <w:r>
        <w:t xml:space="preserve">(2),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w:t>
      </w:r>
    </w:p>
    <w:p w14:paraId="012396B6" w14:textId="77777777" w:rsidR="005D3DB2" w:rsidRDefault="00000000">
      <w:pPr>
        <w:pStyle w:val="Reference"/>
      </w:pPr>
      <w:r>
        <w:t xml:space="preserve">Kritzman, M., Page, S., &amp; Turkington, D. (2012). Regime shifts: Implications for dynamic strategies. </w:t>
      </w:r>
      <w:r>
        <w:rPr>
          <w:i/>
          <w:iCs/>
        </w:rPr>
        <w:t xml:space="preserve">Financial Analysts Journal</w:t>
      </w:r>
      <w:r>
        <w:t xml:space="preserve">, </w:t>
      </w:r>
      <w:r>
        <w:rPr>
          <w:i/>
          <w:iCs/>
        </w:rPr>
        <w:t xml:space="preserve">68</w:t>
      </w:r>
      <w:r>
        <w:t xml:space="preserve">(3), 22–39.</w:t>
      </w:r>
    </w:p>
    <w:p>
      <w:pPr>
        <w:pStyle w:val="Reference"/>
      </w:pPr>
      <w:r>
        <w:t xml:space="preserve">Lai, K. P. Y. (2012). Differentiated markets: Shanghai, Beijing and Hong Kong in China’s financial centre network. </w:t>
      </w:r>
      <w:r>
        <w:rPr>
          <w:i/>
          <w:iCs/>
        </w:rPr>
        <w:t xml:space="preserve">Urban Studies</w:t>
      </w:r>
      <w:r>
        <w:t xml:space="preserve">, </w:t>
      </w:r>
      <w:r>
        <w:rPr>
          <w:i/>
          <w:iCs/>
        </w:rPr>
        <w:t xml:space="preserve">49</w:t>
      </w:r>
      <w:r>
        <w:t xml:space="preserve">(6), 1275–1296.</w:t>
      </w:r>
    </w:p>
    <w:p>
      <w:pPr>
        <w:pStyle w:val="Reference"/>
      </w:pPr>
      <w:r>
        <w:t xml:space="preserve">Lang, M., Lins, K. V., &amp; Maffett, M. (2012). Transparency, liquidity, and valuation: International evidence on when transparency matters most. </w:t>
      </w:r>
      <w:r>
        <w:rPr>
          <w:i/>
          <w:iCs/>
        </w:rPr>
        <w:t xml:space="preserve">Journal of Accounting Research</w:t>
      </w:r>
      <w:r>
        <w:t xml:space="preserve">, </w:t>
      </w:r>
      <w:r>
        <w:rPr>
          <w:i/>
          <w:iCs/>
        </w:rPr>
        <w:t xml:space="preserve">50</w:t>
      </w:r>
      <w:r>
        <w:t xml:space="preserve">(3), 729–774.</w:t>
      </w:r>
    </w:p>
    <w:p w14:paraId="7E0E3FB7" w14:textId="77777777" w:rsidR="005D3DB2" w:rsidRDefault="00000000">
      <w:pPr>
        <w:pStyle w:val="Reference"/>
      </w:pP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w:t>
      </w:r>
    </w:p>
    <w:p w14:paraId="03AF3DA1" w14:textId="77777777" w:rsidR="005D3DB2" w:rsidRDefault="00000000">
      <w:pPr>
        <w:pStyle w:val="Reference"/>
      </w:pPr>
      <w:r>
        <w:t xml:space="preserve">Ledoit, O., &amp; Wolf, M. (2008). Robust performance hypothesis testing with the Sharpe ratio. </w:t>
      </w:r>
      <w:r>
        <w:rPr>
          <w:i/>
          <w:iCs/>
        </w:rPr>
        <w:t xml:space="preserve">Journal of Empirical Finance</w:t>
      </w:r>
      <w:r>
        <w:t xml:space="preserve">, </w:t>
      </w:r>
      <w:r>
        <w:rPr>
          <w:i/>
          <w:iCs/>
        </w:rPr>
        <w:t xml:space="preserve">15</w:t>
      </w:r>
      <w:r>
        <w:t xml:space="preserve">(5), 850–859.</w:t>
      </w:r>
    </w:p>
    <w:p>
      <w:pPr>
        <w:pStyle w:val="Reference"/>
      </w:pPr>
      <w:r>
        <w:t xml:space="preserve">Lesmond, D. A. (2005). Liquidity of emerging markets. </w:t>
      </w:r>
      <w:r>
        <w:rPr>
          <w:i/>
          <w:iCs/>
        </w:rPr>
        <w:t xml:space="preserve">Journal of Financial Economics</w:t>
      </w:r>
      <w:r>
        <w:t xml:space="preserve">, </w:t>
      </w:r>
      <w:r>
        <w:rPr>
          <w:i/>
          <w:iCs/>
        </w:rPr>
        <w:t xml:space="preserve">77</w:t>
      </w:r>
      <w:r>
        <w:t xml:space="preserve">(2), 411–452.</w:t>
      </w:r>
    </w:p>
    <w:p>
      <w:pPr>
        <w:pStyle w:val="Reference"/>
      </w:pPr>
      <w:r>
        <w:t xml:space="preserve">Lesmond, D. A., Ogden, J. P., &amp; Trzcinka, C. A. (1999). A new estimate of transaction costs. </w:t>
      </w:r>
      <w:r>
        <w:rPr>
          <w:i/>
          <w:iCs/>
        </w:rPr>
        <w:t xml:space="preserve">The Review of Financial Studies</w:t>
      </w:r>
      <w:r>
        <w:t xml:space="preserve">, </w:t>
      </w:r>
      <w:r>
        <w:rPr>
          <w:i/>
          <w:iCs/>
        </w:rPr>
        <w:t xml:space="preserve">12</w:t>
      </w:r>
      <w:r>
        <w:t xml:space="preserve">(5), 1113–1141.</w:t>
      </w:r>
    </w:p>
    <w:p>
      <w:pPr>
        <w:pStyle w:val="Reference"/>
      </w:pPr>
      <w:r>
        <w:t xml:space="preserve">Lo, A. W., &amp; MacKinlay, A. C. (1988). Stock market prices do not follow random walks: Evidence from a simple specification test. </w:t>
      </w:r>
      <w:r>
        <w:rPr>
          <w:i/>
          <w:iCs/>
        </w:rPr>
        <w:t xml:space="preserve">The Review of Financial Studies</w:t>
      </w:r>
      <w:r>
        <w:t xml:space="preserve">, </w:t>
      </w:r>
      <w:r>
        <w:rPr>
          <w:i/>
          <w:iCs/>
        </w:rPr>
        <w:t xml:space="preserve">1</w:t>
      </w:r>
      <w:r>
        <w:t xml:space="preserve">(1), 41–66.</w:t>
      </w:r>
    </w:p>
    <w:p w14:paraId="25400127" w14:textId="77777777" w:rsidR="005D3DB2" w:rsidRDefault="00000000">
      <w:pPr>
        <w:pStyle w:val="Reference"/>
      </w:pPr>
      <w:r>
        <w:t xml:space="preserve">Markowitz, H. (1952). Portfolio selection. </w:t>
      </w:r>
      <w:r>
        <w:rPr>
          <w:i/>
          <w:iCs/>
        </w:rPr>
        <w:t xml:space="preserve">The Journal of Finance</w:t>
      </w:r>
      <w:r>
        <w:t xml:space="preserve">, </w:t>
      </w:r>
      <w:r>
        <w:rPr>
          <w:i/>
          <w:iCs/>
        </w:rPr>
        <w:t xml:space="preserve">7</w:t>
      </w:r>
      <w:r>
        <w:t xml:space="preserve">(1), 77–91.</w:t>
      </w:r>
    </w:p>
    <w:p w14:paraId="237905A5" w14:textId="77777777" w:rsidR="005D3DB2" w:rsidRDefault="00000000">
      <w:pPr>
        <w:pStyle w:val="Reference"/>
      </w:pPr>
      <w:r>
        <w:t xml:space="preserve">Michaud, R. O. (1989). The Markowitz optimization enigma: Is 'optimized' optimal? </w:t>
      </w:r>
      <w:r>
        <w:rPr>
          <w:i/>
          <w:iCs/>
        </w:rPr>
        <w:t xml:space="preserve">Financial Analysts Journal</w:t>
      </w:r>
      <w:r>
        <w:t xml:space="preserve">, </w:t>
      </w:r>
      <w:r>
        <w:rPr>
          <w:i/>
          <w:iCs/>
        </w:rPr>
        <w:t xml:space="preserve">45</w:t>
      </w:r>
      <w:r>
        <w:t xml:space="preserve">(1), 31–42.</w:t>
      </w:r>
    </w:p>
    <w:p>
      <w:pPr>
        <w:pStyle w:val="Reference"/>
      </w:pPr>
      <w:r>
        <w:t xml:space="preserve">Moosa, I., Li, L., &amp; Jiang, R. (2016). Determinants of the status of an international financial centre. </w:t>
      </w:r>
      <w:r>
        <w:rPr>
          <w:i/>
          <w:iCs/>
        </w:rPr>
        <w:t xml:space="preserve">The World Economy</w:t>
      </w:r>
      <w:r>
        <w:t xml:space="preserve">, </w:t>
      </w:r>
      <w:r>
        <w:rPr>
          <w:i/>
          <w:iCs/>
        </w:rPr>
        <w:t xml:space="preserve">39</w:t>
      </w:r>
      <w:r>
        <w:t xml:space="preserve">(12), 2074–2096.</w:t>
      </w:r>
    </w:p>
    <w:p>
      <w:pPr>
        <w:pStyle w:val="Reference"/>
      </w:pPr>
      <w:r>
        <w:t xml:space="preserve">Naeem, M. M. F. (2023). </w:t>
      </w:r>
      <w:r>
        <w:rPr>
          <w:i/>
          <w:iCs/>
        </w:rPr>
        <w:t xml:space="preserve">What makes an International Financial Centre (IFC) competitive? An empirical study of the determinants responsible for the competitiveness of an IFC</w:t>
      </w:r>
      <w:r>
        <w:t xml:space="preserve"> [Luận án Tiến sĩ Quản trị kinh doanh (DBA), Durham University]. Durham E-Theses. https://etheses.durham.ac.uk/id/eprint/15102/</w:t>
      </w:r>
    </w:p>
    <w:p w14:paraId="74DA4190" w14:textId="77777777" w:rsidR="005D3DB2" w:rsidRDefault="00000000">
      <w:pPr>
        <w:pStyle w:val="Reference"/>
      </w:pPr>
      <w:r>
        <w:t xml:space="preserve">Nguyen, N., Nguyen, T., Tran, T., &amp; Mai, A. (2020). Shrinkage model selection for portfolio optimization on Vietnam stock market. </w:t>
      </w:r>
      <w:r>
        <w:rPr>
          <w:i/>
          <w:iCs/>
        </w:rPr>
        <w:t xml:space="preserve">The Journal of Asian Finance, Economics and Business</w:t>
      </w:r>
      <w:r>
        <w:t xml:space="preserve">, </w:t>
      </w:r>
      <w:r>
        <w:rPr>
          <w:i/>
          <w:iCs/>
        </w:rPr>
        <w:t xml:space="preserve">7</w:t>
      </w:r>
      <w:r>
        <w:t xml:space="preserve">(9), 135–145.</w:t>
      </w:r>
    </w:p>
    <w:p w14:paraId="74121B1C" w14:textId="77777777" w:rsidR="005D3DB2" w:rsidRDefault="00000000">
      <w:pPr>
        <w:pStyle w:val="Reference"/>
      </w:pPr>
      <w:r>
        <w:t xml:space="preserve">Nguyễn, T. B., &amp; Nguyễn, V. T. (2026a). Black-Litterman portfolio optimization using regime switching CAPM and ABC-MCMC: Empirical evidence from the Vietnamese stock market period 2019–2025. </w:t>
      </w:r>
      <w:r>
        <w:rPr>
          <w:i/>
          <w:iCs/>
        </w:rPr>
        <w:t xml:space="preserve">Tạp chí Nghiên cứu Chính sách và Phát triển</w:t>
      </w:r>
      <w:r>
        <w:t xml:space="preserve">, </w:t>
      </w:r>
      <w:r>
        <w:rPr>
          <w:i/>
          <w:iCs/>
        </w:rPr>
        <w:t xml:space="preserve">3</w:t>
      </w:r>
      <w:r>
        <w:t xml:space="preserve">(1), 81–99. https://doi.org/10.63640/3030-4091/jpd.apd.194</w:t>
      </w:r>
    </w:p>
    <w:p>
      <w:pPr>
        <w:pStyle w:val="Reference"/>
      </w:pPr>
      <w:r>
        <w:t xml:space="preserve">Nielsson, U. (2009). Stock exchange merger and liquidity: The case of Euronext. </w:t>
      </w:r>
      <w:r>
        <w:rPr>
          <w:i/>
          <w:iCs/>
        </w:rPr>
        <w:t xml:space="preserve">Journal of Financial Markets</w:t>
      </w:r>
      <w:r>
        <w:t xml:space="preserve">, </w:t>
      </w:r>
      <w:r>
        <w:rPr>
          <w:i/>
          <w:iCs/>
        </w:rPr>
        <w:t xml:space="preserve">12</w:t>
      </w:r>
      <w:r>
        <w:t xml:space="preserve">(2), 229–267.</w:t>
      </w:r>
    </w:p>
    <w:p>
      <w:pPr>
        <w:pStyle w:val="Reference"/>
      </w:pPr>
      <w:r>
        <w:t xml:space="preserve">OECD. (2008). </w:t>
      </w:r>
      <w:r>
        <w:rPr>
          <w:i/>
          <w:iCs/>
        </w:rPr>
        <w:t xml:space="preserve">Handbook on constructing composite indicators: Methodology and user guide</w:t>
      </w:r>
      <w:r>
        <w:t xml:space="preserve">. OECD Publishing.</w:t>
      </w:r>
    </w:p>
    <w:p w14:paraId="75A6ED4A" w14:textId="77777777" w:rsidR="005D3DB2" w:rsidRDefault="00000000">
      <w:pPr>
        <w:pStyle w:val="Reference"/>
      </w:pPr>
      <w:r>
        <w:t xml:space="preserve">Pflug, G. C., Pichler, A., &amp; Wozabal, D. (2012). The 1/N investment strategy is optimal under high model ambiguity. </w:t>
      </w:r>
      <w:r>
        <w:rPr>
          <w:i/>
          <w:iCs/>
        </w:rPr>
        <w:t xml:space="preserve">Journal of Banking &amp; Finance</w:t>
      </w:r>
      <w:r>
        <w:t xml:space="preserve">, </w:t>
      </w:r>
      <w:r>
        <w:rPr>
          <w:i/>
          <w:iCs/>
        </w:rPr>
        <w:t xml:space="preserve">36</w:t>
      </w:r>
      <w:r>
        <w:t xml:space="preserve">(2), 410–417.</w:t>
      </w:r>
    </w:p>
    <w:p w14:paraId="1FEA3449" w14:textId="77777777" w:rsidR="005D3DB2" w:rsidRDefault="00000000">
      <w:pPr>
        <w:pStyle w:val="Reference"/>
      </w:pPr>
      <w:r>
        <w:t xml:space="preserve">Politis, D. N., &amp; Romano, J. P. (1994). The stationary bootstrap. </w:t>
      </w:r>
      <w:r>
        <w:rPr>
          <w:i/>
          <w:iCs/>
        </w:rPr>
        <w:t xml:space="preserve">Journal of the American Statistical Association</w:t>
      </w:r>
      <w:r>
        <w:t xml:space="preserve">, </w:t>
      </w:r>
      <w:r>
        <w:rPr>
          <w:i/>
          <w:iCs/>
        </w:rPr>
        <w:t xml:space="preserve">89</w:t>
      </w:r>
      <w:r>
        <w:t xml:space="preserve">(428), 1303–1313.</w:t>
      </w:r>
    </w:p>
    <w:p>
      <w:pPr>
        <w:pStyle w:val="Reference"/>
      </w:pPr>
      <w:r>
        <w:t xml:space="preserve">Rambachan, A., &amp; Roth, J. (2023). A more credible approach to parallel trends. </w:t>
      </w:r>
      <w:r>
        <w:rPr>
          <w:i/>
          <w:iCs/>
        </w:rPr>
        <w:t xml:space="preserve">The Review of Economic Studies</w:t>
      </w:r>
      <w:r>
        <w:t xml:space="preserve">, </w:t>
      </w:r>
      <w:r>
        <w:rPr>
          <w:i/>
          <w:iCs/>
        </w:rPr>
        <w:t xml:space="preserve">90</w:t>
      </w:r>
      <w:r>
        <w:t xml:space="preserve">(5), 2555–2591.</w:t>
      </w:r>
    </w:p>
    <w:p w14:paraId="3C6B5147" w14:textId="77777777" w:rsidR="005D3DB2" w:rsidRDefault="00000000">
      <w:pPr>
        <w:pStyle w:val="Reference"/>
      </w:pPr>
      <w:r>
        <w:t xml:space="preserve">Ta, B. Q., &amp; Vuong, T. (2020). The Black-Litterman model for portfolio optimization on Vietnam stock market. </w:t>
      </w:r>
      <w:r>
        <w:rPr>
          <w:i/>
          <w:iCs/>
        </w:rPr>
        <w:t xml:space="preserve">International Journal of Uncertainty, Fuzziness and Knowledge-Based Systems</w:t>
      </w:r>
      <w:r>
        <w:t xml:space="preserve">, </w:t>
      </w:r>
      <w:r>
        <w:rPr>
          <w:i/>
          <w:iCs/>
        </w:rPr>
        <w:t xml:space="preserve">28</w:t>
      </w:r>
      <w:r>
        <w:t xml:space="preserve">(Supp01), 99–111.</w:t>
      </w:r>
    </w:p>
    <w:p w14:paraId="34825CEE" w14:textId="77777777" w:rsidR="005D3DB2" w:rsidRDefault="00000000">
      <w:pPr>
        <w:pStyle w:val="Reference"/>
      </w:pPr>
      <w:r>
        <w:t xml:space="preserve">Vo, X. V., &amp; Phan, D. B. A. (2017). Further evidence on the herd behavior in Vietnam stock market. </w:t>
      </w:r>
      <w:r>
        <w:rPr>
          <w:i/>
          <w:iCs/>
        </w:rPr>
        <w:t xml:space="preserve">Journal of Behavioral and Experimental Finance</w:t>
      </w:r>
      <w:r>
        <w:t xml:space="preserve">, </w:t>
      </w:r>
      <w:r>
        <w:rPr>
          <w:i/>
          <w:iCs/>
        </w:rPr>
        <w:t xml:space="preserve">13</w:t>
      </w:r>
      <w:r>
        <w:t xml:space="preserve">, 33–41.</w:t>
      </w:r>
    </w:p>
    <w:p w14:paraId="0833EDC2" w14:textId="77777777" w:rsidR="005D3DB2" w:rsidRDefault="00000000">
      <w:pPr>
        <w:pStyle w:val="Reference"/>
      </w:pPr>
      <w:r>
        <w:t xml:space="preserve">Vu, T. L., Luong, N. H., &amp; Nguyen, P. N. (2024). Stock crash and how it spreads over the Vietnamese stock market. </w:t>
      </w:r>
      <w:r>
        <w:rPr>
          <w:i/>
          <w:iCs/>
        </w:rPr>
        <w:t xml:space="preserve">VNU Journal of Economics and Business</w:t>
      </w:r>
      <w:r>
        <w:t xml:space="preserve">, </w:t>
      </w:r>
      <w:r>
        <w:rPr>
          <w:i/>
          <w:iCs/>
        </w:rPr>
        <w:t xml:space="preserve">4</w:t>
      </w:r>
      <w:r>
        <w:t xml:space="preserve">(3), 107–116. https://doi.org/10.57110/vnu-jeb.v4i3.339</w:t>
      </w:r>
    </w:p>
    <w:p>
      <w:pPr>
        <w:pStyle w:val="Reference"/>
      </w:pPr>
      <w:r>
        <w:t xml:space="preserve">Wang, D. T., Zhao, S. X., &amp; Wang, D. (2007). "Information hinterland": A base for financial centre development. The case of Beijing versus Shanghai in China. </w:t>
      </w:r>
      <w:r>
        <w:rPr>
          <w:i/>
          <w:iCs/>
        </w:rPr>
        <w:t xml:space="preserve">Tijdschrift voor Economische en Sociale Geografie</w:t>
      </w:r>
      <w:r>
        <w:t xml:space="preserve">, </w:t>
      </w:r>
      <w:r>
        <w:rPr>
          <w:i/>
          <w:iCs/>
        </w:rPr>
        <w:t xml:space="preserve">98</w:t>
      </w:r>
      <w:r>
        <w:t xml:space="preserve">(1), 102–120.</w:t>
      </w:r>
    </w:p>
    <w:p>
      <w:pPr>
        <w:pStyle w:val="Reference"/>
      </w:pPr>
      <w:r>
        <w:t xml:space="preserve">Wardle, M., &amp; Mainelli, M. (2026). </w:t>
      </w:r>
      <w:r>
        <w:rPr>
          <w:i/>
          <w:iCs/>
        </w:rPr>
        <w:t xml:space="preserve">The Global Financial Centres Index 40</w:t>
      </w:r>
      <w:r>
        <w:t xml:space="preserve">. Z/Yen Group &amp; China Development Institute.</w:t>
      </w:r>
    </w:p>
    <w:p>
      <w:pPr>
        <w:pStyle w:val="Reference"/>
      </w:pPr>
      <w:r>
        <w:t xml:space="preserve">Wójcik, D. (2007). Geography and the future of stock exchanges: Between real and virtual space. </w:t>
      </w:r>
      <w:r>
        <w:rPr>
          <w:i/>
          <w:iCs/>
        </w:rPr>
        <w:t xml:space="preserve">Growth and Change</w:t>
      </w:r>
      <w:r>
        <w:t xml:space="preserve">, </w:t>
      </w:r>
      <w:r>
        <w:rPr>
          <w:i/>
          <w:iCs/>
        </w:rPr>
        <w:t xml:space="preserve">38</w:t>
      </w:r>
      <w:r>
        <w:t xml:space="preserve">(2),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Hà Nội, ngày 30 tháng 9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100" w:type="dxa"/>
        <w:bottom w:w="57" w:type="dxa"/>
        <w:right w:w="100" w:type="dxa"/>
      </w:tblCellMar>
    </w:tblPr>
    <w:tcPr>
      <w:vAlign w:val="top"/>
    </w:tcPr>
    <w:tblStylePr w:type="firstRow">
      <w:rPr>
        <w:b/>
        <w:bCs/>
      </w:rPr>
      <w:tcPr>
        <w:shd w:val="clear" w:color="auto" w:fill="E7E6E6"/>
        <w:vAlign w:val="center"/>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