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0126AC" w14:textId="77777777" w:rsidR="005D3DB2" w:rsidRPr="00DB5E3D" w:rsidRDefault="00000000">
      <w:pPr>
        <w:spacing w:before="0" w:after="0" w:line="240" w:lineRule="auto"/>
        <w:jc w:val="center"/>
        <w:rPr>
          <w:sz w:val="28"/>
          <w:szCs w:val="28"/>
        </w:rPr>
      </w:pPr>
      <w:r w:rsidRPr="00DB5E3D">
        <w:rPr>
          <w:sz w:val="28"/>
          <w:szCs w:val="28"/>
        </w:rPr>
        <w:t>ĐẠI HỌC QUỐC GIA HÀ NỘI</w:t>
      </w:r>
    </w:p>
    <w:p w14:paraId="1A358E65" w14:textId="77777777" w:rsidR="005D3DB2" w:rsidRPr="00DB5E3D" w:rsidRDefault="00000000">
      <w:pPr>
        <w:spacing w:before="0" w:after="0" w:line="240" w:lineRule="auto"/>
        <w:jc w:val="center"/>
        <w:rPr>
          <w:sz w:val="28"/>
          <w:szCs w:val="28"/>
        </w:rPr>
      </w:pPr>
      <w:r w:rsidRPr="00DB5E3D">
        <w:rPr>
          <w:b/>
          <w:bCs/>
          <w:sz w:val="28"/>
          <w:szCs w:val="28"/>
        </w:rPr>
        <w:t>TRƯỜNG QUỐC TẾ</w:t>
      </w:r>
    </w:p>
    <w:p w14:paraId="13A4808D" w14:textId="77777777" w:rsidR="005D3DB2" w:rsidRPr="00DB5E3D" w:rsidRDefault="00000000">
      <w:pPr>
        <w:spacing w:before="120" w:after="1300" w:line="240" w:lineRule="auto"/>
        <w:jc w:val="center"/>
        <w:rPr>
          <w:sz w:val="28"/>
          <w:szCs w:val="28"/>
        </w:rPr>
      </w:pPr>
      <w:r w:rsidRPr="00DB5E3D">
        <w:rPr>
          <w:noProof/>
          <w:sz w:val="28"/>
          <w:szCs w:val="28"/>
        </w:rPr>
        <w:drawing>
          <wp:inline distT="0" distB="0" distL="0" distR="0" wp14:anchorId="07638A84" wp14:editId="10C5AF57">
            <wp:extent cx="1152000" cy="1163815"/>
            <wp:effectExtent l="0" t="0" r="0" b="0"/>
            <wp:docPr id="504" name="Logo VNU-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152000" cy="1163815"/>
                    </a:xfrm>
                    <a:prstGeom prst="rect">
                      <a:avLst/>
                    </a:prstGeom>
                  </pic:spPr>
                </pic:pic>
              </a:graphicData>
            </a:graphic>
          </wp:inline>
        </w:drawing>
      </w:r>
    </w:p>
    <w:p w14:paraId="28E45C1E" w14:textId="77777777" w:rsidR="005D3DB2" w:rsidRPr="00DB5E3D" w:rsidRDefault="00000000">
      <w:pPr>
        <w:spacing w:before="0" w:after="120" w:line="240" w:lineRule="auto"/>
        <w:jc w:val="center"/>
        <w:rPr>
          <w:sz w:val="26"/>
          <w:szCs w:val="26"/>
        </w:rPr>
      </w:pPr>
      <w:r w:rsidRPr="00DB5E3D">
        <w:rPr>
          <w:i/>
          <w:sz w:val="26"/>
          <w:szCs w:val="26"/>
        </w:rPr>
        <w:t>Tên đề cương nghiên cứu:</w:t>
      </w:r>
    </w:p>
    <w:p w14:paraId="5BAEBBE5" w14:textId="77777777" w:rsidR="005D3DB2" w:rsidRPr="00DB5E3D" w:rsidRDefault="00000000">
      <w:pPr>
        <w:spacing w:before="0" w:after="0" w:line="312" w:lineRule="auto"/>
        <w:jc w:val="center"/>
        <w:rPr>
          <w:sz w:val="32"/>
          <w:szCs w:val="32"/>
        </w:rPr>
      </w:pPr>
      <w:r w:rsidRPr="00DB5E3D">
        <w:rPr>
          <w:b/>
          <w:bCs/>
          <w:sz w:val="32"/>
          <w:szCs w:val="32"/>
        </w:rPr>
        <w:t>HỢP NHẤT SÀN CHỨNG KHOÁN</w:t>
        <w:br/>
        <w:t>VÀ CHẤT LƯỢNG THỊ TRƯỜNG:</w:t>
        <w:br/>
        <w:t>BẰNG CHỨNG THỰC NGHIỆM TỪ HNX</w:t>
        <w:br/>
        <w:t>VÀ VỊ THẾ TÀI CHÍNH HÀ NỘI</w:t>
      </w:r>
    </w:p>
    <w:p w14:paraId="596B2797" w14:textId="77777777" w:rsidR="005D3DB2" w:rsidRPr="00DB5E3D" w:rsidRDefault="00000000">
      <w:pPr>
        <w:spacing w:before="1600" w:after="1600" w:line="240" w:lineRule="auto"/>
        <w:jc w:val="center"/>
        <w:rPr>
          <w:sz w:val="36"/>
          <w:szCs w:val="36"/>
        </w:rPr>
      </w:pPr>
      <w:r w:rsidRPr="00DB5E3D">
        <w:rPr>
          <w:b/>
          <w:bCs/>
          <w:sz w:val="36"/>
          <w:szCs w:val="36"/>
        </w:rPr>
        <w:t>ĐỀ CƯƠNG NGHIÊN CỨU</w:t>
      </w:r>
    </w:p>
    <w:p w14:paraId="7EDABF2B" w14:textId="77777777" w:rsidR="005D3DB2" w:rsidRPr="00DB5E3D" w:rsidRDefault="00000000">
      <w:pPr>
        <w:spacing w:before="0" w:after="100" w:line="240" w:lineRule="auto"/>
        <w:ind w:left="1800"/>
        <w:jc w:val="left"/>
        <w:rPr>
          <w:sz w:val="28"/>
          <w:szCs w:val="28"/>
        </w:rPr>
      </w:pPr>
      <w:r w:rsidRPr="00DB5E3D">
        <w:rPr>
          <w:sz w:val="28"/>
          <w:szCs w:val="28"/>
        </w:rPr>
        <w:t>Chuyên ngành: Kinh tế và Quản lý</w:t>
      </w:r>
    </w:p>
    <w:p w14:paraId="28E4C35E" w14:textId="77777777" w:rsidR="005D3DB2" w:rsidRPr="00DB5E3D" w:rsidRDefault="00000000">
      <w:pPr>
        <w:spacing w:before="0" w:after="100" w:line="240" w:lineRule="auto"/>
        <w:ind w:left="1800"/>
        <w:jc w:val="left"/>
        <w:rPr>
          <w:sz w:val="28"/>
          <w:szCs w:val="28"/>
        </w:rPr>
      </w:pPr>
      <w:r w:rsidRPr="00DB5E3D">
        <w:rPr>
          <w:sz w:val="28"/>
          <w:szCs w:val="28"/>
        </w:rPr>
        <w:t>Mã số: 9310116.01QTD</w:t>
      </w:r>
    </w:p>
    <w:p w14:paraId="6B27B274" w14:textId="77777777" w:rsidR="005D3DB2" w:rsidRPr="00DB5E3D" w:rsidRDefault="00000000">
      <w:pPr>
        <w:spacing w:before="0" w:after="100" w:line="240" w:lineRule="auto"/>
        <w:ind w:left="1800"/>
        <w:jc w:val="left"/>
        <w:rPr>
          <w:sz w:val="28"/>
          <w:szCs w:val="28"/>
        </w:rPr>
      </w:pPr>
      <w:r w:rsidRPr="00DB5E3D">
        <w:rPr>
          <w:sz w:val="28"/>
          <w:szCs w:val="28"/>
        </w:rPr>
        <w:t xml:space="preserve">Họ và tên thí sinh: </w:t>
      </w:r>
      <w:r w:rsidRPr="00DB5E3D">
        <w:rPr>
          <w:b/>
          <w:bCs/>
          <w:sz w:val="28"/>
          <w:szCs w:val="28"/>
        </w:rPr>
        <w:t>NGUYỄN VĂN TRUNG</w:t>
      </w:r>
    </w:p>
    <w:p w14:paraId="6CF60D04" w14:textId="77777777" w:rsidR="005D3DB2" w:rsidRPr="00DB5E3D" w:rsidRDefault="00000000">
      <w:pPr>
        <w:spacing w:before="0" w:after="100" w:line="240" w:lineRule="auto"/>
        <w:ind w:left="1800"/>
        <w:jc w:val="left"/>
        <w:rPr>
          <w:sz w:val="28"/>
          <w:szCs w:val="28"/>
        </w:rPr>
      </w:pPr>
      <w:r w:rsidRPr="00DB5E3D">
        <w:rPr>
          <w:sz w:val="28"/>
          <w:szCs w:val="28"/>
        </w:rPr>
        <w:t xml:space="preserve">Cơ quan công tác: </w:t>
      </w:r>
    </w:p>
    <w:p w14:paraId="365E3C7A" w14:textId="77777777" w:rsidR="005D3DB2" w:rsidRPr="00DB5E3D" w:rsidRDefault="00000000">
      <w:pPr>
        <w:spacing w:before="0" w:after="100" w:line="240" w:lineRule="auto"/>
        <w:ind w:left="1800"/>
        <w:jc w:val="left"/>
        <w:rPr>
          <w:sz w:val="28"/>
          <w:szCs w:val="28"/>
        </w:rPr>
      </w:pPr>
      <w:r w:rsidRPr="00DB5E3D">
        <w:rPr>
          <w:sz w:val="28"/>
          <w:szCs w:val="28"/>
        </w:rPr>
        <w:t>Người hướng dẫn khoa học (dự kiến):</w:t>
      </w:r>
    </w:p>
    <w:p w14:paraId="1AD9EB04" w14:textId="77777777" w:rsidR="000F5DDC" w:rsidRPr="00DB5E3D" w:rsidRDefault="00000000">
      <w:pPr>
        <w:spacing w:before="0" w:after="0" w:line="240" w:lineRule="auto"/>
        <w:ind w:left="1800"/>
        <w:jc w:val="left"/>
        <w:rPr>
          <w:sz w:val="28"/>
          <w:szCs w:val="28"/>
        </w:rPr>
      </w:pPr>
      <w:r w:rsidRPr="00DB5E3D">
        <w:rPr>
          <w:sz w:val="28"/>
          <w:szCs w:val="28"/>
        </w:rPr>
        <w:t xml:space="preserve">- </w:t>
      </w:r>
      <w:r w:rsidRPr="00DB5E3D">
        <w:rPr>
          <w:b/>
          <w:bCs/>
          <w:sz w:val="28"/>
          <w:szCs w:val="28"/>
        </w:rPr>
        <w:t xml:space="preserve">PGS.TS. Hà Hồng Hạnh</w:t>
      </w:r>
      <w:r w:rsidRPr="00DB5E3D">
        <w:rPr>
          <w:sz w:val="28"/>
          <w:szCs w:val="28"/>
        </w:rPr>
        <w:t xml:space="preserve"> - Trường Đại học Kinh tế Quốc dân</w:t>
      </w:r>
    </w:p>
    <w:p w14:paraId="3519C6C1" w14:textId="77777777" w:rsidR="005D3DB2" w:rsidRPr="00DB5E3D" w:rsidRDefault="00000000">
      <w:pPr>
        <w:spacing w:before="2000" w:after="0" w:line="240" w:lineRule="auto"/>
        <w:jc w:val="center"/>
        <w:rPr>
          <w:sz w:val="28"/>
          <w:szCs w:val="28"/>
        </w:rPr>
      </w:pPr>
      <w:r w:rsidRPr="00DB5E3D">
        <w:rPr>
          <w:b/>
          <w:bCs/>
          <w:sz w:val="28"/>
          <w:szCs w:val="28"/>
        </w:rPr>
        <w:t>HÀ NỘI – 2026</w:t>
      </w:r>
    </w:p>
    <w:p w14:paraId="38EAACD6" w14:textId="77777777" w:rsidR="005D3DB2" w:rsidRDefault="005D3DB2">
      <w:pPr>
        <w:sectPr w:rsidR="005D3DB2" w:rsidSect="00E7091C">
          <w:footerReference w:type="default" r:id="rId9"/>
          <w:pgSz w:w="11906" w:h="16838"/>
          <w:pgMar w:top="850" w:right="850" w:bottom="850" w:left="1134" w:header="567" w:footer="567" w:gutter="0"/>
          <w:pgBorders w:offsetFrom="text">
            <w:top w:val="thinThickSmallGap" w:sz="24" w:space="4" w:color="auto"/>
            <w:left w:val="thinThickSmallGap" w:sz="24" w:space="4" w:color="auto"/>
            <w:bottom w:val="thickThinSmallGap" w:sz="24" w:space="4" w:color="auto"/>
            <w:right w:val="thickThinSmallGap" w:sz="24" w:space="4" w:color="auto"/>
          </w:pgBorders>
          <w:cols w:space="720"/>
          <w:docGrid w:linePitch="360"/>
        </w:sectPr>
      </w:pPr>
    </w:p>
    <w:p w14:paraId="1DF5559A" w14:textId="77777777" w:rsidR="005D3DB2" w:rsidRDefault="00000000">
      <w:pPr>
        <w:pStyle w:val="CoverLine"/>
      </w:pPr>
      <w:r>
        <w:lastRenderedPageBreak/>
        <w:t>1. Tên đề cương nghiên cứu (không quá 30 từ): Hợp nhất sàn chứng khoán và chất lượng thị trường: Bằng chứng thực nghiệm từ HNX và vị thế tài chính Hà Nội</w:t>
      </w:r>
    </w:p>
    <w:p w14:paraId="67E1AFD6" w14:textId="77777777" w:rsidR="005D3DB2" w:rsidRDefault="00000000">
      <w:pPr>
        <w:pStyle w:val="CoverLine"/>
      </w:pPr>
      <w:r>
        <w:t xml:space="preserve">2. </w:t>
      </w:r>
      <w:r>
        <w:rPr>
          <w:b/>
          <w:bCs/>
        </w:rPr>
        <w:t>Người thực hiện:</w:t>
      </w:r>
      <w:r>
        <w:t xml:space="preserve"> Nguyễn Văn Trung</w:t>
      </w:r>
    </w:p>
    <w:p w14:paraId="58239C1A" w14:textId="77777777" w:rsidR="005D3DB2" w:rsidRDefault="00000000">
      <w:pPr>
        <w:pStyle w:val="CoverLine"/>
      </w:pPr>
      <w:r>
        <w:t xml:space="preserve">3. </w:t>
      </w:r>
      <w:r>
        <w:rPr>
          <w:b/>
          <w:bCs/>
        </w:rPr>
        <w:t>Đơn vị công tác:</w:t>
      </w:r>
    </w:p>
    <w:p w14:paraId="692878D8" w14:textId="77777777" w:rsidR="005D3DB2" w:rsidRDefault="00000000">
      <w:pPr>
        <w:spacing w:after="240"/>
        <w:jc w:val="center"/>
      </w:pPr>
      <w:r>
        <w:rPr>
          <w:b/>
          <w:bCs/>
        </w:rPr>
        <w:t>MỤC LỤC</w:t>
      </w:r>
    </w:p>
    <w:p w14:paraId="3FAE32B5" w14:textId="48FA9D9B" w:rsidR="005D397B" w:rsidRDefault="00000000">
      <w:pPr>
        <w:pStyle w:val="TOC1"/>
        <w:rPr>
          <w:rFonts w:asciiTheme="minorHAnsi" w:eastAsiaTheme="minorEastAsia" w:hAnsiTheme="minorHAnsi" w:cstheme="minorBidi"/>
          <w:b w:val="0"/>
          <w:noProof/>
          <w:kern w:val="2"/>
          <w:sz w:val="24"/>
          <w:szCs w:val="24"/>
          <w:lang w:val="en-US"/>
          <w14:ligatures w14:val="standardContextual"/>
        </w:rPr>
      </w:pPr>
      <w:r>
        <w:fldChar w:fldCharType="begin"/>
      </w:r>
      <w:r>
        <w:instrText xml:space="preserve"> TOC \o "1-3" \h \z \u </w:instrText>
      </w:r>
      <w:r>
        <w:fldChar w:fldCharType="separate"/>
      </w:r>
      <w:hyperlink w:anchor="_Toc243136571" w:history="1">
        <w:r w:rsidR="005D397B" w:rsidRPr="00D50DC6">
          <w:rPr>
            <w:rStyle w:val="Hyperlink"/>
            <w:noProof/>
          </w:rPr>
          <w:t>4. Đề cương sơ bộ dự kiến</w:t>
        </w:r>
        <w:r w:rsidR="005D397B">
          <w:rPr>
            <w:noProof/>
            <w:webHidden/>
          </w:rPr>
          <w:tab/>
        </w:r>
        <w:r w:rsidR="005D397B">
          <w:rPr>
            <w:noProof/>
            <w:webHidden/>
          </w:rPr>
          <w:fldChar w:fldCharType="begin"/>
        </w:r>
        <w:r w:rsidR="005D397B">
          <w:rPr>
            <w:noProof/>
            <w:webHidden/>
          </w:rPr>
          <w:instrText xml:space="preserve"> PAGEREF _Toc243136571 \h </w:instrText>
        </w:r>
        <w:r w:rsidR="005D397B">
          <w:rPr>
            <w:noProof/>
            <w:webHidden/>
          </w:rPr>
        </w:r>
        <w:r w:rsidR="005D397B">
          <w:rPr>
            <w:noProof/>
            <w:webHidden/>
          </w:rPr>
          <w:fldChar w:fldCharType="separate"/>
        </w:r>
        <w:r w:rsidR="00B667FA">
          <w:rPr>
            <w:noProof/>
            <w:webHidden/>
          </w:rPr>
          <w:t>1</w:t>
        </w:r>
        <w:r w:rsidR="005D397B">
          <w:rPr>
            <w:noProof/>
            <w:webHidden/>
          </w:rPr>
          <w:fldChar w:fldCharType="end"/>
        </w:r>
      </w:hyperlink>
    </w:p>
    <w:p w14:paraId="18DC3282" w14:textId="4624DFE0" w:rsidR="005D397B" w:rsidRDefault="005D397B">
      <w:pPr>
        <w:pStyle w:val="TOC2"/>
        <w:rPr>
          <w:rFonts w:asciiTheme="minorHAnsi" w:eastAsiaTheme="minorEastAsia" w:hAnsiTheme="minorHAnsi" w:cstheme="minorBidi"/>
          <w:noProof/>
          <w:kern w:val="2"/>
          <w:sz w:val="24"/>
          <w:szCs w:val="24"/>
          <w:lang w:val="en-US"/>
          <w14:ligatures w14:val="standardContextual"/>
        </w:rPr>
      </w:pPr>
      <w:hyperlink w:anchor="_Toc243136572" w:history="1">
        <w:r w:rsidRPr="00D50DC6">
          <w:rPr>
            <w:rStyle w:val="Hyperlink"/>
            <w:noProof/>
          </w:rPr>
          <w:t>4.1. Lý do chọn đề tài</w:t>
        </w:r>
        <w:r>
          <w:rPr>
            <w:noProof/>
            <w:webHidden/>
          </w:rPr>
          <w:tab/>
        </w:r>
        <w:r>
          <w:rPr>
            <w:noProof/>
            <w:webHidden/>
          </w:rPr>
          <w:fldChar w:fldCharType="begin"/>
        </w:r>
        <w:r>
          <w:rPr>
            <w:noProof/>
            <w:webHidden/>
          </w:rPr>
          <w:instrText xml:space="preserve"> PAGEREF _Toc243136572 \h </w:instrText>
        </w:r>
        <w:r>
          <w:rPr>
            <w:noProof/>
            <w:webHidden/>
          </w:rPr>
        </w:r>
        <w:r>
          <w:rPr>
            <w:noProof/>
            <w:webHidden/>
          </w:rPr>
          <w:fldChar w:fldCharType="separate"/>
        </w:r>
        <w:r w:rsidR="00B667FA">
          <w:rPr>
            <w:noProof/>
            <w:webHidden/>
          </w:rPr>
          <w:t>1</w:t>
        </w:r>
        <w:r>
          <w:rPr>
            <w:noProof/>
            <w:webHidden/>
          </w:rPr>
          <w:fldChar w:fldCharType="end"/>
        </w:r>
      </w:hyperlink>
    </w:p>
    <w:p w14:paraId="528A5627" w14:textId="0BFF7EEE" w:rsidR="005D397B" w:rsidRDefault="005D397B">
      <w:pPr>
        <w:pStyle w:val="TOC2"/>
        <w:rPr>
          <w:rFonts w:asciiTheme="minorHAnsi" w:eastAsiaTheme="minorEastAsia" w:hAnsiTheme="minorHAnsi" w:cstheme="minorBidi"/>
          <w:noProof/>
          <w:kern w:val="2"/>
          <w:sz w:val="24"/>
          <w:szCs w:val="24"/>
          <w:lang w:val="en-US"/>
          <w14:ligatures w14:val="standardContextual"/>
        </w:rPr>
      </w:pPr>
      <w:hyperlink w:anchor="_Toc243136573" w:history="1">
        <w:r w:rsidRPr="00D50DC6">
          <w:rPr>
            <w:rStyle w:val="Hyperlink"/>
            <w:noProof/>
          </w:rPr>
          <w:t>4.2. Tổng quan những tài liệu liên quan đến tình hình nghiên cứu</w:t>
        </w:r>
        <w:r>
          <w:rPr>
            <w:noProof/>
            <w:webHidden/>
          </w:rPr>
          <w:tab/>
        </w:r>
        <w:r>
          <w:rPr>
            <w:noProof/>
            <w:webHidden/>
          </w:rPr>
          <w:fldChar w:fldCharType="begin"/>
        </w:r>
        <w:r>
          <w:rPr>
            <w:noProof/>
            <w:webHidden/>
          </w:rPr>
          <w:instrText xml:space="preserve"> PAGEREF _Toc243136573 \h </w:instrText>
        </w:r>
        <w:r>
          <w:rPr>
            <w:noProof/>
            <w:webHidden/>
          </w:rPr>
        </w:r>
        <w:r>
          <w:rPr>
            <w:noProof/>
            <w:webHidden/>
          </w:rPr>
          <w:fldChar w:fldCharType="separate"/>
        </w:r>
        <w:r w:rsidR="00B667FA">
          <w:rPr>
            <w:noProof/>
            <w:webHidden/>
          </w:rPr>
          <w:t>4</w:t>
        </w:r>
        <w:r>
          <w:rPr>
            <w:noProof/>
            <w:webHidden/>
          </w:rPr>
          <w:fldChar w:fldCharType="end"/>
        </w:r>
      </w:hyperlink>
    </w:p>
    <w:p w14:paraId="20180776" w14:textId="3980A538" w:rsidR="005D397B" w:rsidRDefault="005D397B">
      <w:pPr>
        <w:pStyle w:val="TOC2"/>
        <w:rPr>
          <w:rFonts w:asciiTheme="minorHAnsi" w:eastAsiaTheme="minorEastAsia" w:hAnsiTheme="minorHAnsi" w:cstheme="minorBidi"/>
          <w:noProof/>
          <w:kern w:val="2"/>
          <w:sz w:val="24"/>
          <w:szCs w:val="24"/>
          <w:lang w:val="en-US"/>
          <w14:ligatures w14:val="standardContextual"/>
        </w:rPr>
      </w:pPr>
      <w:hyperlink w:anchor="_Toc243136574" w:history="1">
        <w:r w:rsidRPr="00D50DC6">
          <w:rPr>
            <w:rStyle w:val="Hyperlink"/>
            <w:noProof/>
          </w:rPr>
          <w:t>4.3. Phương pháp nghiên cứu / Mô hình lý thuyết</w:t>
        </w:r>
        <w:r>
          <w:rPr>
            <w:noProof/>
            <w:webHidden/>
          </w:rPr>
          <w:tab/>
        </w:r>
        <w:r>
          <w:rPr>
            <w:noProof/>
            <w:webHidden/>
          </w:rPr>
          <w:fldChar w:fldCharType="begin"/>
        </w:r>
        <w:r>
          <w:rPr>
            <w:noProof/>
            <w:webHidden/>
          </w:rPr>
          <w:instrText xml:space="preserve"> PAGEREF _Toc243136574 \h </w:instrText>
        </w:r>
        <w:r>
          <w:rPr>
            <w:noProof/>
            <w:webHidden/>
          </w:rPr>
        </w:r>
        <w:r>
          <w:rPr>
            <w:noProof/>
            <w:webHidden/>
          </w:rPr>
          <w:fldChar w:fldCharType="separate"/>
        </w:r>
        <w:r w:rsidR="00B667FA">
          <w:rPr>
            <w:noProof/>
            <w:webHidden/>
          </w:rPr>
          <w:t>7</w:t>
        </w:r>
        <w:r>
          <w:rPr>
            <w:noProof/>
            <w:webHidden/>
          </w:rPr>
          <w:fldChar w:fldCharType="end"/>
        </w:r>
      </w:hyperlink>
    </w:p>
    <w:p w14:paraId="54E305EB" w14:textId="5302F90F" w:rsidR="005D397B" w:rsidRDefault="005D397B">
      <w:pPr>
        <w:pStyle w:val="TOC3"/>
        <w:rPr>
          <w:rFonts w:asciiTheme="minorHAnsi" w:eastAsiaTheme="minorEastAsia" w:hAnsiTheme="minorHAnsi" w:cstheme="minorBidi"/>
          <w:i w:val="0"/>
          <w:noProof/>
          <w:kern w:val="2"/>
          <w:sz w:val="24"/>
          <w:szCs w:val="24"/>
          <w:lang w:val="en-US"/>
          <w14:ligatures w14:val="standardContextual"/>
        </w:rPr>
      </w:pPr>
      <w:hyperlink w:anchor="_Toc243136575" w:history="1">
        <w:r w:rsidRPr="00D50DC6">
          <w:rPr>
            <w:rStyle w:val="Hyperlink"/>
            <w:noProof/>
          </w:rPr>
          <w:t>4.3.1. Khung lý thuyết</w:t>
        </w:r>
        <w:r>
          <w:rPr>
            <w:noProof/>
            <w:webHidden/>
          </w:rPr>
          <w:tab/>
        </w:r>
        <w:r>
          <w:rPr>
            <w:noProof/>
            <w:webHidden/>
          </w:rPr>
          <w:fldChar w:fldCharType="begin"/>
        </w:r>
        <w:r>
          <w:rPr>
            <w:noProof/>
            <w:webHidden/>
          </w:rPr>
          <w:instrText xml:space="preserve"> PAGEREF _Toc243136575 \h </w:instrText>
        </w:r>
        <w:r>
          <w:rPr>
            <w:noProof/>
            <w:webHidden/>
          </w:rPr>
        </w:r>
        <w:r>
          <w:rPr>
            <w:noProof/>
            <w:webHidden/>
          </w:rPr>
          <w:fldChar w:fldCharType="separate"/>
        </w:r>
        <w:r w:rsidR="00B667FA">
          <w:rPr>
            <w:noProof/>
            <w:webHidden/>
          </w:rPr>
          <w:t>7</w:t>
        </w:r>
        <w:r>
          <w:rPr>
            <w:noProof/>
            <w:webHidden/>
          </w:rPr>
          <w:fldChar w:fldCharType="end"/>
        </w:r>
      </w:hyperlink>
    </w:p>
    <w:p w14:paraId="2466F039" w14:textId="51DC50EB" w:rsidR="005D397B" w:rsidRDefault="005D397B">
      <w:pPr>
        <w:pStyle w:val="TOC3"/>
        <w:rPr>
          <w:rFonts w:asciiTheme="minorHAnsi" w:eastAsiaTheme="minorEastAsia" w:hAnsiTheme="minorHAnsi" w:cstheme="minorBidi"/>
          <w:i w:val="0"/>
          <w:noProof/>
          <w:kern w:val="2"/>
          <w:sz w:val="24"/>
          <w:szCs w:val="24"/>
          <w:lang w:val="en-US"/>
          <w14:ligatures w14:val="standardContextual"/>
        </w:rPr>
      </w:pPr>
      <w:hyperlink w:anchor="_Toc243136576" w:history="1">
        <w:r w:rsidRPr="00D50DC6">
          <w:rPr>
            <w:rStyle w:val="Hyperlink"/>
            <w:noProof/>
          </w:rPr>
          <w:t>4.3.2. Mô hình nghiên cứu và giả thuyết</w:t>
        </w:r>
        <w:r>
          <w:rPr>
            <w:noProof/>
            <w:webHidden/>
          </w:rPr>
          <w:tab/>
        </w:r>
        <w:r>
          <w:rPr>
            <w:noProof/>
            <w:webHidden/>
          </w:rPr>
          <w:fldChar w:fldCharType="begin"/>
        </w:r>
        <w:r>
          <w:rPr>
            <w:noProof/>
            <w:webHidden/>
          </w:rPr>
          <w:instrText xml:space="preserve"> PAGEREF _Toc243136576 \h </w:instrText>
        </w:r>
        <w:r>
          <w:rPr>
            <w:noProof/>
            <w:webHidden/>
          </w:rPr>
        </w:r>
        <w:r>
          <w:rPr>
            <w:noProof/>
            <w:webHidden/>
          </w:rPr>
          <w:fldChar w:fldCharType="separate"/>
        </w:r>
        <w:r w:rsidR="00B667FA">
          <w:rPr>
            <w:noProof/>
            <w:webHidden/>
          </w:rPr>
          <w:t>8</w:t>
        </w:r>
        <w:r>
          <w:rPr>
            <w:noProof/>
            <w:webHidden/>
          </w:rPr>
          <w:fldChar w:fldCharType="end"/>
        </w:r>
      </w:hyperlink>
    </w:p>
    <w:p w14:paraId="1C1A8B1C" w14:textId="3C805641" w:rsidR="005D397B" w:rsidRDefault="005D397B">
      <w:pPr>
        <w:pStyle w:val="TOC3"/>
        <w:rPr>
          <w:rFonts w:asciiTheme="minorHAnsi" w:eastAsiaTheme="minorEastAsia" w:hAnsiTheme="minorHAnsi" w:cstheme="minorBidi"/>
          <w:i w:val="0"/>
          <w:noProof/>
          <w:kern w:val="2"/>
          <w:sz w:val="24"/>
          <w:szCs w:val="24"/>
          <w:lang w:val="en-US"/>
          <w14:ligatures w14:val="standardContextual"/>
        </w:rPr>
      </w:pPr>
      <w:hyperlink w:anchor="_Toc243136577" w:history="1">
        <w:r w:rsidRPr="00D50DC6">
          <w:rPr>
            <w:rStyle w:val="Hyperlink"/>
            <w:noProof/>
          </w:rPr>
          <w:t>4.3.3. Dữ liệu</w:t>
        </w:r>
        <w:r>
          <w:rPr>
            <w:noProof/>
            <w:webHidden/>
          </w:rPr>
          <w:tab/>
        </w:r>
        <w:r>
          <w:rPr>
            <w:noProof/>
            <w:webHidden/>
          </w:rPr>
          <w:fldChar w:fldCharType="begin"/>
        </w:r>
        <w:r>
          <w:rPr>
            <w:noProof/>
            <w:webHidden/>
          </w:rPr>
          <w:instrText xml:space="preserve"> PAGEREF _Toc243136577 \h </w:instrText>
        </w:r>
        <w:r>
          <w:rPr>
            <w:noProof/>
            <w:webHidden/>
          </w:rPr>
        </w:r>
        <w:r>
          <w:rPr>
            <w:noProof/>
            <w:webHidden/>
          </w:rPr>
          <w:fldChar w:fldCharType="separate"/>
        </w:r>
        <w:r w:rsidR="00B667FA">
          <w:rPr>
            <w:noProof/>
            <w:webHidden/>
          </w:rPr>
          <w:t>11</w:t>
        </w:r>
        <w:r>
          <w:rPr>
            <w:noProof/>
            <w:webHidden/>
          </w:rPr>
          <w:fldChar w:fldCharType="end"/>
        </w:r>
      </w:hyperlink>
    </w:p>
    <w:p w14:paraId="415760D4" w14:textId="3515EACD" w:rsidR="005D397B" w:rsidRDefault="005D397B">
      <w:pPr>
        <w:pStyle w:val="TOC3"/>
        <w:rPr>
          <w:rFonts w:asciiTheme="minorHAnsi" w:eastAsiaTheme="minorEastAsia" w:hAnsiTheme="minorHAnsi" w:cstheme="minorBidi"/>
          <w:i w:val="0"/>
          <w:noProof/>
          <w:kern w:val="2"/>
          <w:sz w:val="24"/>
          <w:szCs w:val="24"/>
          <w:lang w:val="en-US"/>
          <w14:ligatures w14:val="standardContextual"/>
        </w:rPr>
      </w:pPr>
      <w:hyperlink w:anchor="_Toc243136578" w:history="1">
        <w:r w:rsidRPr="00D50DC6">
          <w:rPr>
            <w:rStyle w:val="Hyperlink"/>
            <w:noProof/>
          </w:rPr>
          <w:t>4.3.4. Chỉ số chất lượng thị trường vốn</w:t>
        </w:r>
        <w:r>
          <w:rPr>
            <w:noProof/>
            <w:webHidden/>
          </w:rPr>
          <w:tab/>
        </w:r>
        <w:r>
          <w:rPr>
            <w:noProof/>
            <w:webHidden/>
          </w:rPr>
          <w:fldChar w:fldCharType="begin"/>
        </w:r>
        <w:r>
          <w:rPr>
            <w:noProof/>
            <w:webHidden/>
          </w:rPr>
          <w:instrText xml:space="preserve"> PAGEREF _Toc243136578 \h </w:instrText>
        </w:r>
        <w:r>
          <w:rPr>
            <w:noProof/>
            <w:webHidden/>
          </w:rPr>
        </w:r>
        <w:r>
          <w:rPr>
            <w:noProof/>
            <w:webHidden/>
          </w:rPr>
          <w:fldChar w:fldCharType="separate"/>
        </w:r>
        <w:r w:rsidR="00B667FA">
          <w:rPr>
            <w:noProof/>
            <w:webHidden/>
          </w:rPr>
          <w:t>11</w:t>
        </w:r>
        <w:r>
          <w:rPr>
            <w:noProof/>
            <w:webHidden/>
          </w:rPr>
          <w:fldChar w:fldCharType="end"/>
        </w:r>
      </w:hyperlink>
    </w:p>
    <w:p w14:paraId="502A6C92" w14:textId="5F3FC465" w:rsidR="005D397B" w:rsidRDefault="005D397B">
      <w:pPr>
        <w:pStyle w:val="TOC3"/>
        <w:rPr>
          <w:rFonts w:asciiTheme="minorHAnsi" w:eastAsiaTheme="minorEastAsia" w:hAnsiTheme="minorHAnsi" w:cstheme="minorBidi"/>
          <w:i w:val="0"/>
          <w:noProof/>
          <w:kern w:val="2"/>
          <w:sz w:val="24"/>
          <w:szCs w:val="24"/>
          <w:lang w:val="en-US"/>
          <w14:ligatures w14:val="standardContextual"/>
        </w:rPr>
      </w:pPr>
      <w:hyperlink w:anchor="_Toc243136579" w:history="1">
        <w:r w:rsidRPr="00D50DC6">
          <w:rPr>
            <w:rStyle w:val="Hyperlink"/>
            <w:noProof/>
          </w:rPr>
          <w:t>4.3.5. Mô hình phân bổ dùng làm công cụ đo và đăng ký trước</w:t>
        </w:r>
        <w:r>
          <w:rPr>
            <w:noProof/>
            <w:webHidden/>
          </w:rPr>
          <w:tab/>
        </w:r>
        <w:r>
          <w:rPr>
            <w:noProof/>
            <w:webHidden/>
          </w:rPr>
          <w:fldChar w:fldCharType="begin"/>
        </w:r>
        <w:r>
          <w:rPr>
            <w:noProof/>
            <w:webHidden/>
          </w:rPr>
          <w:instrText xml:space="preserve"> PAGEREF _Toc243136579 \h </w:instrText>
        </w:r>
        <w:r>
          <w:rPr>
            <w:noProof/>
            <w:webHidden/>
          </w:rPr>
        </w:r>
        <w:r>
          <w:rPr>
            <w:noProof/>
            <w:webHidden/>
          </w:rPr>
          <w:fldChar w:fldCharType="separate"/>
        </w:r>
        <w:r w:rsidR="00B667FA">
          <w:rPr>
            <w:noProof/>
            <w:webHidden/>
          </w:rPr>
          <w:t>12</w:t>
        </w:r>
        <w:r>
          <w:rPr>
            <w:noProof/>
            <w:webHidden/>
          </w:rPr>
          <w:fldChar w:fldCharType="end"/>
        </w:r>
      </w:hyperlink>
    </w:p>
    <w:p w14:paraId="069408CA" w14:textId="35D7534D" w:rsidR="005D397B" w:rsidRDefault="005D397B">
      <w:pPr>
        <w:pStyle w:val="TOC3"/>
        <w:rPr>
          <w:rFonts w:asciiTheme="minorHAnsi" w:eastAsiaTheme="minorEastAsia" w:hAnsiTheme="minorHAnsi" w:cstheme="minorBidi"/>
          <w:i w:val="0"/>
          <w:noProof/>
          <w:kern w:val="2"/>
          <w:sz w:val="24"/>
          <w:szCs w:val="24"/>
          <w:lang w:val="en-US"/>
          <w14:ligatures w14:val="standardContextual"/>
        </w:rPr>
      </w:pPr>
      <w:hyperlink w:anchor="_Toc243136580" w:history="1">
        <w:r w:rsidRPr="00D50DC6">
          <w:rPr>
            <w:rStyle w:val="Hyperlink"/>
            <w:noProof/>
          </w:rPr>
          <w:t>4.3.6. Chỉ số khả năng đầu tư</w:t>
        </w:r>
        <w:r>
          <w:rPr>
            <w:noProof/>
            <w:webHidden/>
          </w:rPr>
          <w:tab/>
        </w:r>
        <w:r>
          <w:rPr>
            <w:noProof/>
            <w:webHidden/>
          </w:rPr>
          <w:fldChar w:fldCharType="begin"/>
        </w:r>
        <w:r>
          <w:rPr>
            <w:noProof/>
            <w:webHidden/>
          </w:rPr>
          <w:instrText xml:space="preserve"> PAGEREF _Toc243136580 \h </w:instrText>
        </w:r>
        <w:r>
          <w:rPr>
            <w:noProof/>
            <w:webHidden/>
          </w:rPr>
        </w:r>
        <w:r>
          <w:rPr>
            <w:noProof/>
            <w:webHidden/>
          </w:rPr>
          <w:fldChar w:fldCharType="separate"/>
        </w:r>
        <w:r w:rsidR="00B667FA">
          <w:rPr>
            <w:noProof/>
            <w:webHidden/>
          </w:rPr>
          <w:t>14</w:t>
        </w:r>
        <w:r>
          <w:rPr>
            <w:noProof/>
            <w:webHidden/>
          </w:rPr>
          <w:fldChar w:fldCharType="end"/>
        </w:r>
      </w:hyperlink>
    </w:p>
    <w:p w14:paraId="7821E880" w14:textId="3C64A6FF" w:rsidR="005D397B" w:rsidRDefault="005D397B">
      <w:pPr>
        <w:pStyle w:val="TOC3"/>
        <w:rPr>
          <w:rFonts w:asciiTheme="minorHAnsi" w:eastAsiaTheme="minorEastAsia" w:hAnsiTheme="minorHAnsi" w:cstheme="minorBidi"/>
          <w:i w:val="0"/>
          <w:noProof/>
          <w:kern w:val="2"/>
          <w:sz w:val="24"/>
          <w:szCs w:val="24"/>
          <w:lang w:val="en-US"/>
          <w14:ligatures w14:val="standardContextual"/>
        </w:rPr>
      </w:pPr>
      <w:hyperlink w:anchor="_Toc243136581" w:history="1">
        <w:r w:rsidRPr="00D50DC6">
          <w:rPr>
            <w:rStyle w:val="Hyperlink"/>
            <w:noProof/>
          </w:rPr>
          <w:t>4.3.7. Kiểm định giả thuyết</w:t>
        </w:r>
        <w:r>
          <w:rPr>
            <w:noProof/>
            <w:webHidden/>
          </w:rPr>
          <w:tab/>
        </w:r>
        <w:r>
          <w:rPr>
            <w:noProof/>
            <w:webHidden/>
          </w:rPr>
          <w:fldChar w:fldCharType="begin"/>
        </w:r>
        <w:r>
          <w:rPr>
            <w:noProof/>
            <w:webHidden/>
          </w:rPr>
          <w:instrText xml:space="preserve"> PAGEREF _Toc243136581 \h </w:instrText>
        </w:r>
        <w:r>
          <w:rPr>
            <w:noProof/>
            <w:webHidden/>
          </w:rPr>
        </w:r>
        <w:r>
          <w:rPr>
            <w:noProof/>
            <w:webHidden/>
          </w:rPr>
          <w:fldChar w:fldCharType="separate"/>
        </w:r>
        <w:r w:rsidR="00B667FA">
          <w:rPr>
            <w:noProof/>
            <w:webHidden/>
          </w:rPr>
          <w:t>15</w:t>
        </w:r>
        <w:r>
          <w:rPr>
            <w:noProof/>
            <w:webHidden/>
          </w:rPr>
          <w:fldChar w:fldCharType="end"/>
        </w:r>
      </w:hyperlink>
    </w:p>
    <w:p w14:paraId="47E15C67" w14:textId="215EA580" w:rsidR="005D397B" w:rsidRDefault="005D397B">
      <w:pPr>
        <w:pStyle w:val="TOC3"/>
        <w:rPr>
          <w:rFonts w:asciiTheme="minorHAnsi" w:eastAsiaTheme="minorEastAsia" w:hAnsiTheme="minorHAnsi" w:cstheme="minorBidi"/>
          <w:i w:val="0"/>
          <w:noProof/>
          <w:kern w:val="2"/>
          <w:sz w:val="24"/>
          <w:szCs w:val="24"/>
          <w:lang w:val="en-US"/>
          <w14:ligatures w14:val="standardContextual"/>
        </w:rPr>
      </w:pPr>
      <w:hyperlink w:anchor="_Toc243136582" w:history="1">
        <w:r w:rsidRPr="00D50DC6">
          <w:rPr>
            <w:rStyle w:val="Hyperlink"/>
            <w:noProof/>
          </w:rPr>
          <w:t>4.3.8. Thiết kế khác biệt kép quanh ngày chuyển sàn</w:t>
        </w:r>
        <w:r>
          <w:rPr>
            <w:noProof/>
            <w:webHidden/>
          </w:rPr>
          <w:tab/>
        </w:r>
        <w:r>
          <w:rPr>
            <w:noProof/>
            <w:webHidden/>
          </w:rPr>
          <w:fldChar w:fldCharType="begin"/>
        </w:r>
        <w:r>
          <w:rPr>
            <w:noProof/>
            <w:webHidden/>
          </w:rPr>
          <w:instrText xml:space="preserve"> PAGEREF _Toc243136582 \h </w:instrText>
        </w:r>
        <w:r>
          <w:rPr>
            <w:noProof/>
            <w:webHidden/>
          </w:rPr>
        </w:r>
        <w:r>
          <w:rPr>
            <w:noProof/>
            <w:webHidden/>
          </w:rPr>
          <w:fldChar w:fldCharType="separate"/>
        </w:r>
        <w:r w:rsidR="00B667FA">
          <w:rPr>
            <w:noProof/>
            <w:webHidden/>
          </w:rPr>
          <w:t>19</w:t>
        </w:r>
        <w:r>
          <w:rPr>
            <w:noProof/>
            <w:webHidden/>
          </w:rPr>
          <w:fldChar w:fldCharType="end"/>
        </w:r>
      </w:hyperlink>
    </w:p>
    <w:p w14:paraId="2BA2B675" w14:textId="601C892E" w:rsidR="005D397B" w:rsidRDefault="005D397B">
      <w:pPr>
        <w:pStyle w:val="TOC3"/>
        <w:rPr>
          <w:rFonts w:asciiTheme="minorHAnsi" w:eastAsiaTheme="minorEastAsia" w:hAnsiTheme="minorHAnsi" w:cstheme="minorBidi"/>
          <w:i w:val="0"/>
          <w:noProof/>
          <w:kern w:val="2"/>
          <w:sz w:val="24"/>
          <w:szCs w:val="24"/>
          <w:lang w:val="en-US"/>
          <w14:ligatures w14:val="standardContextual"/>
        </w:rPr>
      </w:pPr>
      <w:hyperlink w:anchor="_Toc243136583" w:history="1">
        <w:r w:rsidRPr="00D50DC6">
          <w:rPr>
            <w:rStyle w:val="Hyperlink"/>
            <w:noProof/>
          </w:rPr>
          <w:t>4.3.9. Quy trình nghiên cứu</w:t>
        </w:r>
        <w:r>
          <w:rPr>
            <w:noProof/>
            <w:webHidden/>
          </w:rPr>
          <w:tab/>
        </w:r>
        <w:r>
          <w:rPr>
            <w:noProof/>
            <w:webHidden/>
          </w:rPr>
          <w:fldChar w:fldCharType="begin"/>
        </w:r>
        <w:r>
          <w:rPr>
            <w:noProof/>
            <w:webHidden/>
          </w:rPr>
          <w:instrText xml:space="preserve"> PAGEREF _Toc243136583 \h </w:instrText>
        </w:r>
        <w:r>
          <w:rPr>
            <w:noProof/>
            <w:webHidden/>
          </w:rPr>
        </w:r>
        <w:r>
          <w:rPr>
            <w:noProof/>
            <w:webHidden/>
          </w:rPr>
          <w:fldChar w:fldCharType="separate"/>
        </w:r>
        <w:r w:rsidR="00B667FA">
          <w:rPr>
            <w:noProof/>
            <w:webHidden/>
          </w:rPr>
          <w:t>20</w:t>
        </w:r>
        <w:r>
          <w:rPr>
            <w:noProof/>
            <w:webHidden/>
          </w:rPr>
          <w:fldChar w:fldCharType="end"/>
        </w:r>
      </w:hyperlink>
    </w:p>
    <w:p w14:paraId="1C3E7495" w14:textId="1F843916" w:rsidR="005D397B" w:rsidRDefault="005D397B">
      <w:pPr>
        <w:pStyle w:val="TOC3"/>
        <w:rPr>
          <w:rFonts w:asciiTheme="minorHAnsi" w:eastAsiaTheme="minorEastAsia" w:hAnsiTheme="minorHAnsi" w:cstheme="minorBidi"/>
          <w:i w:val="0"/>
          <w:noProof/>
          <w:kern w:val="2"/>
          <w:sz w:val="24"/>
          <w:szCs w:val="24"/>
          <w:lang w:val="en-US"/>
          <w14:ligatures w14:val="standardContextual"/>
        </w:rPr>
      </w:pPr>
      <w:hyperlink w:anchor="_Toc243136584" w:history="1">
        <w:r w:rsidRPr="00D50DC6">
          <w:rPr>
            <w:rStyle w:val="Hyperlink"/>
            <w:noProof/>
          </w:rPr>
          <w:t>4.3.10. Độ tin cậy, giới hạn và khả năng thực hiện</w:t>
        </w:r>
        <w:r>
          <w:rPr>
            <w:noProof/>
            <w:webHidden/>
          </w:rPr>
          <w:tab/>
        </w:r>
        <w:r>
          <w:rPr>
            <w:noProof/>
            <w:webHidden/>
          </w:rPr>
          <w:fldChar w:fldCharType="begin"/>
        </w:r>
        <w:r>
          <w:rPr>
            <w:noProof/>
            <w:webHidden/>
          </w:rPr>
          <w:instrText xml:space="preserve"> PAGEREF _Toc243136584 \h </w:instrText>
        </w:r>
        <w:r>
          <w:rPr>
            <w:noProof/>
            <w:webHidden/>
          </w:rPr>
        </w:r>
        <w:r>
          <w:rPr>
            <w:noProof/>
            <w:webHidden/>
          </w:rPr>
          <w:fldChar w:fldCharType="separate"/>
        </w:r>
        <w:r w:rsidR="00B667FA">
          <w:rPr>
            <w:noProof/>
            <w:webHidden/>
          </w:rPr>
          <w:t>21</w:t>
        </w:r>
        <w:r>
          <w:rPr>
            <w:noProof/>
            <w:webHidden/>
          </w:rPr>
          <w:fldChar w:fldCharType="end"/>
        </w:r>
      </w:hyperlink>
    </w:p>
    <w:p w14:paraId="230B35F2" w14:textId="33D0AFB7" w:rsidR="005D397B" w:rsidRDefault="005D397B">
      <w:pPr>
        <w:pStyle w:val="TOC2"/>
        <w:rPr>
          <w:rFonts w:asciiTheme="minorHAnsi" w:eastAsiaTheme="minorEastAsia" w:hAnsiTheme="minorHAnsi" w:cstheme="minorBidi"/>
          <w:noProof/>
          <w:kern w:val="2"/>
          <w:sz w:val="24"/>
          <w:szCs w:val="24"/>
          <w:lang w:val="en-US"/>
          <w14:ligatures w14:val="standardContextual"/>
        </w:rPr>
      </w:pPr>
      <w:hyperlink w:anchor="_Toc243136585" w:history="1">
        <w:r w:rsidRPr="00D50DC6">
          <w:rPr>
            <w:rStyle w:val="Hyperlink"/>
            <w:noProof/>
          </w:rPr>
          <w:t>4.4. Đối tượng và phạm vi nghiên cứu</w:t>
        </w:r>
        <w:r>
          <w:rPr>
            <w:noProof/>
            <w:webHidden/>
          </w:rPr>
          <w:tab/>
        </w:r>
        <w:r>
          <w:rPr>
            <w:noProof/>
            <w:webHidden/>
          </w:rPr>
          <w:fldChar w:fldCharType="begin"/>
        </w:r>
        <w:r>
          <w:rPr>
            <w:noProof/>
            <w:webHidden/>
          </w:rPr>
          <w:instrText xml:space="preserve"> PAGEREF _Toc243136585 \h </w:instrText>
        </w:r>
        <w:r>
          <w:rPr>
            <w:noProof/>
            <w:webHidden/>
          </w:rPr>
        </w:r>
        <w:r>
          <w:rPr>
            <w:noProof/>
            <w:webHidden/>
          </w:rPr>
          <w:fldChar w:fldCharType="separate"/>
        </w:r>
        <w:r w:rsidR="00B667FA">
          <w:rPr>
            <w:noProof/>
            <w:webHidden/>
          </w:rPr>
          <w:t>23</w:t>
        </w:r>
        <w:r>
          <w:rPr>
            <w:noProof/>
            <w:webHidden/>
          </w:rPr>
          <w:fldChar w:fldCharType="end"/>
        </w:r>
      </w:hyperlink>
    </w:p>
    <w:p w14:paraId="00215923" w14:textId="42704461" w:rsidR="005D397B" w:rsidRDefault="005D397B">
      <w:pPr>
        <w:pStyle w:val="TOC2"/>
        <w:rPr>
          <w:rFonts w:asciiTheme="minorHAnsi" w:eastAsiaTheme="minorEastAsia" w:hAnsiTheme="minorHAnsi" w:cstheme="minorBidi"/>
          <w:noProof/>
          <w:kern w:val="2"/>
          <w:sz w:val="24"/>
          <w:szCs w:val="24"/>
          <w:lang w:val="en-US"/>
          <w14:ligatures w14:val="standardContextual"/>
        </w:rPr>
      </w:pPr>
      <w:hyperlink w:anchor="_Toc243136586" w:history="1">
        <w:r w:rsidRPr="00D50DC6">
          <w:rPr>
            <w:rStyle w:val="Hyperlink"/>
            <w:noProof/>
          </w:rPr>
          <w:t>4.5. Dự kiến bố cục các chương</w:t>
        </w:r>
        <w:r>
          <w:rPr>
            <w:noProof/>
            <w:webHidden/>
          </w:rPr>
          <w:tab/>
        </w:r>
        <w:r>
          <w:rPr>
            <w:noProof/>
            <w:webHidden/>
          </w:rPr>
          <w:fldChar w:fldCharType="begin"/>
        </w:r>
        <w:r>
          <w:rPr>
            <w:noProof/>
            <w:webHidden/>
          </w:rPr>
          <w:instrText xml:space="preserve"> PAGEREF _Toc243136586 \h </w:instrText>
        </w:r>
        <w:r>
          <w:rPr>
            <w:noProof/>
            <w:webHidden/>
          </w:rPr>
        </w:r>
        <w:r>
          <w:rPr>
            <w:noProof/>
            <w:webHidden/>
          </w:rPr>
          <w:fldChar w:fldCharType="separate"/>
        </w:r>
        <w:r w:rsidR="00B667FA">
          <w:rPr>
            <w:noProof/>
            <w:webHidden/>
          </w:rPr>
          <w:t>24</w:t>
        </w:r>
        <w:r>
          <w:rPr>
            <w:noProof/>
            <w:webHidden/>
          </w:rPr>
          <w:fldChar w:fldCharType="end"/>
        </w:r>
      </w:hyperlink>
    </w:p>
    <w:p w14:paraId="1A654D7D" w14:textId="4A5C4AFA" w:rsidR="005D397B" w:rsidRDefault="005D397B">
      <w:pPr>
        <w:pStyle w:val="TOC1"/>
        <w:rPr>
          <w:rFonts w:asciiTheme="minorHAnsi" w:eastAsiaTheme="minorEastAsia" w:hAnsiTheme="minorHAnsi" w:cstheme="minorBidi"/>
          <w:b w:val="0"/>
          <w:noProof/>
          <w:kern w:val="2"/>
          <w:sz w:val="24"/>
          <w:szCs w:val="24"/>
          <w:lang w:val="en-US"/>
          <w14:ligatures w14:val="standardContextual"/>
        </w:rPr>
      </w:pPr>
      <w:hyperlink w:anchor="_Toc243136587" w:history="1">
        <w:r w:rsidRPr="00D50DC6">
          <w:rPr>
            <w:rStyle w:val="Hyperlink"/>
            <w:noProof/>
          </w:rPr>
          <w:t>5. Lý do chọn cơ sở nghiên cứu</w:t>
        </w:r>
        <w:r>
          <w:rPr>
            <w:noProof/>
            <w:webHidden/>
          </w:rPr>
          <w:tab/>
        </w:r>
        <w:r>
          <w:rPr>
            <w:noProof/>
            <w:webHidden/>
          </w:rPr>
          <w:fldChar w:fldCharType="begin"/>
        </w:r>
        <w:r>
          <w:rPr>
            <w:noProof/>
            <w:webHidden/>
          </w:rPr>
          <w:instrText xml:space="preserve"> PAGEREF _Toc243136587 \h </w:instrText>
        </w:r>
        <w:r>
          <w:rPr>
            <w:noProof/>
            <w:webHidden/>
          </w:rPr>
        </w:r>
        <w:r>
          <w:rPr>
            <w:noProof/>
            <w:webHidden/>
          </w:rPr>
          <w:fldChar w:fldCharType="separate"/>
        </w:r>
        <w:r w:rsidR="00B667FA">
          <w:rPr>
            <w:noProof/>
            <w:webHidden/>
          </w:rPr>
          <w:t>25</w:t>
        </w:r>
        <w:r>
          <w:rPr>
            <w:noProof/>
            <w:webHidden/>
          </w:rPr>
          <w:fldChar w:fldCharType="end"/>
        </w:r>
      </w:hyperlink>
    </w:p>
    <w:p w14:paraId="3B5A699C" w14:textId="2E121E54" w:rsidR="005D397B" w:rsidRDefault="005D397B">
      <w:pPr>
        <w:pStyle w:val="TOC1"/>
        <w:rPr>
          <w:rFonts w:asciiTheme="minorHAnsi" w:eastAsiaTheme="minorEastAsia" w:hAnsiTheme="minorHAnsi" w:cstheme="minorBidi"/>
          <w:b w:val="0"/>
          <w:noProof/>
          <w:kern w:val="2"/>
          <w:sz w:val="24"/>
          <w:szCs w:val="24"/>
          <w:lang w:val="en-US"/>
          <w14:ligatures w14:val="standardContextual"/>
        </w:rPr>
      </w:pPr>
      <w:hyperlink w:anchor="_Toc243136588" w:history="1">
        <w:r w:rsidRPr="00D50DC6">
          <w:rPr>
            <w:rStyle w:val="Hyperlink"/>
            <w:noProof/>
          </w:rPr>
          <w:t>6. Mục tiêu và mong muốn đạt được khi đăng ký đi học nghiên cứu sinh</w:t>
        </w:r>
        <w:r>
          <w:rPr>
            <w:noProof/>
            <w:webHidden/>
          </w:rPr>
          <w:tab/>
        </w:r>
        <w:r>
          <w:rPr>
            <w:noProof/>
            <w:webHidden/>
          </w:rPr>
          <w:fldChar w:fldCharType="begin"/>
        </w:r>
        <w:r>
          <w:rPr>
            <w:noProof/>
            <w:webHidden/>
          </w:rPr>
          <w:instrText xml:space="preserve"> PAGEREF _Toc243136588 \h </w:instrText>
        </w:r>
        <w:r>
          <w:rPr>
            <w:noProof/>
            <w:webHidden/>
          </w:rPr>
        </w:r>
        <w:r>
          <w:rPr>
            <w:noProof/>
            <w:webHidden/>
          </w:rPr>
          <w:fldChar w:fldCharType="separate"/>
        </w:r>
        <w:r w:rsidR="00B667FA">
          <w:rPr>
            <w:noProof/>
            <w:webHidden/>
          </w:rPr>
          <w:t>25</w:t>
        </w:r>
        <w:r>
          <w:rPr>
            <w:noProof/>
            <w:webHidden/>
          </w:rPr>
          <w:fldChar w:fldCharType="end"/>
        </w:r>
      </w:hyperlink>
    </w:p>
    <w:p w14:paraId="16926C88" w14:textId="266948FA" w:rsidR="005D397B" w:rsidRDefault="005D397B">
      <w:pPr>
        <w:pStyle w:val="TOC1"/>
        <w:rPr>
          <w:rFonts w:asciiTheme="minorHAnsi" w:eastAsiaTheme="minorEastAsia" w:hAnsiTheme="minorHAnsi" w:cstheme="minorBidi"/>
          <w:b w:val="0"/>
          <w:noProof/>
          <w:kern w:val="2"/>
          <w:sz w:val="24"/>
          <w:szCs w:val="24"/>
          <w:lang w:val="en-US"/>
          <w14:ligatures w14:val="standardContextual"/>
        </w:rPr>
      </w:pPr>
      <w:hyperlink w:anchor="_Toc243136589" w:history="1">
        <w:r w:rsidRPr="00D50DC6">
          <w:rPr>
            <w:rStyle w:val="Hyperlink"/>
            <w:noProof/>
          </w:rPr>
          <w:t>7. Những dự định và kế hoạch để đạt được những mục tiêu mong muốn</w:t>
        </w:r>
        <w:r>
          <w:rPr>
            <w:noProof/>
            <w:webHidden/>
          </w:rPr>
          <w:tab/>
        </w:r>
        <w:r>
          <w:rPr>
            <w:noProof/>
            <w:webHidden/>
          </w:rPr>
          <w:fldChar w:fldCharType="begin"/>
        </w:r>
        <w:r>
          <w:rPr>
            <w:noProof/>
            <w:webHidden/>
          </w:rPr>
          <w:instrText xml:space="preserve"> PAGEREF _Toc243136589 \h </w:instrText>
        </w:r>
        <w:r>
          <w:rPr>
            <w:noProof/>
            <w:webHidden/>
          </w:rPr>
        </w:r>
        <w:r>
          <w:rPr>
            <w:noProof/>
            <w:webHidden/>
          </w:rPr>
          <w:fldChar w:fldCharType="separate"/>
        </w:r>
        <w:r w:rsidR="00B667FA">
          <w:rPr>
            <w:noProof/>
            <w:webHidden/>
          </w:rPr>
          <w:t>26</w:t>
        </w:r>
        <w:r>
          <w:rPr>
            <w:noProof/>
            <w:webHidden/>
          </w:rPr>
          <w:fldChar w:fldCharType="end"/>
        </w:r>
      </w:hyperlink>
    </w:p>
    <w:p w14:paraId="0A5A67D0" w14:textId="0C0B2081" w:rsidR="005D397B" w:rsidRDefault="005D397B">
      <w:pPr>
        <w:pStyle w:val="TOC2"/>
        <w:rPr>
          <w:rFonts w:asciiTheme="minorHAnsi" w:eastAsiaTheme="minorEastAsia" w:hAnsiTheme="minorHAnsi" w:cstheme="minorBidi"/>
          <w:noProof/>
          <w:kern w:val="2"/>
          <w:sz w:val="24"/>
          <w:szCs w:val="24"/>
          <w:lang w:val="en-US"/>
          <w14:ligatures w14:val="standardContextual"/>
        </w:rPr>
      </w:pPr>
      <w:hyperlink w:anchor="_Toc243136590" w:history="1">
        <w:r w:rsidRPr="00D50DC6">
          <w:rPr>
            <w:rStyle w:val="Hyperlink"/>
            <w:noProof/>
          </w:rPr>
          <w:t>7.1. Học phần đào tạo trình độ tiến sĩ</w:t>
        </w:r>
        <w:r>
          <w:rPr>
            <w:noProof/>
            <w:webHidden/>
          </w:rPr>
          <w:tab/>
        </w:r>
        <w:r>
          <w:rPr>
            <w:noProof/>
            <w:webHidden/>
          </w:rPr>
          <w:fldChar w:fldCharType="begin"/>
        </w:r>
        <w:r>
          <w:rPr>
            <w:noProof/>
            <w:webHidden/>
          </w:rPr>
          <w:instrText xml:space="preserve"> PAGEREF _Toc243136590 \h </w:instrText>
        </w:r>
        <w:r>
          <w:rPr>
            <w:noProof/>
            <w:webHidden/>
          </w:rPr>
        </w:r>
        <w:r>
          <w:rPr>
            <w:noProof/>
            <w:webHidden/>
          </w:rPr>
          <w:fldChar w:fldCharType="separate"/>
        </w:r>
        <w:r w:rsidR="00B667FA">
          <w:rPr>
            <w:noProof/>
            <w:webHidden/>
          </w:rPr>
          <w:t>26</w:t>
        </w:r>
        <w:r>
          <w:rPr>
            <w:noProof/>
            <w:webHidden/>
          </w:rPr>
          <w:fldChar w:fldCharType="end"/>
        </w:r>
      </w:hyperlink>
    </w:p>
    <w:p w14:paraId="494D5833" w14:textId="44B5C758" w:rsidR="005D397B" w:rsidRDefault="005D397B">
      <w:pPr>
        <w:pStyle w:val="TOC2"/>
        <w:rPr>
          <w:rFonts w:asciiTheme="minorHAnsi" w:eastAsiaTheme="minorEastAsia" w:hAnsiTheme="minorHAnsi" w:cstheme="minorBidi"/>
          <w:noProof/>
          <w:kern w:val="2"/>
          <w:sz w:val="24"/>
          <w:szCs w:val="24"/>
          <w:lang w:val="en-US"/>
          <w14:ligatures w14:val="standardContextual"/>
        </w:rPr>
      </w:pPr>
      <w:hyperlink w:anchor="_Toc243136591" w:history="1">
        <w:r w:rsidRPr="00D50DC6">
          <w:rPr>
            <w:rStyle w:val="Hyperlink"/>
            <w:noProof/>
          </w:rPr>
          <w:t>7.2. Chuyên đề tiến sĩ</w:t>
        </w:r>
        <w:r>
          <w:rPr>
            <w:noProof/>
            <w:webHidden/>
          </w:rPr>
          <w:tab/>
        </w:r>
        <w:r>
          <w:rPr>
            <w:noProof/>
            <w:webHidden/>
          </w:rPr>
          <w:fldChar w:fldCharType="begin"/>
        </w:r>
        <w:r>
          <w:rPr>
            <w:noProof/>
            <w:webHidden/>
          </w:rPr>
          <w:instrText xml:space="preserve"> PAGEREF _Toc243136591 \h </w:instrText>
        </w:r>
        <w:r>
          <w:rPr>
            <w:noProof/>
            <w:webHidden/>
          </w:rPr>
        </w:r>
        <w:r>
          <w:rPr>
            <w:noProof/>
            <w:webHidden/>
          </w:rPr>
          <w:fldChar w:fldCharType="separate"/>
        </w:r>
        <w:r w:rsidR="00B667FA">
          <w:rPr>
            <w:noProof/>
            <w:webHidden/>
          </w:rPr>
          <w:t>26</w:t>
        </w:r>
        <w:r>
          <w:rPr>
            <w:noProof/>
            <w:webHidden/>
          </w:rPr>
          <w:fldChar w:fldCharType="end"/>
        </w:r>
      </w:hyperlink>
    </w:p>
    <w:p w14:paraId="373D7ADD" w14:textId="6F5F2918" w:rsidR="005D397B" w:rsidRDefault="005D397B">
      <w:pPr>
        <w:pStyle w:val="TOC2"/>
        <w:rPr>
          <w:rFonts w:asciiTheme="minorHAnsi" w:eastAsiaTheme="minorEastAsia" w:hAnsiTheme="minorHAnsi" w:cstheme="minorBidi"/>
          <w:noProof/>
          <w:kern w:val="2"/>
          <w:sz w:val="24"/>
          <w:szCs w:val="24"/>
          <w:lang w:val="en-US"/>
          <w14:ligatures w14:val="standardContextual"/>
        </w:rPr>
      </w:pPr>
      <w:hyperlink w:anchor="_Toc243136592" w:history="1">
        <w:r w:rsidRPr="00D50DC6">
          <w:rPr>
            <w:rStyle w:val="Hyperlink"/>
            <w:noProof/>
          </w:rPr>
          <w:t>7.3. Phần nghiên cứu khoa học</w:t>
        </w:r>
        <w:r>
          <w:rPr>
            <w:noProof/>
            <w:webHidden/>
          </w:rPr>
          <w:tab/>
        </w:r>
        <w:r>
          <w:rPr>
            <w:noProof/>
            <w:webHidden/>
          </w:rPr>
          <w:fldChar w:fldCharType="begin"/>
        </w:r>
        <w:r>
          <w:rPr>
            <w:noProof/>
            <w:webHidden/>
          </w:rPr>
          <w:instrText xml:space="preserve"> PAGEREF _Toc243136592 \h </w:instrText>
        </w:r>
        <w:r>
          <w:rPr>
            <w:noProof/>
            <w:webHidden/>
          </w:rPr>
        </w:r>
        <w:r>
          <w:rPr>
            <w:noProof/>
            <w:webHidden/>
          </w:rPr>
          <w:fldChar w:fldCharType="separate"/>
        </w:r>
        <w:r w:rsidR="00B667FA">
          <w:rPr>
            <w:noProof/>
            <w:webHidden/>
          </w:rPr>
          <w:t>26</w:t>
        </w:r>
        <w:r>
          <w:rPr>
            <w:noProof/>
            <w:webHidden/>
          </w:rPr>
          <w:fldChar w:fldCharType="end"/>
        </w:r>
      </w:hyperlink>
    </w:p>
    <w:p w14:paraId="4C9F3E0F" w14:textId="2FA4256A" w:rsidR="005D397B" w:rsidRDefault="005D397B">
      <w:pPr>
        <w:pStyle w:val="TOC2"/>
        <w:rPr>
          <w:rFonts w:asciiTheme="minorHAnsi" w:eastAsiaTheme="minorEastAsia" w:hAnsiTheme="minorHAnsi" w:cstheme="minorBidi"/>
          <w:noProof/>
          <w:kern w:val="2"/>
          <w:sz w:val="24"/>
          <w:szCs w:val="24"/>
          <w:lang w:val="en-US"/>
          <w14:ligatures w14:val="standardContextual"/>
        </w:rPr>
      </w:pPr>
      <w:hyperlink w:anchor="_Toc243136593" w:history="1">
        <w:r w:rsidRPr="00D50DC6">
          <w:rPr>
            <w:rStyle w:val="Hyperlink"/>
            <w:noProof/>
          </w:rPr>
          <w:t>7.4. Phần thực hiện luận án</w:t>
        </w:r>
        <w:r>
          <w:rPr>
            <w:noProof/>
            <w:webHidden/>
          </w:rPr>
          <w:tab/>
        </w:r>
        <w:r>
          <w:rPr>
            <w:noProof/>
            <w:webHidden/>
          </w:rPr>
          <w:fldChar w:fldCharType="begin"/>
        </w:r>
        <w:r>
          <w:rPr>
            <w:noProof/>
            <w:webHidden/>
          </w:rPr>
          <w:instrText xml:space="preserve"> PAGEREF _Toc243136593 \h </w:instrText>
        </w:r>
        <w:r>
          <w:rPr>
            <w:noProof/>
            <w:webHidden/>
          </w:rPr>
        </w:r>
        <w:r>
          <w:rPr>
            <w:noProof/>
            <w:webHidden/>
          </w:rPr>
          <w:fldChar w:fldCharType="separate"/>
        </w:r>
        <w:r w:rsidR="00B667FA">
          <w:rPr>
            <w:noProof/>
            <w:webHidden/>
          </w:rPr>
          <w:t>27</w:t>
        </w:r>
        <w:r>
          <w:rPr>
            <w:noProof/>
            <w:webHidden/>
          </w:rPr>
          <w:fldChar w:fldCharType="end"/>
        </w:r>
      </w:hyperlink>
    </w:p>
    <w:p w14:paraId="141CB41F" w14:textId="6A2326D2" w:rsidR="005D397B" w:rsidRDefault="005D397B">
      <w:pPr>
        <w:pStyle w:val="TOC1"/>
        <w:rPr>
          <w:rFonts w:asciiTheme="minorHAnsi" w:eastAsiaTheme="minorEastAsia" w:hAnsiTheme="minorHAnsi" w:cstheme="minorBidi"/>
          <w:b w:val="0"/>
          <w:noProof/>
          <w:kern w:val="2"/>
          <w:sz w:val="24"/>
          <w:szCs w:val="24"/>
          <w:lang w:val="en-US"/>
          <w14:ligatures w14:val="standardContextual"/>
        </w:rPr>
      </w:pPr>
      <w:hyperlink w:anchor="_Toc243136594" w:history="1">
        <w:r w:rsidRPr="00D50DC6">
          <w:rPr>
            <w:rStyle w:val="Hyperlink"/>
            <w:noProof/>
          </w:rPr>
          <w:t>8. Kiến thức chuyên môn của người dự tuyển tiến sĩ</w:t>
        </w:r>
        <w:r>
          <w:rPr>
            <w:noProof/>
            <w:webHidden/>
          </w:rPr>
          <w:tab/>
        </w:r>
        <w:r>
          <w:rPr>
            <w:noProof/>
            <w:webHidden/>
          </w:rPr>
          <w:fldChar w:fldCharType="begin"/>
        </w:r>
        <w:r>
          <w:rPr>
            <w:noProof/>
            <w:webHidden/>
          </w:rPr>
          <w:instrText xml:space="preserve"> PAGEREF _Toc243136594 \h </w:instrText>
        </w:r>
        <w:r>
          <w:rPr>
            <w:noProof/>
            <w:webHidden/>
          </w:rPr>
        </w:r>
        <w:r>
          <w:rPr>
            <w:noProof/>
            <w:webHidden/>
          </w:rPr>
          <w:fldChar w:fldCharType="separate"/>
        </w:r>
        <w:r w:rsidR="00B667FA">
          <w:rPr>
            <w:noProof/>
            <w:webHidden/>
          </w:rPr>
          <w:t>27</w:t>
        </w:r>
        <w:r>
          <w:rPr>
            <w:noProof/>
            <w:webHidden/>
          </w:rPr>
          <w:fldChar w:fldCharType="end"/>
        </w:r>
      </w:hyperlink>
    </w:p>
    <w:p w14:paraId="2C36C79B" w14:textId="35B88D37" w:rsidR="005D397B" w:rsidRDefault="005D397B">
      <w:pPr>
        <w:pStyle w:val="TOC2"/>
        <w:rPr>
          <w:rFonts w:asciiTheme="minorHAnsi" w:eastAsiaTheme="minorEastAsia" w:hAnsiTheme="minorHAnsi" w:cstheme="minorBidi"/>
          <w:noProof/>
          <w:kern w:val="2"/>
          <w:sz w:val="24"/>
          <w:szCs w:val="24"/>
          <w:lang w:val="en-US"/>
          <w14:ligatures w14:val="standardContextual"/>
        </w:rPr>
      </w:pPr>
      <w:hyperlink w:anchor="_Toc243136595" w:history="1">
        <w:r w:rsidRPr="00D50DC6">
          <w:rPr>
            <w:rStyle w:val="Hyperlink"/>
            <w:noProof/>
          </w:rPr>
          <w:t>8.1. Kinh nghiệm trong hoạt động chuyên môn</w:t>
        </w:r>
        <w:r>
          <w:rPr>
            <w:noProof/>
            <w:webHidden/>
          </w:rPr>
          <w:tab/>
        </w:r>
        <w:r>
          <w:rPr>
            <w:noProof/>
            <w:webHidden/>
          </w:rPr>
          <w:fldChar w:fldCharType="begin"/>
        </w:r>
        <w:r>
          <w:rPr>
            <w:noProof/>
            <w:webHidden/>
          </w:rPr>
          <w:instrText xml:space="preserve"> PAGEREF _Toc243136595 \h </w:instrText>
        </w:r>
        <w:r>
          <w:rPr>
            <w:noProof/>
            <w:webHidden/>
          </w:rPr>
        </w:r>
        <w:r>
          <w:rPr>
            <w:noProof/>
            <w:webHidden/>
          </w:rPr>
          <w:fldChar w:fldCharType="separate"/>
        </w:r>
        <w:r w:rsidR="00B667FA">
          <w:rPr>
            <w:noProof/>
            <w:webHidden/>
          </w:rPr>
          <w:t>27</w:t>
        </w:r>
        <w:r>
          <w:rPr>
            <w:noProof/>
            <w:webHidden/>
          </w:rPr>
          <w:fldChar w:fldCharType="end"/>
        </w:r>
      </w:hyperlink>
    </w:p>
    <w:p w14:paraId="4C943D94" w14:textId="32E3899C" w:rsidR="005D397B" w:rsidRDefault="005D397B">
      <w:pPr>
        <w:pStyle w:val="TOC2"/>
        <w:rPr>
          <w:rFonts w:asciiTheme="minorHAnsi" w:eastAsiaTheme="minorEastAsia" w:hAnsiTheme="minorHAnsi" w:cstheme="minorBidi"/>
          <w:noProof/>
          <w:kern w:val="2"/>
          <w:sz w:val="24"/>
          <w:szCs w:val="24"/>
          <w:lang w:val="en-US"/>
          <w14:ligatures w14:val="standardContextual"/>
        </w:rPr>
      </w:pPr>
      <w:hyperlink w:anchor="_Toc243136596" w:history="1">
        <w:r w:rsidRPr="00D50DC6">
          <w:rPr>
            <w:rStyle w:val="Hyperlink"/>
            <w:noProof/>
          </w:rPr>
          <w:t>8.2. Kiến thức, sự hiểu biết và sự chuẩn bị của thí sinh về vấn đề nghiên cứu</w:t>
        </w:r>
        <w:r>
          <w:rPr>
            <w:noProof/>
            <w:webHidden/>
          </w:rPr>
          <w:tab/>
        </w:r>
        <w:r>
          <w:rPr>
            <w:noProof/>
            <w:webHidden/>
          </w:rPr>
          <w:fldChar w:fldCharType="begin"/>
        </w:r>
        <w:r>
          <w:rPr>
            <w:noProof/>
            <w:webHidden/>
          </w:rPr>
          <w:instrText xml:space="preserve"> PAGEREF _Toc243136596 \h </w:instrText>
        </w:r>
        <w:r>
          <w:rPr>
            <w:noProof/>
            <w:webHidden/>
          </w:rPr>
        </w:r>
        <w:r>
          <w:rPr>
            <w:noProof/>
            <w:webHidden/>
          </w:rPr>
          <w:fldChar w:fldCharType="separate"/>
        </w:r>
        <w:r w:rsidR="00B667FA">
          <w:rPr>
            <w:noProof/>
            <w:webHidden/>
          </w:rPr>
          <w:t>30</w:t>
        </w:r>
        <w:r>
          <w:rPr>
            <w:noProof/>
            <w:webHidden/>
          </w:rPr>
          <w:fldChar w:fldCharType="end"/>
        </w:r>
      </w:hyperlink>
    </w:p>
    <w:p w14:paraId="6E0B4069" w14:textId="7F9CF72A" w:rsidR="005D397B" w:rsidRDefault="005D397B">
      <w:pPr>
        <w:pStyle w:val="TOC1"/>
        <w:rPr>
          <w:rFonts w:asciiTheme="minorHAnsi" w:eastAsiaTheme="minorEastAsia" w:hAnsiTheme="minorHAnsi" w:cstheme="minorBidi"/>
          <w:b w:val="0"/>
          <w:noProof/>
          <w:kern w:val="2"/>
          <w:sz w:val="24"/>
          <w:szCs w:val="24"/>
          <w:lang w:val="en-US"/>
          <w14:ligatures w14:val="standardContextual"/>
        </w:rPr>
      </w:pPr>
      <w:hyperlink w:anchor="_Toc243136597" w:history="1">
        <w:r w:rsidRPr="00D50DC6">
          <w:rPr>
            <w:rStyle w:val="Hyperlink"/>
            <w:noProof/>
          </w:rPr>
          <w:t>9. Dự kiến việc làm và các hướng nghiên cứu sau khi tốt nghiệp</w:t>
        </w:r>
        <w:r>
          <w:rPr>
            <w:noProof/>
            <w:webHidden/>
          </w:rPr>
          <w:tab/>
        </w:r>
        <w:r>
          <w:rPr>
            <w:noProof/>
            <w:webHidden/>
          </w:rPr>
          <w:fldChar w:fldCharType="begin"/>
        </w:r>
        <w:r>
          <w:rPr>
            <w:noProof/>
            <w:webHidden/>
          </w:rPr>
          <w:instrText xml:space="preserve"> PAGEREF _Toc243136597 \h </w:instrText>
        </w:r>
        <w:r>
          <w:rPr>
            <w:noProof/>
            <w:webHidden/>
          </w:rPr>
        </w:r>
        <w:r>
          <w:rPr>
            <w:noProof/>
            <w:webHidden/>
          </w:rPr>
          <w:fldChar w:fldCharType="separate"/>
        </w:r>
        <w:r w:rsidR="00B667FA">
          <w:rPr>
            <w:noProof/>
            <w:webHidden/>
          </w:rPr>
          <w:t>31</w:t>
        </w:r>
        <w:r>
          <w:rPr>
            <w:noProof/>
            <w:webHidden/>
          </w:rPr>
          <w:fldChar w:fldCharType="end"/>
        </w:r>
      </w:hyperlink>
    </w:p>
    <w:p w14:paraId="40B300B1" w14:textId="2A5D5FBE" w:rsidR="005D397B" w:rsidRDefault="005D397B">
      <w:pPr>
        <w:pStyle w:val="TOC1"/>
        <w:rPr>
          <w:rFonts w:asciiTheme="minorHAnsi" w:eastAsiaTheme="minorEastAsia" w:hAnsiTheme="minorHAnsi" w:cstheme="minorBidi"/>
          <w:b w:val="0"/>
          <w:noProof/>
          <w:kern w:val="2"/>
          <w:sz w:val="24"/>
          <w:szCs w:val="24"/>
          <w:lang w:val="en-US"/>
          <w14:ligatures w14:val="standardContextual"/>
        </w:rPr>
      </w:pPr>
      <w:hyperlink w:anchor="_Toc243136598" w:history="1">
        <w:r w:rsidRPr="00D50DC6">
          <w:rPr>
            <w:rStyle w:val="Hyperlink"/>
            <w:noProof/>
          </w:rPr>
          <w:t>10. Đề xuất người hướng dẫn</w:t>
        </w:r>
        <w:r>
          <w:rPr>
            <w:noProof/>
            <w:webHidden/>
          </w:rPr>
          <w:tab/>
        </w:r>
        <w:r>
          <w:rPr>
            <w:noProof/>
            <w:webHidden/>
          </w:rPr>
          <w:fldChar w:fldCharType="begin"/>
        </w:r>
        <w:r>
          <w:rPr>
            <w:noProof/>
            <w:webHidden/>
          </w:rPr>
          <w:instrText xml:space="preserve"> PAGEREF _Toc243136598 \h </w:instrText>
        </w:r>
        <w:r>
          <w:rPr>
            <w:noProof/>
            <w:webHidden/>
          </w:rPr>
        </w:r>
        <w:r>
          <w:rPr>
            <w:noProof/>
            <w:webHidden/>
          </w:rPr>
          <w:fldChar w:fldCharType="separate"/>
        </w:r>
        <w:r w:rsidR="00B667FA">
          <w:rPr>
            <w:noProof/>
            <w:webHidden/>
          </w:rPr>
          <w:t>31</w:t>
        </w:r>
        <w:r>
          <w:rPr>
            <w:noProof/>
            <w:webHidden/>
          </w:rPr>
          <w:fldChar w:fldCharType="end"/>
        </w:r>
      </w:hyperlink>
    </w:p>
    <w:p w14:paraId="2E2E6C94" w14:textId="2AA4E0F0" w:rsidR="005D397B" w:rsidRDefault="005D397B">
      <w:pPr>
        <w:pStyle w:val="TOC1"/>
        <w:rPr>
          <w:rFonts w:asciiTheme="minorHAnsi" w:eastAsiaTheme="minorEastAsia" w:hAnsiTheme="minorHAnsi" w:cstheme="minorBidi"/>
          <w:b w:val="0"/>
          <w:noProof/>
          <w:kern w:val="2"/>
          <w:sz w:val="24"/>
          <w:szCs w:val="24"/>
          <w:lang w:val="en-US"/>
          <w14:ligatures w14:val="standardContextual"/>
        </w:rPr>
      </w:pPr>
      <w:hyperlink w:anchor="_Toc243136599" w:history="1">
        <w:r w:rsidRPr="00D50DC6">
          <w:rPr>
            <w:rStyle w:val="Hyperlink"/>
            <w:noProof/>
          </w:rPr>
          <w:t>11. Danh mục tài liệu tham khảo</w:t>
        </w:r>
        <w:r>
          <w:rPr>
            <w:noProof/>
            <w:webHidden/>
          </w:rPr>
          <w:tab/>
        </w:r>
        <w:r>
          <w:rPr>
            <w:noProof/>
            <w:webHidden/>
          </w:rPr>
          <w:fldChar w:fldCharType="begin"/>
        </w:r>
        <w:r>
          <w:rPr>
            <w:noProof/>
            <w:webHidden/>
          </w:rPr>
          <w:instrText xml:space="preserve"> PAGEREF _Toc243136599 \h </w:instrText>
        </w:r>
        <w:r>
          <w:rPr>
            <w:noProof/>
            <w:webHidden/>
          </w:rPr>
        </w:r>
        <w:r>
          <w:rPr>
            <w:noProof/>
            <w:webHidden/>
          </w:rPr>
          <w:fldChar w:fldCharType="separate"/>
        </w:r>
        <w:r w:rsidR="00B667FA">
          <w:rPr>
            <w:noProof/>
            <w:webHidden/>
          </w:rPr>
          <w:t>32</w:t>
        </w:r>
        <w:r>
          <w:rPr>
            <w:noProof/>
            <w:webHidden/>
          </w:rPr>
          <w:fldChar w:fldCharType="end"/>
        </w:r>
      </w:hyperlink>
    </w:p>
    <w:p w14:paraId="13524F6B" w14:textId="46084148" w:rsidR="005D3DB2" w:rsidRDefault="00000000">
      <w:pPr>
        <w:spacing w:line="120" w:lineRule="auto"/>
      </w:pPr>
      <w:r>
        <w:fldChar w:fldCharType="end"/>
      </w:r>
    </w:p>
    <w:p w14:paraId="57BD8573" w14:textId="77777777" w:rsidR="005D3DB2" w:rsidRDefault="00000000">
      <w:pPr>
        <w:pageBreakBefore/>
        <w:spacing w:after="240"/>
        <w:jc w:val="center"/>
      </w:pPr>
      <w:r>
        <w:rPr>
          <w:b/>
          <w:bCs/>
        </w:rPr>
        <w:lastRenderedPageBreak/>
        <w:t>DANH MỤC BẢNG</w:t>
      </w:r>
    </w:p>
    <w:p w14:paraId="1CB574DB" w14:textId="29DFAEF1"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"Bảng" </w:instrText>
      </w:r>
      <w:r>
        <w:fldChar w:fldCharType="separate"/>
      </w:r>
      <w:hyperlink w:anchor="_Toc242353156" w:history="1">
        <w:r w:rsidR="00FF54B9">
          <w:rPr>
            <w:rStyle w:val="Hyperlink"/>
            <w:noProof/>
          </w:rPr>
          <w:t>Bảng 1. Các nhóm nghiên cứu gần nhất và khoảng trống nghiên cứu</w:t>
        </w:r>
        <w:r w:rsidR="00FF54B9">
          <w:rPr>
            <w:noProof/>
            <w:webHidden/>
          </w:rPr>
          <w:tab/>
        </w:r>
        <w:r w:rsidR="00FF54B9">
          <w:rPr>
            <w:noProof/>
            <w:webHidden/>
          </w:rPr>
          <w:fldChar w:fldCharType="begin"/>
        </w:r>
        <w:r w:rsidR="00FF54B9">
          <w:rPr>
            <w:noProof/>
            <w:webHidden/>
          </w:rPr>
          <w:instrText xml:space="preserve"> PAGEREF _Toc242353156 \h </w:instrText>
        </w:r>
        <w:r w:rsidR="00FF54B9">
          <w:rPr>
            <w:noProof/>
            <w:webHidden/>
          </w:rPr>
        </w:r>
        <w:r w:rsidR="00FF54B9">
          <w:rPr>
            <w:noProof/>
            <w:webHidden/>
          </w:rPr>
          <w:fldChar w:fldCharType="separate"/>
        </w:r>
        <w:r w:rsidR="00B667FA">
          <w:rPr>
            <w:noProof/>
            <w:webHidden/>
          </w:rPr>
          <w:t>6</w:t>
        </w:r>
        <w:r w:rsidR="00FF54B9">
          <w:rPr>
            <w:noProof/>
            <w:webHidden/>
          </w:rPr>
          <w:fldChar w:fldCharType="end"/>
        </w:r>
      </w:hyperlink>
    </w:p>
    <w:p w14:paraId="7850B47F" w14:textId="154C1EDE"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7" w:history="1">
        <w:r>
          <w:rPr>
            <w:rStyle w:val="Hyperlink"/>
            <w:noProof/>
          </w:rPr>
          <w:t>Bảng 2. Giả thuyết, thước đo và cơ sở lý thuyết</w:t>
        </w:r>
        <w:r>
          <w:rPr>
            <w:noProof/>
            <w:webHidden/>
          </w:rPr>
          <w:tab/>
        </w:r>
        <w:r>
          <w:rPr>
            <w:noProof/>
            <w:webHidden/>
          </w:rPr>
          <w:fldChar w:fldCharType="begin"/>
        </w:r>
        <w:r>
          <w:rPr>
            <w:noProof/>
            <w:webHidden/>
          </w:rPr>
          <w:instrText xml:space="preserve"> PAGEREF _Toc242353157 \h </w:instrText>
        </w:r>
        <w:r>
          <w:rPr>
            <w:noProof/>
            <w:webHidden/>
          </w:rPr>
        </w:r>
        <w:r>
          <w:rPr>
            <w:noProof/>
            <w:webHidden/>
          </w:rPr>
          <w:fldChar w:fldCharType="separate"/>
        </w:r>
        <w:r w:rsidR="00B667FA">
          <w:rPr>
            <w:noProof/>
            <w:webHidden/>
          </w:rPr>
          <w:t>8</w:t>
        </w:r>
        <w:r>
          <w:rPr>
            <w:noProof/>
            <w:webHidden/>
          </w:rPr>
          <w:fldChar w:fldCharType="end"/>
        </w:r>
      </w:hyperlink>
    </w:p>
    <w:p w14:paraId="4B295C27" w14:textId="3AB84BD4"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8" w:history="1">
        <w:r>
          <w:rPr>
            <w:rStyle w:val="Hyperlink"/>
            <w:noProof/>
          </w:rPr>
          <w:t>Bảng 3. Bảy mô hình phân bổ dùng làm công cụ đo khả năng đầu tư</w:t>
        </w:r>
        <w:r>
          <w:rPr>
            <w:noProof/>
            <w:webHidden/>
          </w:rPr>
          <w:tab/>
        </w:r>
        <w:r>
          <w:rPr>
            <w:noProof/>
            <w:webHidden/>
          </w:rPr>
          <w:fldChar w:fldCharType="begin"/>
        </w:r>
        <w:r>
          <w:rPr>
            <w:noProof/>
            <w:webHidden/>
          </w:rPr>
          <w:instrText xml:space="preserve"> PAGEREF _Toc242353158 \h </w:instrText>
        </w:r>
        <w:r>
          <w:rPr>
            <w:noProof/>
            <w:webHidden/>
          </w:rPr>
        </w:r>
        <w:r>
          <w:rPr>
            <w:noProof/>
            <w:webHidden/>
          </w:rPr>
          <w:fldChar w:fldCharType="separate"/>
        </w:r>
        <w:r w:rsidR="00B667FA">
          <w:rPr>
            <w:noProof/>
            <w:webHidden/>
          </w:rPr>
          <w:t>13</w:t>
        </w:r>
        <w:r>
          <w:rPr>
            <w:noProof/>
            <w:webHidden/>
          </w:rPr>
          <w:fldChar w:fldCharType="end"/>
        </w:r>
      </w:hyperlink>
    </w:p>
    <w:p w14:paraId="0CC1334A" w14:textId="6FB0791D"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9" w:history="1">
        <w:r>
          <w:rPr>
            <w:rStyle w:val="Hyperlink"/>
            <w:noProof/>
          </w:rPr>
          <w:t>Bảng 4. Dự kiến bố cục các chương và tiểu mục của luận án</w:t>
        </w:r>
        <w:r>
          <w:rPr>
            <w:noProof/>
            <w:webHidden/>
          </w:rPr>
          <w:tab/>
        </w:r>
        <w:r>
          <w:rPr>
            <w:noProof/>
            <w:webHidden/>
          </w:rPr>
          <w:fldChar w:fldCharType="begin"/>
        </w:r>
        <w:r>
          <w:rPr>
            <w:noProof/>
            <w:webHidden/>
          </w:rPr>
          <w:instrText xml:space="preserve"> PAGEREF _Toc242353159 \h </w:instrText>
        </w:r>
        <w:r>
          <w:rPr>
            <w:noProof/>
            <w:webHidden/>
          </w:rPr>
        </w:r>
        <w:r>
          <w:rPr>
            <w:noProof/>
            <w:webHidden/>
          </w:rPr>
          <w:fldChar w:fldCharType="separate"/>
        </w:r>
        <w:r w:rsidR="00B667FA">
          <w:rPr>
            <w:noProof/>
            <w:webHidden/>
          </w:rPr>
          <w:t>24</w:t>
        </w:r>
        <w:r>
          <w:rPr>
            <w:noProof/>
            <w:webHidden/>
          </w:rPr>
          <w:fldChar w:fldCharType="end"/>
        </w:r>
      </w:hyperlink>
    </w:p>
    <w:p w14:paraId="6AD95FAB" w14:textId="790A5C24"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0" w:history="1">
        <w:r>
          <w:rPr>
            <w:rStyle w:val="Hyperlink"/>
            <w:noProof/>
          </w:rPr>
          <w:t>Bảng 5. Kế hoạch thực hiện luận án theo bốn năm và sản phẩm dự kiến</w:t>
        </w:r>
        <w:r>
          <w:rPr>
            <w:noProof/>
            <w:webHidden/>
          </w:rPr>
          <w:tab/>
        </w:r>
        <w:r>
          <w:rPr>
            <w:noProof/>
            <w:webHidden/>
          </w:rPr>
          <w:fldChar w:fldCharType="begin"/>
        </w:r>
        <w:r>
          <w:rPr>
            <w:noProof/>
            <w:webHidden/>
          </w:rPr>
          <w:instrText xml:space="preserve"> PAGEREF _Toc242353160 \h </w:instrText>
        </w:r>
        <w:r>
          <w:rPr>
            <w:noProof/>
            <w:webHidden/>
          </w:rPr>
        </w:r>
        <w:r>
          <w:rPr>
            <w:noProof/>
            <w:webHidden/>
          </w:rPr>
          <w:fldChar w:fldCharType="separate"/>
        </w:r>
        <w:r w:rsidR="00B667FA">
          <w:rPr>
            <w:noProof/>
            <w:webHidden/>
          </w:rPr>
          <w:t>27</w:t>
        </w:r>
        <w:r>
          <w:rPr>
            <w:noProof/>
            <w:webHidden/>
          </w:rPr>
          <w:fldChar w:fldCharType="end"/>
        </w:r>
      </w:hyperlink>
    </w:p>
    <w:p w14:paraId="30380F65" w14:textId="577CB673"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1" w:history="1">
        <w:r>
          <w:rPr>
            <w:rStyle w:val="Hyperlink"/>
            <w:noProof/>
          </w:rPr>
          <w:t>Bảng 6. Công trình đã công bố hoặc đã được chấp nhận đăng</w:t>
        </w:r>
        <w:r>
          <w:rPr>
            <w:noProof/>
            <w:webHidden/>
          </w:rPr>
          <w:tab/>
        </w:r>
        <w:r>
          <w:rPr>
            <w:noProof/>
            <w:webHidden/>
          </w:rPr>
          <w:fldChar w:fldCharType="begin"/>
        </w:r>
        <w:r>
          <w:rPr>
            <w:noProof/>
            <w:webHidden/>
          </w:rPr>
          <w:instrText xml:space="preserve"> PAGEREF _Toc242353161 \h </w:instrText>
        </w:r>
        <w:r>
          <w:rPr>
            <w:noProof/>
            <w:webHidden/>
          </w:rPr>
        </w:r>
        <w:r>
          <w:rPr>
            <w:noProof/>
            <w:webHidden/>
          </w:rPr>
          <w:fldChar w:fldCharType="separate"/>
        </w:r>
        <w:r w:rsidR="00B667FA">
          <w:rPr>
            <w:noProof/>
            <w:webHidden/>
          </w:rPr>
          <w:t>28</w:t>
        </w:r>
        <w:r>
          <w:rPr>
            <w:noProof/>
            <w:webHidden/>
          </w:rPr>
          <w:fldChar w:fldCharType="end"/>
        </w:r>
      </w:hyperlink>
    </w:p>
    <w:p w14:paraId="71B35B4C" w14:textId="0E5A0FB3"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2" w:history="1">
        <w:r>
          <w:rPr>
            <w:rStyle w:val="Hyperlink"/>
            <w:noProof/>
          </w:rPr>
          <w:t>Bảng 7. Bản thảo đã gửi tạp chí, chưa công bố tại ngày 30/9/2026</w:t>
        </w:r>
        <w:r>
          <w:rPr>
            <w:noProof/>
            <w:webHidden/>
          </w:rPr>
          <w:tab/>
        </w:r>
        <w:r>
          <w:rPr>
            <w:noProof/>
            <w:webHidden/>
          </w:rPr>
          <w:fldChar w:fldCharType="begin"/>
        </w:r>
        <w:r>
          <w:rPr>
            <w:noProof/>
            <w:webHidden/>
          </w:rPr>
          <w:instrText xml:space="preserve"> PAGEREF _Toc242353162 \h </w:instrText>
        </w:r>
        <w:r>
          <w:rPr>
            <w:noProof/>
            <w:webHidden/>
          </w:rPr>
        </w:r>
        <w:r>
          <w:rPr>
            <w:noProof/>
            <w:webHidden/>
          </w:rPr>
          <w:fldChar w:fldCharType="separate"/>
        </w:r>
        <w:r w:rsidR="00B667FA">
          <w:rPr>
            <w:noProof/>
            <w:webHidden/>
          </w:rPr>
          <w:t>29</w:t>
        </w:r>
        <w:r>
          <w:rPr>
            <w:noProof/>
            <w:webHidden/>
          </w:rPr>
          <w:fldChar w:fldCharType="end"/>
        </w:r>
      </w:hyperlink>
    </w:p>
    <w:p w14:paraId="08C26900" w14:textId="77777777" w:rsidR="005D3DB2" w:rsidRDefault="00000000">
      <w:pPr>
        <w:spacing w:line="120" w:lineRule="auto"/>
      </w:pPr>
      <w:r>
        <w:fldChar w:fldCharType="end"/>
      </w:r>
    </w:p>
    <w:p w14:paraId="2542D82E" w14:textId="77777777" w:rsidR="005D3DB2" w:rsidRDefault="00000000">
      <w:pPr>
        <w:spacing w:after="240"/>
        <w:jc w:val="center"/>
      </w:pPr>
      <w:r>
        <w:rPr>
          <w:b/>
          <w:bCs/>
        </w:rPr>
        <w:t>DANH MỤC HÌNH</w:t>
      </w:r>
    </w:p>
    <w:p w14:paraId="106C1283" w14:textId="77777777"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"Hình" </w:instrText>
      </w:r>
      <w:r>
        <w:fldChar w:fldCharType="separate"/>
      </w:r>
      <w:hyperlink w:anchor="_Toc242353163" w:history="1">
        <w:r w:rsidR="00FF54B9">
          <w:rPr>
            <w:rStyle w:val="Hyperlink"/>
            <w:noProof/>
          </w:rPr>
          <w:t>Hình 1. Khung phân tích: hợp nhất sàn, chất lượng thị trường và khả năng đầu tư</w:t>
        </w:r>
        <w:r w:rsidR="00FF54B9">
          <w:rPr>
            <w:noProof/>
            <w:webHidden/>
          </w:rPr>
          <w:tab/>
        </w:r>
        <w:r w:rsidR="00FF54B9">
          <w:rPr>
            <w:noProof/>
            <w:webHidden/>
          </w:rPr>
          <w:fldChar w:fldCharType="begin"/>
        </w:r>
        <w:r w:rsidR="00FF54B9">
          <w:rPr>
            <w:noProof/>
            <w:webHidden/>
          </w:rPr>
          <w:instrText xml:space="preserve"> PAGEREF _Toc242353163 \h </w:instrText>
        </w:r>
        <w:r w:rsidR="00FF54B9">
          <w:rPr>
            <w:noProof/>
            <w:webHidden/>
          </w:rPr>
        </w:r>
        <w:r w:rsidR="00FF54B9">
          <w:rPr>
            <w:noProof/>
            <w:webHidden/>
          </w:rPr>
          <w:fldChar w:fldCharType="separate"/>
        </w:r>
        <w:r w:rsidR="00FF54B9">
          <w:rPr>
            <w:noProof/>
            <w:webHidden/>
          </w:rPr>
          <w:t>7</w:t>
        </w:r>
        <w:r w:rsidR="00FF54B9">
          <w:rPr>
            <w:noProof/>
            <w:webHidden/>
          </w:rPr>
          <w:fldChar w:fldCharType="end"/>
        </w:r>
      </w:hyperlink>
    </w:p>
    <w:p w14:paraId="1D0EEF1A"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4" w:history="1">
        <w:r>
          <w:rPr>
            <w:rStyle w:val="Hyperlink"/>
            <w:noProof/>
          </w:rPr>
          <w:t>Hình 2. Cửa sổ ước lượng, cửa sổ đánh giá và cách tính khoảng cách khả năng đầu tư</w:t>
        </w:r>
        <w:r>
          <w:rPr>
            <w:noProof/>
            <w:webHidden/>
          </w:rPr>
          <w:tab/>
        </w:r>
        <w:r>
          <w:rPr>
            <w:noProof/>
            <w:webHidden/>
          </w:rPr>
          <w:fldChar w:fldCharType="begin"/>
        </w:r>
        <w:r>
          <w:rPr>
            <w:noProof/>
            <w:webHidden/>
          </w:rPr>
          <w:instrText xml:space="preserve"> PAGEREF _Toc242353164 \h </w:instrText>
        </w:r>
        <w:r>
          <w:rPr>
            <w:noProof/>
            <w:webHidden/>
          </w:rPr>
        </w:r>
        <w:r>
          <w:rPr>
            <w:noProof/>
            <w:webHidden/>
          </w:rPr>
          <w:fldChar w:fldCharType="separate"/>
        </w:r>
        <w:r>
          <w:rPr>
            <w:noProof/>
            <w:webHidden/>
          </w:rPr>
          <w:t>12</w:t>
        </w:r>
        <w:r>
          <w:rPr>
            <w:noProof/>
            <w:webHidden/>
          </w:rPr>
          <w:fldChar w:fldCharType="end"/>
        </w:r>
      </w:hyperlink>
    </w:p>
    <w:p w14:paraId="60F7852C"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5" w:history="1">
        <w:r>
          <w:rPr>
            <w:rStyle w:val="Hyperlink"/>
            <w:noProof/>
          </w:rPr>
          <w:t>Hình 3. Quy trình nghiên cứu</w:t>
        </w:r>
        <w:r>
          <w:rPr>
            <w:noProof/>
            <w:webHidden/>
          </w:rPr>
          <w:tab/>
        </w:r>
        <w:r>
          <w:rPr>
            <w:noProof/>
            <w:webHidden/>
          </w:rPr>
          <w:fldChar w:fldCharType="begin"/>
        </w:r>
        <w:r>
          <w:rPr>
            <w:noProof/>
            <w:webHidden/>
          </w:rPr>
          <w:instrText xml:space="preserve"> PAGEREF _Toc242353165 \h </w:instrText>
        </w:r>
        <w:r>
          <w:rPr>
            <w:noProof/>
            <w:webHidden/>
          </w:rPr>
        </w:r>
        <w:r>
          <w:rPr>
            <w:noProof/>
            <w:webHidden/>
          </w:rPr>
          <w:fldChar w:fldCharType="separate"/>
        </w:r>
        <w:r>
          <w:rPr>
            <w:noProof/>
            <w:webHidden/>
          </w:rPr>
          <w:t>14</w:t>
        </w:r>
        <w:r>
          <w:rPr>
            <w:noProof/>
            <w:webHidden/>
          </w:rPr>
          <w:fldChar w:fldCharType="end"/>
        </w:r>
      </w:hyperlink>
    </w:p>
    <w:p w14:paraId="12BCC2D4" w14:textId="77777777" w:rsidR="005D3DB2" w:rsidRDefault="00000000">
      <w:pPr>
        <w:spacing w:line="120" w:lineRule="auto"/>
      </w:pPr>
      <w:r>
        <w:fldChar w:fldCharType="end"/>
      </w:r>
    </w:p>
    <w:p w14:paraId="15E623B0" w14:textId="77777777" w:rsidR="007B5E31" w:rsidRDefault="007B5E31">
      <w:pPr>
        <w:rPr>
          <w:b/>
          <w:bCs/>
        </w:rPr>
      </w:pPr>
      <w:r>
        <w:rPr>
          <w:b/>
          <w:bCs/>
        </w:rPr>
        <w:br w:type="page"/>
      </w:r>
    </w:p>
    <w:p w14:paraId="6E8AEA52" w14:textId="4C69E795" w:rsidR="005D3DB2" w:rsidRDefault="00000000">
      <w:pPr>
        <w:spacing w:after="240"/>
        <w:jc w:val="center"/>
      </w:pPr>
      <w:r>
        <w:rPr>
          <w:b/>
          <w:bCs/>
        </w:rPr>
        <w:lastRenderedPageBreak/>
        <w:t>DANH MỤC CHỮ VIẾT TẮT</w:t>
      </w:r>
    </w:p>
    <w:tbl>
      <w:tblPr>
        <w:tblStyle w:val="Table"/>
        <w:tblW w:w="8788" w:type="dxa"/>
        <w:tblLayout w:type="fixed"/>
        <w:tblLook w:val="07E0" w:firstRow="1" w:lastRow="1" w:firstColumn="1" w:lastColumn="1" w:noHBand="1" w:noVBand="1"/>
      </w:tblPr>
      <w:tblGrid>
        <w:gridCol w:w="1400"/>
        <w:gridCol w:w="3700"/>
        <w:gridCol w:w="3688"/>
      </w:tblGrid>
      <w:tr w:rsidR="000F5DDC" w14:paraId="41DFB03C" w14:textId="77777777" w:rsidTr="000F5DDC">
        <w:trPr>
          <w:cnfStyle w:val="100000000000" w:firstRow="1" w:lastRow="0" w:firstColumn="0" w:lastColumn="0" w:oddVBand="0" w:evenVBand="0" w:oddHBand="0" w:evenHBand="0" w:firstRowFirstColumn="0" w:firstRowLastColumn="0" w:lastRowFirstColumn="0" w:lastRowLastColumn="0"/>
          <w:cantSplit/>
          <w:tblHeader/>
        </w:trPr>
        <w:tc>
          <w:tcPr>
            <w:tcW w:w="1400" w:type="dxa"/>
          </w:tcPr>
          <w:p w14:paraId="624C4B8A" w14:textId="77777777" w:rsidR="000F5DDC" w:rsidRDefault="00000000">
            <w:pPr>
              <w:pStyle w:val="Compact"/>
              <w:jc w:val="center"/>
            </w:pPr>
            <w:r>
              <w:t>Chữ viết tắt</w:t>
            </w:r>
          </w:p>
        </w:tc>
        <w:tc>
          <w:tcPr>
            <w:tcW w:w="3700" w:type="dxa"/>
          </w:tcPr>
          <w:p w14:paraId="23FAE1CC" w14:textId="77777777" w:rsidR="000F5DDC" w:rsidRDefault="00000000">
            <w:pPr>
              <w:pStyle w:val="Compact"/>
              <w:jc w:val="center"/>
            </w:pPr>
            <w:r>
              <w:t>Tiếng Anh</w:t>
            </w:r>
          </w:p>
        </w:tc>
        <w:tc>
          <w:tcPr>
            <w:tcW w:w="3688" w:type="dxa"/>
          </w:tcPr>
          <w:p w14:paraId="6AB521D4" w14:textId="77777777" w:rsidR="000F5DDC" w:rsidRDefault="00000000">
            <w:pPr>
              <w:pStyle w:val="Compact"/>
              <w:jc w:val="center"/>
            </w:pPr>
            <w:r>
              <w:t>Tiếng Việt</w:t>
            </w:r>
          </w:p>
        </w:tc>
      </w:tr>
      <w:tr w:rsidR="000F5DDC" w14:paraId="5B5C7DDB" w14:textId="77777777" w:rsidTr="000F5DDC">
        <w:trPr>
          <w:cantSplit/>
        </w:trPr>
        <w:tc>
          <w:tcPr>
            <w:tcW w:w="1400" w:type="dxa"/>
          </w:tcPr>
          <w:p w14:paraId="3D78CF0E" w14:textId="77777777" w:rsidR="000F5DDC" w:rsidRDefault="00000000">
            <w:pPr>
              <w:pStyle w:val="Compact"/>
            </w:pPr>
            <w:r>
              <w:t>CS</w:t>
            </w:r>
          </w:p>
        </w:tc>
        <w:tc>
          <w:tcPr>
            <w:tcW w:w="3700" w:type="dxa"/>
          </w:tcPr>
          <w:p w14:paraId="5EAC1D15" w14:textId="77777777" w:rsidR="000F5DDC" w:rsidRDefault="00000000">
            <w:pPr>
              <w:pStyle w:val="Compact"/>
            </w:pPr>
            <w:r>
              <w:t>Không có</w:t>
            </w:r>
          </w:p>
        </w:tc>
        <w:tc>
          <w:tcPr>
            <w:tcW w:w="3688" w:type="dxa"/>
          </w:tcPr>
          <w:p w14:paraId="0BE49609" w14:textId="77777777" w:rsidR="000F5DDC" w:rsidRDefault="00000000">
            <w:pPr>
              <w:pStyle w:val="Compact"/>
            </w:pPr>
            <w:r>
              <w:t>Rổ cổ phiếu chuyển sàn (ký hiệu của đề tài)</w:t>
            </w:r>
          </w:p>
        </w:tc>
      </w:tr>
      <w:tr w:rsidR="000F5DDC" w14:paraId="1E03BA2B" w14:textId="77777777" w:rsidTr="000F5DDC">
        <w:trPr>
          <w:cantSplit/>
        </w:trPr>
        <w:tc>
          <w:tcPr>
            <w:tcW w:w="1400" w:type="dxa"/>
          </w:tcPr>
          <w:p w14:paraId="0655294E" w14:textId="77777777" w:rsidR="000F5DDC" w:rsidRDefault="00000000">
            <w:pPr>
              <w:pStyle w:val="Compact"/>
            </w:pPr>
            <w:r>
              <w:t>GDP</w:t>
            </w:r>
          </w:p>
        </w:tc>
        <w:tc>
          <w:tcPr>
            <w:tcW w:w="3700" w:type="dxa"/>
          </w:tcPr>
          <w:p w14:paraId="0C1E5AA6" w14:textId="77777777" w:rsidR="000F5DDC" w:rsidRDefault="00000000">
            <w:pPr>
              <w:pStyle w:val="Compact"/>
            </w:pPr>
            <w:r>
              <w:t>Gross Domestic Product</w:t>
            </w:r>
          </w:p>
        </w:tc>
        <w:tc>
          <w:tcPr>
            <w:tcW w:w="3688" w:type="dxa"/>
          </w:tcPr>
          <w:p w14:paraId="03884675" w14:textId="790A71A8" w:rsidR="000F5DDC" w:rsidRDefault="00000000">
            <w:pPr>
              <w:pStyle w:val="Compact"/>
            </w:pPr>
            <w:r>
              <w:t xml:space="preserve">Tổng sản phẩm </w:t>
            </w:r>
            <w:r w:rsidR="00E4581F">
              <w:t>quốc nội</w:t>
            </w:r>
          </w:p>
        </w:tc>
      </w:tr>
      <w:tr w:rsidR="000F5DDC" w14:paraId="774BC951" w14:textId="77777777" w:rsidTr="000F5DDC">
        <w:trPr>
          <w:cantSplit/>
        </w:trPr>
        <w:tc>
          <w:tcPr>
            <w:tcW w:w="1400" w:type="dxa"/>
          </w:tcPr>
          <w:p w14:paraId="1009B7ED" w14:textId="77777777" w:rsidR="000F5DDC" w:rsidRDefault="00000000">
            <w:pPr>
              <w:pStyle w:val="Compact"/>
            </w:pPr>
            <w:r>
              <w:t>GFCI</w:t>
            </w:r>
          </w:p>
        </w:tc>
        <w:tc>
          <w:tcPr>
            <w:tcW w:w="3700" w:type="dxa"/>
          </w:tcPr>
          <w:p w14:paraId="5FE1AA54" w14:textId="77777777" w:rsidR="000F5DDC" w:rsidRDefault="00000000">
            <w:pPr>
              <w:pStyle w:val="Compact"/>
            </w:pPr>
            <w:r>
              <w:t>Global Financial Centres Index</w:t>
            </w:r>
          </w:p>
        </w:tc>
        <w:tc>
          <w:tcPr>
            <w:tcW w:w="3688" w:type="dxa"/>
          </w:tcPr>
          <w:p w14:paraId="6F50514C" w14:textId="77777777" w:rsidR="000F5DDC" w:rsidRDefault="00000000">
            <w:pPr>
              <w:pStyle w:val="Compact"/>
            </w:pPr>
            <w:r>
              <w:t>Chỉ số Trung tâm Tài chính Toàn cầu</w:t>
            </w:r>
          </w:p>
        </w:tc>
      </w:tr>
      <w:tr w:rsidR="000F5DDC" w14:paraId="62FC11B4" w14:textId="77777777" w:rsidTr="000F5DDC">
        <w:trPr>
          <w:cantSplit/>
        </w:trPr>
        <w:tc>
          <w:tcPr>
            <w:tcW w:w="1400" w:type="dxa"/>
          </w:tcPr>
          <w:p w14:paraId="31771A3E" w14:textId="77777777" w:rsidR="000F5DDC" w:rsidRDefault="00000000">
            <w:pPr>
              <w:pStyle w:val="Compact"/>
            </w:pPr>
            <w:r>
              <w:t>H</w:t>
            </w:r>
          </w:p>
        </w:tc>
        <w:tc>
          <w:tcPr>
            <w:tcW w:w="3700" w:type="dxa"/>
          </w:tcPr>
          <w:p w14:paraId="41369311" w14:textId="77777777" w:rsidR="000F5DDC" w:rsidRDefault="00000000">
            <w:pPr>
              <w:pStyle w:val="Compact"/>
            </w:pPr>
            <w:r>
              <w:t>Không có</w:t>
            </w:r>
          </w:p>
        </w:tc>
        <w:tc>
          <w:tcPr>
            <w:tcW w:w="3688" w:type="dxa"/>
          </w:tcPr>
          <w:p w14:paraId="65B4C525" w14:textId="77777777" w:rsidR="000F5DDC" w:rsidRDefault="00000000">
            <w:pPr>
              <w:pStyle w:val="Compact"/>
            </w:pPr>
            <w:r>
              <w:t>Rổ cổ phiếu HOSE được ghép với rổ CS (ký hiệu của đề tài, khác với H</w:t>
            </w:r>
            <w:r>
              <w:rPr>
                <w:vertAlign w:val="subscript"/>
              </w:rPr>
              <w:t>1</w:t>
            </w:r>
            <w:r>
              <w:t>–H</w:t>
            </w:r>
            <w:r>
              <w:rPr>
                <w:vertAlign w:val="subscript"/>
              </w:rPr>
              <w:t>4</w:t>
            </w:r>
            <w:r>
              <w:t xml:space="preserve"> là ký hiệu các giả thuyết)</w:t>
            </w:r>
          </w:p>
        </w:tc>
      </w:tr>
      <w:tr w:rsidR="000F5DDC" w14:paraId="77162066" w14:textId="77777777" w:rsidTr="000F5DDC">
        <w:trPr>
          <w:cantSplit/>
        </w:trPr>
        <w:tc>
          <w:tcPr>
            <w:tcW w:w="1400" w:type="dxa"/>
          </w:tcPr>
          <w:p w14:paraId="7B400A7E" w14:textId="77777777" w:rsidR="000F5DDC" w:rsidRDefault="00000000">
            <w:pPr>
              <w:pStyle w:val="Compact"/>
            </w:pPr>
            <w:r>
              <w:t>HNX</w:t>
            </w:r>
          </w:p>
        </w:tc>
        <w:tc>
          <w:tcPr>
            <w:tcW w:w="3700" w:type="dxa"/>
          </w:tcPr>
          <w:p w14:paraId="62DF7763" w14:textId="77777777" w:rsidR="000F5DDC" w:rsidRDefault="00000000">
            <w:pPr>
              <w:pStyle w:val="Compact"/>
            </w:pPr>
            <w:r>
              <w:t>Hanoi Stock Exchange</w:t>
            </w:r>
          </w:p>
        </w:tc>
        <w:tc>
          <w:tcPr>
            <w:tcW w:w="3688" w:type="dxa"/>
          </w:tcPr>
          <w:p w14:paraId="31F3F54C" w14:textId="77777777" w:rsidR="000F5DDC" w:rsidRDefault="00000000">
            <w:pPr>
              <w:pStyle w:val="Compact"/>
            </w:pPr>
            <w:r>
              <w:t>Sở Giao dịch Chứng khoán Hà Nội</w:t>
            </w:r>
          </w:p>
        </w:tc>
      </w:tr>
      <w:tr w:rsidR="000F5DDC" w14:paraId="28D29E82" w14:textId="77777777" w:rsidTr="000F5DDC">
        <w:trPr>
          <w:cantSplit/>
        </w:trPr>
        <w:tc>
          <w:tcPr>
            <w:tcW w:w="1400" w:type="dxa"/>
          </w:tcPr>
          <w:p w14:paraId="26E5E750" w14:textId="77777777" w:rsidR="000F5DDC" w:rsidRDefault="00000000">
            <w:pPr>
              <w:pStyle w:val="Compact"/>
            </w:pPr>
            <w:r>
              <w:t>HOSE</w:t>
            </w:r>
          </w:p>
        </w:tc>
        <w:tc>
          <w:tcPr>
            <w:tcW w:w="3700" w:type="dxa"/>
          </w:tcPr>
          <w:p w14:paraId="5CE79E16" w14:textId="77777777" w:rsidR="000F5DDC" w:rsidRDefault="00000000">
            <w:pPr>
              <w:pStyle w:val="Compact"/>
            </w:pPr>
            <w:r>
              <w:t>Ho Chi Minh Stock Exchange</w:t>
            </w:r>
          </w:p>
        </w:tc>
        <w:tc>
          <w:tcPr>
            <w:tcW w:w="3688" w:type="dxa"/>
          </w:tcPr>
          <w:p w14:paraId="3CA88A68" w14:textId="77777777" w:rsidR="000F5DDC" w:rsidRDefault="00000000">
            <w:pPr>
              <w:pStyle w:val="Compact"/>
            </w:pPr>
            <w:r>
              <w:t>Sở Giao dịch Chứng khoán Thành phố Hồ Chí Minh</w:t>
            </w:r>
          </w:p>
        </w:tc>
      </w:tr>
      <w:tr w:rsidR="000F5DDC" w14:paraId="0C44DDFA" w14:textId="77777777" w:rsidTr="000F5DDC">
        <w:trPr>
          <w:cantSplit/>
        </w:trPr>
        <w:tc>
          <w:tcPr>
            <w:tcW w:w="1400" w:type="dxa"/>
          </w:tcPr>
          <w:p w14:paraId="3317BC31" w14:textId="77777777" w:rsidR="000F5DDC" w:rsidRDefault="00000000">
            <w:pPr>
              <w:pStyle w:val="Compact"/>
            </w:pPr>
            <w:r>
              <w:t>MQI</w:t>
            </w:r>
          </w:p>
        </w:tc>
        <w:tc>
          <w:tcPr>
            <w:tcW w:w="3700" w:type="dxa"/>
          </w:tcPr>
          <w:p w14:paraId="309B6AE9" w14:textId="77777777" w:rsidR="000F5DDC" w:rsidRDefault="00000000">
            <w:pPr>
              <w:pStyle w:val="Compact"/>
            </w:pPr>
            <w:r>
              <w:t>Market Quality Index</w:t>
            </w:r>
          </w:p>
        </w:tc>
        <w:tc>
          <w:tcPr>
            <w:tcW w:w="3688" w:type="dxa"/>
          </w:tcPr>
          <w:p w14:paraId="55612E95" w14:textId="77777777" w:rsidR="000F5DDC" w:rsidRDefault="00000000">
            <w:pPr>
              <w:pStyle w:val="Compact"/>
            </w:pPr>
            <w:r>
              <w:t>Chỉ số chất lượng thị trường vốn</w:t>
            </w:r>
          </w:p>
        </w:tc>
      </w:tr>
      <w:tr w:rsidR="000F5DDC" w14:paraId="0507E6A7" w14:textId="77777777" w:rsidTr="000F5DDC">
        <w:trPr>
          <w:cantSplit/>
        </w:trPr>
        <w:tc>
          <w:tcPr>
            <w:tcW w:w="1400" w:type="dxa"/>
          </w:tcPr>
          <w:p w14:paraId="49047D1D" w14:textId="77777777" w:rsidR="000F5DDC" w:rsidRDefault="00000000">
            <w:pPr>
              <w:pStyle w:val="Compact"/>
            </w:pPr>
            <w:r>
              <w:t>OECD</w:t>
            </w:r>
          </w:p>
        </w:tc>
        <w:tc>
          <w:tcPr>
            <w:tcW w:w="3700" w:type="dxa"/>
          </w:tcPr>
          <w:p w14:paraId="4C408B57" w14:textId="77777777" w:rsidR="000F5DDC" w:rsidRDefault="00000000">
            <w:pPr>
              <w:pStyle w:val="Compact"/>
            </w:pPr>
            <w:r>
              <w:t>Organisation for Economic Co-operation and Development</w:t>
            </w:r>
          </w:p>
        </w:tc>
        <w:tc>
          <w:tcPr>
            <w:tcW w:w="3688" w:type="dxa"/>
          </w:tcPr>
          <w:p w14:paraId="632E5F39" w14:textId="77777777" w:rsidR="000F5DDC" w:rsidRDefault="00000000">
            <w:pPr>
              <w:pStyle w:val="Compact"/>
            </w:pPr>
            <w:r>
              <w:t>Tổ chức Hợp tác và Phát triển Kinh tế</w:t>
            </w:r>
          </w:p>
        </w:tc>
      </w:tr>
      <w:tr w:rsidR="000F5DDC" w14:paraId="71E79390" w14:textId="77777777" w:rsidTr="000F5DDC">
        <w:trPr>
          <w:cantSplit/>
        </w:trPr>
        <w:tc>
          <w:tcPr>
            <w:tcW w:w="1400" w:type="dxa"/>
          </w:tcPr>
          <w:p w14:paraId="1B283916" w14:textId="77777777" w:rsidR="000F5DDC" w:rsidRDefault="00000000">
            <w:pPr>
              <w:pStyle w:val="Compact"/>
            </w:pPr>
            <w:r>
              <w:t>OSF</w:t>
            </w:r>
          </w:p>
        </w:tc>
        <w:tc>
          <w:tcPr>
            <w:tcW w:w="3700" w:type="dxa"/>
          </w:tcPr>
          <w:p w14:paraId="7122BF1B" w14:textId="77777777" w:rsidR="000F5DDC" w:rsidRDefault="00000000">
            <w:pPr>
              <w:pStyle w:val="Compact"/>
            </w:pPr>
            <w:r>
              <w:t>Open Science Framework</w:t>
            </w:r>
          </w:p>
        </w:tc>
        <w:tc>
          <w:tcPr>
            <w:tcW w:w="3688" w:type="dxa"/>
          </w:tcPr>
          <w:p w14:paraId="5D0A5EE6" w14:textId="77777777" w:rsidR="000F5DDC" w:rsidRDefault="00000000">
            <w:pPr>
              <w:pStyle w:val="Compact"/>
            </w:pPr>
            <w:r>
              <w:t>Nền tảng khoa học mở</w:t>
            </w:r>
          </w:p>
        </w:tc>
      </w:tr>
      <w:tr w:rsidR="000F5DDC" w14:paraId="12B2BDE6" w14:textId="77777777" w:rsidTr="000F5DDC">
        <w:trPr>
          <w:cantSplit/>
        </w:trPr>
        <w:tc>
          <w:tcPr>
            <w:tcW w:w="1400" w:type="dxa"/>
          </w:tcPr>
          <w:p w14:paraId="5C14FEBC" w14:textId="77777777" w:rsidR="000F5DDC" w:rsidRDefault="00000000">
            <w:pPr>
              <w:pStyle w:val="Compact"/>
            </w:pPr>
            <w:r>
              <w:t>SMD</w:t>
            </w:r>
          </w:p>
        </w:tc>
        <w:tc>
          <w:tcPr>
            <w:tcW w:w="3700" w:type="dxa"/>
          </w:tcPr>
          <w:p w14:paraId="2C7D6311" w14:textId="77777777" w:rsidR="000F5DDC" w:rsidRDefault="00000000">
            <w:pPr>
              <w:pStyle w:val="Compact"/>
            </w:pPr>
            <w:r>
              <w:t>Stock Market Development</w:t>
            </w:r>
          </w:p>
        </w:tc>
        <w:tc>
          <w:tcPr>
            <w:tcW w:w="3688" w:type="dxa"/>
          </w:tcPr>
          <w:p w14:paraId="614E44D0" w14:textId="77777777" w:rsidR="000F5DDC" w:rsidRDefault="00000000">
            <w:pPr>
              <w:pStyle w:val="Compact"/>
            </w:pPr>
            <w:r>
              <w:t>Chỉ báo phát triển thị trường cổ phiếu</w:t>
            </w:r>
          </w:p>
        </w:tc>
      </w:tr>
      <w:tr w:rsidR="000F5DDC" w14:paraId="62EB76CC" w14:textId="77777777" w:rsidTr="000F5DDC">
        <w:trPr>
          <w:cantSplit/>
        </w:trPr>
        <w:tc>
          <w:tcPr>
            <w:tcW w:w="1400" w:type="dxa"/>
          </w:tcPr>
          <w:p w14:paraId="6E2BEE54" w14:textId="77777777" w:rsidR="000F5DDC" w:rsidRDefault="00000000">
            <w:pPr>
              <w:pStyle w:val="Compact"/>
            </w:pPr>
            <w:r>
              <w:t>UPCoM</w:t>
            </w:r>
          </w:p>
        </w:tc>
        <w:tc>
          <w:tcPr>
            <w:tcW w:w="3700" w:type="dxa"/>
          </w:tcPr>
          <w:p w14:paraId="2662FB30" w14:textId="77777777" w:rsidR="000F5DDC" w:rsidRDefault="00000000">
            <w:pPr>
              <w:pStyle w:val="Compact"/>
            </w:pPr>
            <w:r>
              <w:t>Unlisted Public Company Market</w:t>
            </w:r>
          </w:p>
        </w:tc>
        <w:tc>
          <w:tcPr>
            <w:tcW w:w="3688" w:type="dxa"/>
          </w:tcPr>
          <w:p w14:paraId="3E4B1EDA" w14:textId="77777777" w:rsidR="000F5DDC" w:rsidRDefault="00000000">
            <w:pPr>
              <w:pStyle w:val="Compact"/>
            </w:pPr>
            <w:r>
              <w:t>Thị trường giao dịch cổ phiếu của công ty đại chúng chưa niêm yết</w:t>
            </w:r>
          </w:p>
        </w:tc>
      </w:tr>
      <w:tr w:rsidR="000F5DDC" w14:paraId="68DB650D" w14:textId="77777777" w:rsidTr="000F5DDC">
        <w:trPr>
          <w:cantSplit/>
        </w:trPr>
        <w:tc>
          <w:tcPr>
            <w:tcW w:w="1400" w:type="dxa"/>
          </w:tcPr>
          <w:p w14:paraId="7E3955A2" w14:textId="77777777" w:rsidR="000F5DDC" w:rsidRDefault="00000000">
            <w:pPr>
              <w:pStyle w:val="Compact"/>
            </w:pPr>
            <w:r>
              <w:t>VNX</w:t>
            </w:r>
          </w:p>
        </w:tc>
        <w:tc>
          <w:tcPr>
            <w:tcW w:w="3700" w:type="dxa"/>
          </w:tcPr>
          <w:p w14:paraId="78972CC5" w14:textId="77777777" w:rsidR="000F5DDC" w:rsidRDefault="00000000">
            <w:pPr>
              <w:pStyle w:val="Compact"/>
            </w:pPr>
            <w:r>
              <w:t>Vietnam Exchange</w:t>
            </w:r>
          </w:p>
        </w:tc>
        <w:tc>
          <w:tcPr>
            <w:tcW w:w="3688" w:type="dxa"/>
          </w:tcPr>
          <w:p w14:paraId="5A9D8A9C" w14:textId="77777777" w:rsidR="000F5DDC" w:rsidRDefault="00000000">
            <w:pPr>
              <w:pStyle w:val="Compact"/>
            </w:pPr>
            <w:r>
              <w:t>Sở Giao dịch Chứng khoán Việt Nam</w:t>
            </w:r>
          </w:p>
        </w:tc>
      </w:tr>
    </w:tbl>
    <w:p w14:paraId="43C09085" w14:textId="77777777" w:rsidR="005D3DB2" w:rsidRDefault="005D3DB2">
      <w:pPr>
        <w:sectPr w:rsidR="005D3DB2" w:rsidSect="00E7091C">
          <w:footerReference w:type="default" r:id="rId10"/>
          <w:pgSz w:w="11906" w:h="16838"/>
          <w:pgMar w:top="1134" w:right="1134" w:bottom="1134" w:left="1984" w:header="567" w:footer="567" w:gutter="0"/>
          <w:pgNumType w:fmt="lowerRoman" w:start="1"/>
          <w:cols w:space="720"/>
          <w:docGrid w:linePitch="360"/>
        </w:sectPr>
      </w:pPr>
    </w:p>
    <w:p w14:paraId="4D750E44" w14:textId="77777777" w:rsidR="005D3DB2" w:rsidRPr="005C17A3" w:rsidRDefault="00000000">
      <w:pPr>
        <w:pStyle w:val="Heading1"/>
      </w:pPr>
      <w:bookmarkStart w:id="0" w:name="_Toc243136571"/>
      <w:bookmarkStart w:id="1" w:name="đề-cương-sơ-bộ-dự-kiến"/>
      <w:r w:rsidRPr="005C17A3">
        <w:lastRenderedPageBreak/>
        <w:t>4. Đề cương sơ bộ dự kiến</w:t>
      </w:r>
      <w:bookmarkEnd w:id="0"/>
    </w:p>
    <w:p w14:paraId="1EB11947" w14:textId="77777777" w:rsidR="005D3DB2" w:rsidRPr="005C17A3" w:rsidRDefault="00000000">
      <w:pPr>
        <w:pStyle w:val="Heading2"/>
      </w:pPr>
      <w:bookmarkStart w:id="2" w:name="_Toc243136572"/>
      <w:bookmarkStart w:id="3" w:name="lý-do-chọn-đề-tài"/>
      <w:r w:rsidRPr="005C17A3">
        <w:t>4.1. Lý do chọn đề tài</w:t>
      </w:r>
      <w:bookmarkEnd w:id="2"/>
    </w:p>
    <w:p w14:paraId="0B2372B7" w14:textId="77777777" w:rsidR="005D3DB2" w:rsidRPr="005C17A3" w:rsidRDefault="00000000">
      <w:pPr>
        <w:pStyle w:val="FirstParagraph"/>
      </w:pPr>
      <w:r w:rsidRPr="005C17A3">
        <w:t>Hà Nội là trung tâm tài chính lớn của cả nước, nhưng hệ thống dịch vụ tài chính chưa đạt tầm khu vực. Thành phố đưa vấn đề này vào Danh mục bài toán lớn giai đoạn 2026–2030 dưới dạng bài toán số 19: “Phương thức nào để xây dựng Hà Nội thành trung tâm tài chính và dịch vụ chất lượng cao quốc tế?” (Ủy ban nhân dân thành phố Hà Nội, 2026, Phụ lục, bài toán số 19).</w:t>
      </w:r>
    </w:p>
    <w:p w14:paraId="69F4999D" w14:textId="77777777" w:rsidR="005D3DB2" w:rsidRPr="005C17A3" w:rsidRDefault="00000000">
      <w:pPr>
        <w:pStyle w:val="BodyText"/>
      </w:pPr>
      <w:r w:rsidRPr="005C17A3">
        <w:t>Đề tài không đề xuất mô hình trung tâm tài chính (câu hỏi số 1 của bài toán) hay nền tảng công nghệ cho thị trường tài chính (câu hỏi số 3). Đề tài cung cấp thước đo nền cho hai câu hỏi này: chất lượng giao dịch cổ phiếu khác nhau thế nào giữa sàn niêm yết của Hà Nội và sàn của Thành phố Hồ Chí Minh, và thay đổi thế nào khi cổ phiếu niêm yết chuyển từ Sở Giao dịch Chứng khoán Hà Nội (HNX) sang Sở Giao dịch Chứng khoán Thành phố Hồ Chí Minh (HOSE).</w:t>
      </w:r>
    </w:p>
    <w:p w14:paraId="67B612A5" w14:textId="77777777" w:rsidR="005D3DB2" w:rsidRPr="005C17A3" w:rsidRDefault="00000000">
      <w:pPr>
        <w:pStyle w:val="BodyText"/>
      </w:pPr>
      <w:r w:rsidRPr="005C17A3">
        <w:t>Đề cương dùng các khái niệm sau với nghĩa cố định. Năng lực cạnh tranh của trung tâm tài chính là khả năng giữ và thu hút các tổ chức tài chính và cung cấp dịch vụ đáp ứng nhu cầu trong nước và quốc tế (Yao, 2012), đo bằng điểm Chỉ số Trung tâm Tài chính Toàn cầu (GFCI). Chất lượng thị trường vốn gồm ba chiều: thanh khoản, hiệu quả thông tin và minh bạch công bố. Khả năng đầu tư của một rổ cổ phiếu là lợi suất tương đương chắc chắn sau chi phí giao dịch mà nhà đầu tư đa dạng hóa đạt được với rổ đó, khác với nghĩa giới hạn sở hữu của nhà đầu tư nước ngoài (Bae và cộng sự, 2004).</w:t>
      </w:r>
    </w:p>
    <w:p w14:paraId="4EF63263" w14:textId="77777777" w:rsidR="005D3DB2" w:rsidRPr="005C17A3" w:rsidRDefault="00000000">
      <w:pPr>
        <w:pStyle w:val="BodyText"/>
      </w:pPr>
      <w:r w:rsidRPr="005C17A3">
        <w:t>Hợp nhất sàn là việc chuyển toàn bộ cổ phiếu niêm yết từ HNX sang HOSE. Thị trường vốn Hà Nội là các thị trường do HNX tiếp tục vận hành sau hợp nhất: trái phiếu, chứng khoán phái sinh, và thị trường giao dịch cổ phiếu của công ty đại chúng chưa niêm yết (UPCoM) khi thị trường này còn do HNX tổ chức.</w:t>
      </w:r>
    </w:p>
    <w:p w14:paraId="55F7CFC3" w14:textId="77777777" w:rsidR="005D3DB2" w:rsidRPr="005C17A3" w:rsidRDefault="00000000">
      <w:pPr>
        <w:pStyle w:val="BodyText"/>
      </w:pPr>
      <w:r w:rsidRPr="005C17A3">
        <w:t>Theo Nghị quyết số 222/2025/QH15, Trung tâm tài chính quốc tế tại Việt Nam đặt tại Thành phố Hồ Chí Minh và thành phố Đà Nẵng (Quốc hội, 2025). Ở kỳ GFCI 40 (tháng 9/2026), Thành phố Hồ Chí Minh xếp thứ 67 trên 117 trung tâm, Đà Nẵng lần đầu vào chỉ số ở vị trí 71, còn Hà Nội không có trong bảng xếp hạng (Wardle &amp; Mainelli, 2026).</w:t>
      </w:r>
    </w:p>
    <w:p w14:paraId="1EEA56D7" w14:textId="77777777" w:rsidR="005D3DB2" w:rsidRPr="005C17A3" w:rsidRDefault="00000000">
      <w:pPr>
        <w:pStyle w:val="BodyText"/>
      </w:pPr>
      <w:r w:rsidRPr="005C17A3">
        <w:lastRenderedPageBreak/>
        <w:t>Lộ trình hợp nhất đã bị lùi hai lần: hạn chuyển cổ phiếu niêm yết từ HNX sang HOSE là năm 2023 theo Thông tư số 57/2021/TT-BTC, hết năm 2025 theo Thông tư số 69/2023/TT-BTC (Bộ Tài chính, 2023) và hết ngày 31/12/2026 theo Thông tư số 139/2025/TT-BTC (Bộ Tài chính, 2025). Theo thông báo ngày 30/9/2026 của Sở Giao dịch Chứng khoán Việt Nam (VNX), cổ phiếu niêm yết tại HNX giao dịch phiên cuối ngày 23/12/2026, tạm ngừng hai ngày 24 và 25/12/2026, và giao dịch tại HOSE từ ngày 28/12/2026 (Sở Giao dịch Chứng khoán Việt Nam, 2026).</w:t>
      </w:r>
    </w:p>
    <w:p w14:paraId="1F123845" w14:textId="77777777" w:rsidR="005D3DB2" w:rsidRPr="005C17A3" w:rsidRDefault="00000000">
      <w:pPr>
        <w:pStyle w:val="BodyText"/>
      </w:pPr>
      <w:r w:rsidRPr="005C17A3">
        <w:t>Hạn chuyển cổ phiếu UPCoM sang HOSE cũng là hết ngày 31/12/2026, do Thông tư số 69/2023/TT-BTC đặt và không bị Thông tư số 139/2025/TT-BTC sửa (Bộ Tài chính, 2023, 2025). Tuy vậy, thông báo của VNX chỉ áp dụng cho cổ phiếu niêm yết; báo chí cho biết cổ phiếu UPCoM không thuộc diện chuyển trong đợt này (Báo Đầu tư Chứng khoán, 2026), và đến ngày 17/10/2026 chưa có văn bản công bố lịch chuyển cổ phiếu UPCoM; đề tài sẽ cập nhật lịch này khi VNX công bố (mục 4.3.10).</w:t>
      </w:r>
    </w:p>
    <w:p w14:paraId="19057175" w14:textId="77777777" w:rsidR="005D3DB2" w:rsidRPr="005C17A3" w:rsidRDefault="00000000">
      <w:pPr>
        <w:pStyle w:val="BodyText"/>
      </w:pPr>
      <w:r w:rsidRPr="005C17A3">
        <w:t>Lý thuyết về trung tâm tài chính giải thích vì sao hoạt động tài chính dồn về một vài thành phố: quy mô giao dịch và thông tin tạo lợi thế tích tụ (Gehrig, 2000; Kindleberger, 1974). Khi một quốc gia có nhiều trung tâm, các trung tâm phân vai: ở Trung Quốc, Thượng Hải là trung tâm thương mại, Bắc Kinh là trung tâm chính trị và quản lý, Hồng Kông là trung tâm hải ngoại (Lai, 2012), và Bắc Kinh là trung tâm tài chính lớn dù không có sở giao dịch chứng khoán tầm quốc gia trong phần lớn quá trình phát triển (Naeem, 2023). Với Hà Nội, câu hỏi sau hợp nhất là nên chuyên môn hóa vào những thị trường nào, tương tự cách Yao (2012) phân tích lợi thế của Luxembourg đối với ngành quỹ đầu tư.</w:t>
      </w:r>
    </w:p>
    <w:p w14:paraId="00DE4670" w14:textId="77777777" w:rsidR="000F5DDC" w:rsidRPr="005C17A3" w:rsidRDefault="00000000">
      <w:pPr>
        <w:pStyle w:val="BodyText"/>
      </w:pPr>
      <w:r w:rsidRPr="005C17A3">
        <w:t>Đợt hợp nhất ở Việt Nam đổi sàn của toàn bộ cổ phiếu niêm yết tại HNX, gồm 299 mã tính đến phiên 30/9/2026 trong cùng một ngày (Tuổi Trẻ Online, 2026b). Sự kiện này cho phép so sánh cùng các cổ phiếu trước và sau khi đổi sàn với một nhóm đối chứng, về thanh khoản lẫn khả năng đầu tư.</w:t>
      </w:r>
    </w:p>
    <w:p w14:paraId="6A40DB40" w14:textId="77777777" w:rsidR="005D3DB2" w:rsidRPr="005C17A3" w:rsidRDefault="00000000">
      <w:pPr>
        <w:pStyle w:val="BodyText"/>
      </w:pPr>
      <w:r w:rsidRPr="005C17A3">
        <w:t xml:space="preserve">Tài liệu hiện có để ngỏ ba vấn đề. Thứ nhất, 17 yếu tố mà Naeem (2023) dùng để giải thích thứ hạng GFCI không có chỉ báo nào về thị trường cổ phiếu, còn các nghiên cứu khác xét nhiều nhóm yếu tố cùng lúc nên chưa tách riêng vai trò của thị trường cổ phiếu (Eichengreen &amp; Shah, 2020; Moosa và cộng sự, 2016). Thứ hai, bằng chứng về hợp nhất sàn chủ yếu đến từ thị trường phát triển, trái chiều theo quy mô </w:t>
      </w:r>
      <w:r w:rsidRPr="005C17A3">
        <w:lastRenderedPageBreak/>
        <w:t>doanh nghiệp và chỉ đo thanh khoản (Hisada, 2018; Nielsson, 2009). Thứ ba, các công trình về Việt Nam tập trung vào HOSE (Goutte và cộng sự, 2025; Hoang &amp; Luu, 2024; Vo &amp; Phan, 2017) và chưa có nghiên cứu nào về đợt hợp nhất năm 2026.</w:t>
      </w:r>
    </w:p>
    <w:p w14:paraId="552818AA" w14:textId="2A62BC65" w:rsidR="005D3DB2" w:rsidRPr="005C17A3" w:rsidRDefault="00000000">
      <w:pPr>
        <w:pStyle w:val="BodyText"/>
      </w:pPr>
      <w:r w:rsidRPr="005C17A3">
        <w:rPr>
          <w:b/>
          <w:bCs/>
        </w:rPr>
        <w:t>Câu hỏi nghiên cứu.</w:t>
      </w:r>
      <w:r w:rsidRPr="005C17A3">
        <w:t xml:space="preserve"> Từ những vấn đề trên, đề tài đặt ra ba câu hỏi, mỗi câu gắn với câu hỏi tương ứng của bài toán số 19:</w:t>
      </w:r>
    </w:p>
    <w:p w14:paraId="7E472512" w14:textId="77777777" w:rsidR="005D3DB2" w:rsidRPr="005C17A3" w:rsidRDefault="00000000">
      <w:pPr>
        <w:pStyle w:val="BodyText"/>
      </w:pPr>
      <w:r w:rsidRPr="005C17A3">
        <w:t>Câu hỏi 1: Mức phát triển thị trường cổ phiếu liên hệ thế nào với điểm GFCI của trung tâm tài chính, sau khi kiểm soát chất lượng thể chế và thu nhập? (bối cảnh cho câu hỏi số 1 của bài toán số 19)</w:t>
      </w:r>
    </w:p>
    <w:p w14:paraId="0A661249" w14:textId="77777777" w:rsidR="005D3DB2" w:rsidRPr="005C17A3" w:rsidRDefault="00000000">
      <w:pPr>
        <w:pStyle w:val="BodyText"/>
      </w:pPr>
      <w:r w:rsidRPr="005C17A3">
        <w:t>Câu hỏi 2: Trước khi hợp nhất, chất lượng thị trường vốn của sàn niêm yết HNX thấp hơn của HOSE bao nhiêu? (câu hỏi số 3)</w:t>
      </w:r>
    </w:p>
    <w:p w14:paraId="08D83FD5" w14:textId="77777777" w:rsidR="005D3DB2" w:rsidRPr="005C17A3" w:rsidRDefault="00000000">
      <w:pPr>
        <w:pStyle w:val="BodyText"/>
      </w:pPr>
      <w:r w:rsidRPr="005C17A3">
        <w:t>Câu hỏi 3: Việc chuyển sàn ngày 28/12/2026 làm thanh khoản và khả năng đầu tư của các cổ phiếu chuyển sàn thay đổi bao nhiêu? (câu hỏi số 1 và số 3)</w:t>
      </w:r>
    </w:p>
    <w:p w14:paraId="6B158287" w14:textId="77777777" w:rsidR="005D3DB2" w:rsidRPr="005C17A3" w:rsidRDefault="00000000">
      <w:pPr>
        <w:pStyle w:val="BodyText"/>
      </w:pPr>
      <w:r w:rsidRPr="005C17A3">
        <w:rPr>
          <w:b/>
          <w:bCs/>
        </w:rPr>
        <w:t>Mục tiêu nghiên cứu.</w:t>
      </w:r>
      <w:r w:rsidRPr="005C17A3">
        <w:t xml:space="preserve"> Mục tiêu tổng quát là đo khoảng cách chất lượng thị trường giữa hai sàn trước hợp nhất và lượng hóa tác động của việc chuyển sàn năm 2026 lên thanh khoản và khả năng đầu tư của các cổ phiếu chuyển sàn, làm căn cứ cho định hướng chuyên môn hóa của thị trường vốn Hà Nội.</w:t>
      </w:r>
    </w:p>
    <w:p w14:paraId="333D5F11" w14:textId="77777777" w:rsidR="005D3DB2" w:rsidRPr="005C17A3" w:rsidRDefault="00000000">
      <w:pPr>
        <w:pStyle w:val="BodyText"/>
      </w:pPr>
      <w:r w:rsidRPr="005C17A3">
        <w:t>Bốn mục tiêu cụ thể là: (i) ước lượng liên hệ giữa mức phát triển thị trường cổ phiếu và điểm GFCI trên dữ liệu bảng quốc tế; (ii) xây dựng Chỉ số chất lượng thị trường vốn theo tháng cho sàn niêm yết HNX, UPCoM và HOSE; (iii) ước lượng tác động của việc chuyển sàn lên thanh khoản và khả năng đầu tư, kể cả khác biệt của tác động theo mức chịu cú sốc biên độ, bước giá, chỉ số (mục 4.3.7) và theo trụ sở doanh nghiệp; (iv) tổng hợp định tính các kết quả thành định hướng chuyên môn hóa và hạ tầng dữ liệu cho thị trường vốn Hà Nội.</w:t>
      </w:r>
    </w:p>
    <w:p w14:paraId="243E8E93" w14:textId="77777777" w:rsidR="005D3DB2" w:rsidRPr="005C17A3" w:rsidRDefault="00000000">
      <w:pPr>
        <w:pStyle w:val="BodyText"/>
      </w:pPr>
      <w:r w:rsidRPr="005C17A3">
        <w:rPr>
          <w:b/>
          <w:bCs/>
        </w:rPr>
        <w:t>Đóng góp dự kiến.</w:t>
      </w:r>
      <w:r w:rsidRPr="005C17A3">
        <w:t xml:space="preserve"> So với Yao (2012), Eichengreen và Shah (2020) và Naeem (2023), đề tài đưa riêng mức phát triển thị trường cổ phiếu vào mô hình điểm GFCI. So với Nielsson (2009) và Hisada (2018), đề tài nghiên cứu hợp nhất hai sàn trong một quốc gia mới nổi, dùng suy luận phù hợp với một sự kiện duy nhất và đo thêm tác động lên khả năng đầu tư. So với các công trình về Việt Nam (Goutte và cộng sự, 2025; Nguyễn &amp; Nguyễn, 2026a; Vo &amp; Phan, 2017), đề tài xây dựng chỉ số so sánh HNX với HOSE và cung cấp bằng chứng đầu tiên, trong phạm vi tìm kiếm của thí sinh, về đợt hợp nhất năm 2026.</w:t>
      </w:r>
    </w:p>
    <w:p w14:paraId="0EF06BB5" w14:textId="77777777" w:rsidR="005D3DB2" w:rsidRPr="005C17A3" w:rsidRDefault="00000000">
      <w:pPr>
        <w:pStyle w:val="BodyText"/>
      </w:pPr>
      <w:r w:rsidRPr="005C17A3">
        <w:lastRenderedPageBreak/>
        <w:t>Về sản phẩm, Chỉ số chất lượng thị trường vốn có thể là một cấu phần của sản phẩm “Hệ thống dữ liệu tài chính đô thị” mà bài toán số 19 nêu, còn báo cáo định hướng chuyên môn hóa là một đầu vào phân tích cho sản phẩm “Trung tâm tài chính quốc tế tại Hà Nội”. Đề tài không thiết kế sản phẩm “Trung tâm tài chính quốc tế tại Hà Nội”, và Nghị quyết số 222/2025/QH15 hiện chỉ đặt trung tâm tài chính quốc tế tại Thành phố Hồ Chí Minh và Đà Nẵng. Hai chỉ số (chất lượng thị trường vốn và khả năng đầu tư) cùng tệp đăng ký trước là sản phẩm có được dù kết quả kiểm định ra sao.</w:t>
      </w:r>
    </w:p>
    <w:p w14:paraId="3860AB1D" w14:textId="77777777" w:rsidR="005D3DB2" w:rsidRPr="005C17A3" w:rsidRDefault="00000000">
      <w:pPr>
        <w:pStyle w:val="BodyText"/>
      </w:pPr>
      <w:r w:rsidRPr="005C17A3">
        <w:t>Kết quả của đề tài được kiểm chứng bằng sáu chỉ tiêu; mỗi chỉ tiêu có mốc thời gian và bằng chứng công khai:</w:t>
      </w:r>
    </w:p>
    <w:p w14:paraId="6F913F64" w14:textId="77777777" w:rsidR="005D3DB2" w:rsidRPr="005C17A3" w:rsidRDefault="00000000">
      <w:pPr>
        <w:pStyle w:val="BodyText"/>
      </w:pPr>
      <w:r w:rsidRPr="005C17A3">
        <w:t>(1) Tệp đăng ký trước kế hoạch phân tích trên OSF Registries, khóa có dấu thời gian trước ngày 28/12/2026.</w:t>
      </w:r>
    </w:p>
    <w:p w14:paraId="3239C096" w14:textId="77777777" w:rsidR="005D3DB2" w:rsidRPr="005C17A3" w:rsidRDefault="00000000">
      <w:pPr>
        <w:pStyle w:val="BodyText"/>
      </w:pPr>
      <w:r w:rsidRPr="005C17A3">
        <w:t>(2) Chỉ số chất lượng thị trường vốn theo tháng cho ba sàn từ tháng 6/2009, công bố cùng mã nguồn trên kho lưu trữ mở.</w:t>
      </w:r>
    </w:p>
    <w:p w14:paraId="6C9E0B7D" w14:textId="77777777" w:rsidR="005D3DB2" w:rsidRPr="005C17A3" w:rsidRDefault="00000000">
      <w:pPr>
        <w:pStyle w:val="BodyText"/>
      </w:pPr>
      <w:r w:rsidRPr="005C17A3">
        <w:t>(3) Ước lượng tác động của việc chuyển sàn lên thanh khoản với 24 tháng dữ liệu sau sự kiện, kèm hiệu ứng nhỏ nhất phát hiện được và khoảng tin cậy, theo đúng tệp đăng ký.</w:t>
      </w:r>
    </w:p>
    <w:p w14:paraId="062BA1D1" w14:textId="77777777" w:rsidR="005D3DB2" w:rsidRPr="005C17A3" w:rsidRDefault="00000000">
      <w:pPr>
        <w:pStyle w:val="BodyText"/>
      </w:pPr>
      <w:r w:rsidRPr="005C17A3">
        <w:t>(4) Chỉ số khả năng đầu tư của rổ cổ phiếu chuyển sàn, cho 20 cửa sổ trước và 8 cửa sổ sau sự kiện.</w:t>
      </w:r>
    </w:p>
    <w:p w14:paraId="52EB7583" w14:textId="77777777" w:rsidR="005D3DB2" w:rsidRPr="005C17A3" w:rsidRDefault="00000000">
      <w:pPr>
        <w:pStyle w:val="BodyText"/>
      </w:pPr>
      <w:r w:rsidRPr="005C17A3">
        <w:t>(5) Ba bài báo trên tạp chí có phản biện, với mục tiêu ít nhất một bài, do thí sinh là tác giả chính, thuộc cơ sở dữ liệu Web of Science hạng Q1 hoặc Q2, và một đến hai báo cáo hội thảo đăng trong kỷ yếu được Hội đồng Giáo sư nhà nước tính điểm (hội thảo trong nước) hoặc thuộc cơ sở dữ liệu Scopus hoặc Web of Science (hội thảo ở nước ngoài).</w:t>
      </w:r>
    </w:p>
    <w:p w14:paraId="2E081156" w14:textId="77777777" w:rsidR="005D3DB2" w:rsidRPr="005C17A3" w:rsidRDefault="00000000">
      <w:pPr>
        <w:pStyle w:val="BodyText"/>
      </w:pPr>
      <w:r w:rsidRPr="005C17A3">
        <w:t>(6) Báo cáo định hướng chuyên môn hóa cho các thị trường do HNX tiếp tục vận hành, gửi Sở Khoa học và Công nghệ Hà Nội trong năm thứ tư, kèm văn bản xác nhận hoặc cam kết sử dụng kết quả của ít nhất một đơn vị, ưu tiên HNX.</w:t>
      </w:r>
    </w:p>
    <w:p w14:paraId="068DD58E" w14:textId="77777777" w:rsidR="005D3DB2" w:rsidRPr="005C17A3" w:rsidRDefault="00000000">
      <w:pPr>
        <w:pStyle w:val="Heading2"/>
      </w:pPr>
      <w:bookmarkStart w:id="4" w:name="_Toc243136573"/>
      <w:bookmarkStart w:id="5" w:name="X2a5cd820fe3188a31353ee58af4fc2ceace149d"/>
      <w:bookmarkEnd w:id="3"/>
      <w:r w:rsidRPr="005C17A3">
        <w:t>4.2. Tổng quan những tài liệu liên quan đến tình hình nghiên cứu</w:t>
      </w:r>
      <w:bookmarkEnd w:id="4"/>
    </w:p>
    <w:p w14:paraId="0A465CBD" w14:textId="77777777" w:rsidR="000F5DDC" w:rsidRPr="005C17A3" w:rsidRDefault="00000000">
      <w:pPr>
        <w:pStyle w:val="FirstParagraph"/>
      </w:pPr>
      <w:r w:rsidRPr="005C17A3">
        <w:rPr>
          <w:i/>
          <w:iCs/>
        </w:rPr>
        <w:t>(A) Trung tâm tài chính: tích tụ, cạnh tranh và phân vai.</w:t>
      </w:r>
      <w:r w:rsidRPr="005C17A3">
        <w:t xml:space="preserve"> Kindleberger (1974) và Gehrig (2000) giải thích sự tập trung của hoạt động tài chính bằng lợi thế quy mô và thông tin. Yao (2012) xác định các yếu tố quyết định sức hấp dẫn của trung tâm </w:t>
      </w:r>
      <w:r w:rsidRPr="005C17A3">
        <w:lastRenderedPageBreak/>
        <w:t>đối với ngành quỹ đầu tư qua trường hợp Luxembourg. Moosa và cộng sự (2016) kiểm tra độ vững của các yếu tố quyết định vị thế trung tâm, còn Eichengreen và Shah (2020) xếp các yếu tố thành năm nhóm, trong đó có nhóm phát triển tài chính và vốn hóa thị trường.</w:t>
      </w:r>
    </w:p>
    <w:p w14:paraId="48608252" w14:textId="77777777" w:rsidR="000F5DDC" w:rsidRPr="005C17A3" w:rsidRDefault="00000000">
      <w:pPr>
        <w:pStyle w:val="FirstParagraph"/>
      </w:pPr>
      <w:r w:rsidRPr="005C17A3">
        <w:t>Naeem (2023) hồi quy thứ hạng GFCI của 196 trung tâm giai đoạn 2007–2020 theo 17 yếu tố chọn bằng phương pháp cây quyết định, không gồm chỉ báo thị trường cổ phiếu; Cetorelli và Peristiani (2013) đo vị thế trung tâm qua mạng lưới niêm yết quốc tế của sàn. Ở Trung Quốc, Lai (2012) và Wang và cộng sự (2007) mô tả sự phân vai giữa Bắc Kinh, Thượng Hải và Hồng Kông, Chen và Chen (2015) nhấn mạnh vai trò dẫn dắt của nhà nước, và Elliott (2011) cho rằng không có công thức chung để xây dựng một trung tâm toàn cầu.</w:t>
      </w:r>
    </w:p>
    <w:p w14:paraId="39745E74" w14:textId="77777777" w:rsidR="000F5DDC" w:rsidRPr="005C17A3" w:rsidRDefault="00000000">
      <w:pPr>
        <w:pStyle w:val="FirstParagraph"/>
      </w:pPr>
      <w:r w:rsidRPr="005C17A3">
        <w:rPr>
          <w:i/>
          <w:iCs/>
        </w:rPr>
        <w:t>(B) Chất lượng thị trường vốn.</w:t>
      </w:r>
      <w:r w:rsidRPr="005C17A3">
        <w:t xml:space="preserve"> Thanh khoản thường được đo từ dữ liệu ngày bằng độ phi thanh khoản (Amihud, 2002), tỷ lệ ngày có lợi suất bằng 0 (Bekaert và cộng sự, 2007; Lesmond và cộng sự, 1999) và chênh lệch mua-bán ước lượng từ giá cao nhất và thấp nhất (Corwin &amp; Schultz, 2012); Lesmond (2005) và Fong và cộng sự (2017) đánh giá chỉ báo nào đo thanh khoản tốt nhất.</w:t>
      </w:r>
    </w:p>
    <w:p w14:paraId="405859BD" w14:textId="77777777" w:rsidR="000F5DDC" w:rsidRPr="005C17A3" w:rsidRDefault="00000000">
      <w:pPr>
        <w:pStyle w:val="BodyText"/>
      </w:pPr>
      <w:r w:rsidRPr="005C17A3">
        <w:t>Hiệu quả thông tin được đo bằng tỷ số phương sai (Lo &amp; MacKinlay, 1988) và độ trễ giá (Hou &amp; Moskowitz, 2005), dù các thước đo này có thể sai lệch khi môi trường thông tin khác nhau (Griffin và cộng sự, 2010). Lang và cộng sự (2012) liên hệ minh bạch với thanh khoản, và Čihák và cộng sự (2012) xây dựng Cơ sở dữ liệu Phát triển Tài chính Toàn cầu. Các thước đo này chưa được quy đổi thành tổn thất của nhà đầu tư đa dạng hóa.</w:t>
      </w:r>
    </w:p>
    <w:p w14:paraId="18777A16" w14:textId="77777777" w:rsidR="005D3DB2" w:rsidRPr="005C17A3" w:rsidRDefault="00000000">
      <w:pPr>
        <w:pStyle w:val="FirstParagraph"/>
      </w:pPr>
      <w:r w:rsidRPr="005C17A3">
        <w:rPr>
          <w:i/>
          <w:iCs/>
        </w:rPr>
        <w:t>(C) Cấu trúc sàn, đổi sàn và hợp nhất sàn.</w:t>
      </w:r>
      <w:r w:rsidRPr="005C17A3">
        <w:t xml:space="preserve"> Huang và Stoll (1996) so sánh chi phí giao dịch của các cặp cổ phiếu tương đồng trên hai sàn, và Christie và Huang (1994) đo thanh khoản của cùng một cổ phiếu khi doanh nghiệp đổi sàn. Khi Sở Giao dịch Chứng khoán Tel Aviv chuyển cổ phiếu sang cơ chế có thêm phiên giao dịch liên tục, lợi suất bất thường tích lũy điều chỉnh theo thị trường đạt khoảng 5,5% từ năm ngày trước công bố đến 30 ngày sau khi giao dịch theo cơ chế mới, và thanh khoản tăng cùng giá (Amihud và cộng sự, 1997).</w:t>
      </w:r>
    </w:p>
    <w:p w14:paraId="3A9349FA" w14:textId="77777777" w:rsidR="005D3DB2" w:rsidRPr="005C17A3" w:rsidRDefault="00000000">
      <w:pPr>
        <w:pStyle w:val="FirstParagraph"/>
      </w:pPr>
      <w:r w:rsidRPr="005C17A3">
        <w:t xml:space="preserve">Việc hình thành Euronext làm thanh khoản tăng ở doanh nghiệp lớn và doanh nghiệp có doanh thu nước ngoài, nhưng không tăng ở doanh nghiệp nhỏ (Nielsson, 2009). Sau khi thị trường cổ phiếu của Osaka được hợp nhất vào Tokyo ngày </w:t>
      </w:r>
      <w:r w:rsidRPr="005C17A3">
        <w:lastRenderedPageBreak/>
        <w:t>16/7/2013, thanh khoản của các cổ phiếu sẵn có trên Sở Giao dịch Chứng khoán Tokyo tăng trong ngắn hạn rồi giảm sau một năm, với hiệu ứng tâm lý mạnh hơn ở cổ phiếu nhỏ (Hisada, 2018); Arnold và cộng sự (1999, dẫn theo Hisada, 2018) cũng thấy hợp nhất sàn làm thanh khoản tăng. Wójcik (2007) phân tích quan hệ hai chiều giữa sàn chứng khoán và trung tâm tài chính. Bằng chứng ở thị trường mới nổi còn ít và chưa đo khả năng đầu tư.</w:t>
      </w:r>
    </w:p>
    <w:p w14:paraId="3F89C733" w14:textId="77777777" w:rsidR="005D3DB2" w:rsidRPr="005C17A3" w:rsidRDefault="00000000">
      <w:pPr>
        <w:pStyle w:val="BodyText"/>
      </w:pPr>
      <w:r w:rsidRPr="005C17A3">
        <w:rPr>
          <w:i/>
          <w:iCs/>
        </w:rPr>
        <w:t>(D) Đa dạng hóa danh mục khi tham số được ước lượng.</w:t>
      </w:r>
      <w:r w:rsidRPr="005C17A3">
        <w:t xml:space="preserve"> Tối ưu hóa trung bình-phương sai (Markowitz, 1952) dồn trọng số vào tài sản có sai số ước lượng lớn (Michaud, 1989), và hiệu quả ngoài mẫu giảm khi dùng ước lượng mẫu thay tham số tổng thể (Kan &amp; Zhou, 2007). Các cách khắc phục gồm co rút ma trận hiệp phương sai (Ledoit &amp; Wolf, 2004), mô hình Black-Litterman (Bessler và cộng sự, 2017; Black &amp; Litterman, 1992) và danh mục vững chắc (Garlappi và cộng sự, 2007).</w:t>
      </w:r>
    </w:p>
    <w:p w14:paraId="23ABBF07" w14:textId="77777777" w:rsidR="005D3DB2" w:rsidRPr="005C17A3" w:rsidRDefault="00000000">
      <w:pPr>
        <w:pStyle w:val="BodyText"/>
      </w:pPr>
      <w:r w:rsidRPr="005C17A3">
        <w:t>Dù vậy, không mô hình nào vượt quy tắc 1/N một cách nhất quán (DeMiguel và cộng sự, 2009), và 1/N xấp xỉ tối ưu khi mức mơ hồ về mô hình cao (Pflug và cộng sự, 2012); Ledoit và Wolf (2008) kiểm định chênh lệch tỷ số Sharpe giữa hai danh mục. Đề tài dùng nhóm công cụ này để đo khả năng đầu tư của một sàn, không để chọn mô hình tốt nhất.</w:t>
      </w:r>
    </w:p>
    <w:p w14:paraId="0ECC3EAC" w14:textId="77777777" w:rsidR="000F5DDC" w:rsidRPr="005C17A3" w:rsidRDefault="00000000">
      <w:pPr>
        <w:pStyle w:val="BodyText"/>
      </w:pPr>
      <w:r w:rsidRPr="005C17A3">
        <w:rPr>
          <w:i/>
          <w:iCs/>
        </w:rPr>
        <w:t>(E) Nghiên cứu về Việt Nam.</w:t>
      </w:r>
      <w:r w:rsidRPr="005C17A3">
        <w:t xml:space="preserve"> Vo và Phan (2017) tìm thấy hành vi bầy đàn trên các công ty niêm yết tại HOSE giai đoạn 2005–2015, còn Hoang và Luu (2024), trong một bản thảo công bố trực tuyến, phân tích chế độ biến động của VN-Index. Về danh mục, Ta và Vuong (2020), Nguyen và cộng sự (2020), Goutte và cộng sự (2025) và bài báo của chính thí sinh (Nguyễn &amp; Nguyễn, 2026a) áp dụng các mô hình Black-Litterman, co rút hiệp phương sai và ra quyết định đa tiêu chí trên cổ phiếu HOSE. Các công trình này chưa so sánh hai sàn.</w:t>
      </w:r>
    </w:p>
    <w:p w14:paraId="4C8CF8C4" w14:textId="77777777" w:rsidR="005D3DB2" w:rsidRPr="005C17A3" w:rsidRDefault="00000000">
      <w:pPr>
        <w:pStyle w:val="BodyText"/>
      </w:pPr>
      <w:r w:rsidRPr="005C17A3">
        <w:rPr>
          <w:b/>
          <w:bCs/>
        </w:rPr>
        <w:t>Khoảng trống nghiên cứu.</w:t>
      </w:r>
      <w:r w:rsidRPr="005C17A3">
        <w:t xml:space="preserve"> Bảng 1 đối chiếu bốn nhóm công trình gần nhất với đề tài và nêu khoảng trống của từng nhóm; khoảng trống K2 bổ sung cho ba vấn đề nêu ở mục 4.1.</w:t>
      </w:r>
    </w:p>
    <w:p w14:paraId="57305E74" w14:textId="77777777" w:rsidR="005D3DB2" w:rsidRPr="005C17A3" w:rsidRDefault="00000000">
      <w:pPr>
        <w:pStyle w:val="TableCaption"/>
      </w:pPr>
      <w:bookmarkStart w:id="6" w:name="_Toc242353156"/>
      <w:r w:rsidRPr="005C17A3">
        <w:t xml:space="preserve">Bảng </w:t>
      </w:r>
      <w:fldSimple w:instr=" SEQ Bảng \* ARABIC ">
        <w:r w:rsidR="005D3DB2" w:rsidRPr="005C17A3">
          <w:rPr>
            <w:noProof/>
          </w:rPr>
          <w:t>1</w:t>
        </w:r>
      </w:fldSimple>
      <w:r w:rsidRPr="005C17A3">
        <w:t>. Các nhóm nghiên cứu gần nhất và khoảng trống nghiên cứu</w:t>
      </w:r>
      <w:bookmarkEnd w:id="6"/>
    </w:p>
    <w:tbl>
      <w:tblPr>
        <w:tblStyle w:val="GridTable1Light"/>
        <w:tblW w:w="5000" w:type="pct"/>
        <w:tblLook w:val="0020" w:firstRow="1" w:lastRow="0" w:firstColumn="0" w:lastColumn="0" w:noHBand="0" w:noVBand="0"/>
      </w:tblPr>
      <w:tblGrid>
        <w:gridCol w:w="1998"/>
        <w:gridCol w:w="3595"/>
        <w:gridCol w:w="3185"/>
      </w:tblGrid>
      <w:tr w:rsidR="005D3DB2" w:rsidRPr="005C17A3" w14:paraId="10B87CBB" w14:textId="77777777" w:rsidTr="00056778">
        <w:trPr>
          <w:cnfStyle w:val="100000000000" w:firstRow="1" w:lastRow="0" w:firstColumn="0" w:lastColumn="0" w:oddVBand="0" w:evenVBand="0" w:oddHBand="0" w:evenHBand="0" w:firstRowFirstColumn="0" w:firstRowLastColumn="0" w:lastRowFirstColumn="0" w:lastRowLastColumn="0"/>
        </w:trPr>
        <w:tc>
          <w:tcPr>
            <w:tcW w:w="1138" w:type="pct"/>
          </w:tcPr>
          <w:p w14:paraId="75A46D84" w14:textId="77777777" w:rsidR="005D3DB2" w:rsidRPr="005C17A3" w:rsidRDefault="00000000">
            <w:pPr>
              <w:pStyle w:val="Compact"/>
              <w:jc w:val="center"/>
              <w:rPr>
                <w:sz w:val="26"/>
                <w:szCs w:val="26"/>
              </w:rPr>
            </w:pPr>
            <w:r w:rsidRPr="005C17A3">
              <w:rPr>
                <w:sz w:val="26"/>
                <w:szCs w:val="26"/>
              </w:rPr>
              <w:t>Nhóm nghiên cứu</w:t>
            </w:r>
          </w:p>
        </w:tc>
        <w:tc>
          <w:tcPr>
            <w:tcW w:w="2048" w:type="pct"/>
          </w:tcPr>
          <w:p w14:paraId="400A57F1" w14:textId="77777777" w:rsidR="005D3DB2" w:rsidRPr="005C17A3" w:rsidRDefault="00000000">
            <w:pPr>
              <w:pStyle w:val="Compact"/>
              <w:jc w:val="center"/>
              <w:rPr>
                <w:sz w:val="26"/>
                <w:szCs w:val="26"/>
              </w:rPr>
            </w:pPr>
            <w:r w:rsidRPr="005C17A3">
              <w:rPr>
                <w:sz w:val="26"/>
                <w:szCs w:val="26"/>
              </w:rPr>
              <w:t>Kết quả đã có</w:t>
            </w:r>
          </w:p>
        </w:tc>
        <w:tc>
          <w:tcPr>
            <w:tcW w:w="1814" w:type="pct"/>
          </w:tcPr>
          <w:p w14:paraId="67DC7D1C" w14:textId="77777777" w:rsidR="005D3DB2" w:rsidRPr="005C17A3" w:rsidRDefault="00000000">
            <w:pPr>
              <w:pStyle w:val="Compact"/>
              <w:jc w:val="center"/>
              <w:rPr>
                <w:sz w:val="26"/>
                <w:szCs w:val="26"/>
              </w:rPr>
            </w:pPr>
            <w:r w:rsidRPr="005C17A3">
              <w:rPr>
                <w:sz w:val="26"/>
                <w:szCs w:val="26"/>
              </w:rPr>
              <w:t>Khoảng trống</w:t>
            </w:r>
          </w:p>
        </w:tc>
      </w:tr>
      <w:tr w:rsidR="005D3DB2" w:rsidRPr="005C17A3" w14:paraId="1296B228" w14:textId="77777777" w:rsidTr="00056778">
        <w:tc>
          <w:tcPr>
            <w:tcW w:w="1138" w:type="pct"/>
          </w:tcPr>
          <w:p w14:paraId="1095D872" w14:textId="77777777" w:rsidR="005D3DB2" w:rsidRPr="005C17A3" w:rsidRDefault="00000000">
            <w:pPr>
              <w:pStyle w:val="Compact"/>
              <w:rPr>
                <w:sz w:val="26"/>
                <w:szCs w:val="26"/>
              </w:rPr>
            </w:pPr>
            <w:r w:rsidRPr="005C17A3">
              <w:rPr>
                <w:sz w:val="26"/>
                <w:szCs w:val="26"/>
              </w:rPr>
              <w:t xml:space="preserve">Trung tâm tài chính (Lai, </w:t>
            </w:r>
            <w:r w:rsidRPr="005C17A3">
              <w:rPr>
                <w:sz w:val="26"/>
                <w:szCs w:val="26"/>
              </w:rPr>
              <w:lastRenderedPageBreak/>
              <w:t>2012; Naeem, 2023; Yao, 2012)</w:t>
            </w:r>
          </w:p>
        </w:tc>
        <w:tc>
          <w:tcPr>
            <w:tcW w:w="2048" w:type="pct"/>
          </w:tcPr>
          <w:p w14:paraId="5F9D3DF7" w14:textId="77777777" w:rsidR="005D3DB2" w:rsidRPr="005C17A3" w:rsidRDefault="00000000">
            <w:pPr>
              <w:pStyle w:val="Compact"/>
              <w:rPr>
                <w:sz w:val="26"/>
                <w:szCs w:val="26"/>
              </w:rPr>
            </w:pPr>
            <w:r w:rsidRPr="005C17A3">
              <w:rPr>
                <w:sz w:val="26"/>
                <w:szCs w:val="26"/>
              </w:rPr>
              <w:lastRenderedPageBreak/>
              <w:t xml:space="preserve">Yếu tố quyết định thứ hạng GFCI (Naeem: 17 yếu tố, không </w:t>
            </w:r>
            <w:r w:rsidRPr="005C17A3">
              <w:rPr>
                <w:sz w:val="26"/>
                <w:szCs w:val="26"/>
              </w:rPr>
              <w:lastRenderedPageBreak/>
              <w:t>có chỉ báo thị trường cổ phiếu); phân vai các trung tâm trong một quốc gia</w:t>
            </w:r>
          </w:p>
        </w:tc>
        <w:tc>
          <w:tcPr>
            <w:tcW w:w="1814" w:type="pct"/>
          </w:tcPr>
          <w:p w14:paraId="2E5F218C" w14:textId="77777777" w:rsidR="005D3DB2" w:rsidRPr="005C17A3" w:rsidRDefault="00000000">
            <w:pPr>
              <w:pStyle w:val="Compact"/>
              <w:rPr>
                <w:sz w:val="26"/>
                <w:szCs w:val="26"/>
              </w:rPr>
            </w:pPr>
            <w:r w:rsidRPr="005C17A3">
              <w:rPr>
                <w:sz w:val="26"/>
                <w:szCs w:val="26"/>
              </w:rPr>
              <w:lastRenderedPageBreak/>
              <w:t xml:space="preserve">K1. Các nghiên cứu về GFCI chưa xét chất lượng </w:t>
            </w:r>
            <w:r w:rsidRPr="005C17A3">
              <w:rPr>
                <w:sz w:val="26"/>
                <w:szCs w:val="26"/>
              </w:rPr>
              <w:lastRenderedPageBreak/>
              <w:t>và cấu trúc thị trường cổ phiếu</w:t>
            </w:r>
          </w:p>
        </w:tc>
      </w:tr>
      <w:tr w:rsidR="005D3DB2" w:rsidRPr="005C17A3" w14:paraId="6D32587C" w14:textId="77777777" w:rsidTr="00056778">
        <w:tc>
          <w:tcPr>
            <w:tcW w:w="1138" w:type="pct"/>
          </w:tcPr>
          <w:p w14:paraId="3A3D6825" w14:textId="77777777" w:rsidR="005D3DB2" w:rsidRPr="005C17A3" w:rsidRDefault="00000000">
            <w:pPr>
              <w:pStyle w:val="Compact"/>
              <w:rPr>
                <w:sz w:val="26"/>
                <w:szCs w:val="26"/>
              </w:rPr>
            </w:pPr>
            <w:r w:rsidRPr="005C17A3">
              <w:rPr>
                <w:sz w:val="26"/>
                <w:szCs w:val="26"/>
              </w:rPr>
              <w:lastRenderedPageBreak/>
              <w:t>Chất lượng thị trường (Amihud, 2002; Fong và cộng sự, 2017; Lesmond, 2005)</w:t>
            </w:r>
          </w:p>
        </w:tc>
        <w:tc>
          <w:tcPr>
            <w:tcW w:w="2048" w:type="pct"/>
          </w:tcPr>
          <w:p w14:paraId="60D13572" w14:textId="77777777" w:rsidR="005D3DB2" w:rsidRPr="005C17A3" w:rsidRDefault="00000000">
            <w:pPr>
              <w:pStyle w:val="Compact"/>
              <w:rPr>
                <w:sz w:val="26"/>
                <w:szCs w:val="26"/>
              </w:rPr>
            </w:pPr>
            <w:r w:rsidRPr="005C17A3">
              <w:rPr>
                <w:sz w:val="26"/>
                <w:szCs w:val="26"/>
              </w:rPr>
              <w:t>Thước đo thanh khoản, hiệu quả thông tin, minh bạch ở thị trường mới nổi</w:t>
            </w:r>
          </w:p>
        </w:tc>
        <w:tc>
          <w:tcPr>
            <w:tcW w:w="1814" w:type="pct"/>
          </w:tcPr>
          <w:p w14:paraId="54FC46BB" w14:textId="77777777" w:rsidR="005D3DB2" w:rsidRPr="005C17A3" w:rsidRDefault="00000000">
            <w:pPr>
              <w:pStyle w:val="Compact"/>
              <w:rPr>
                <w:sz w:val="26"/>
                <w:szCs w:val="26"/>
              </w:rPr>
            </w:pPr>
            <w:r w:rsidRPr="005C17A3">
              <w:rPr>
                <w:sz w:val="26"/>
                <w:szCs w:val="26"/>
              </w:rPr>
              <w:t>K2. Chưa quy đổi chất lượng thị trường thành tổn thất của nhà đầu tư đa dạng hóa</w:t>
            </w:r>
          </w:p>
        </w:tc>
      </w:tr>
      <w:tr w:rsidR="005D3DB2" w:rsidRPr="005C17A3" w14:paraId="518F2F01" w14:textId="77777777" w:rsidTr="00056778">
        <w:tc>
          <w:tcPr>
            <w:tcW w:w="1138" w:type="pct"/>
          </w:tcPr>
          <w:p w14:paraId="3F79841C" w14:textId="77777777" w:rsidR="005D3DB2" w:rsidRPr="005C17A3" w:rsidRDefault="00000000">
            <w:pPr>
              <w:pStyle w:val="Compact"/>
              <w:rPr>
                <w:sz w:val="26"/>
                <w:szCs w:val="26"/>
              </w:rPr>
            </w:pPr>
            <w:r w:rsidRPr="005C17A3">
              <w:rPr>
                <w:sz w:val="26"/>
                <w:szCs w:val="26"/>
              </w:rPr>
              <w:t>Đổi sàn và hợp nhất sàn (Hisada, 2018; Huang &amp; Stoll, 1996; Nielsson, 2009)</w:t>
            </w:r>
          </w:p>
        </w:tc>
        <w:tc>
          <w:tcPr>
            <w:tcW w:w="2048" w:type="pct"/>
          </w:tcPr>
          <w:p w14:paraId="33CDF1C7" w14:textId="77777777" w:rsidR="005D3DB2" w:rsidRPr="005C17A3" w:rsidRDefault="00000000">
            <w:pPr>
              <w:pStyle w:val="Compact"/>
              <w:rPr>
                <w:sz w:val="26"/>
                <w:szCs w:val="26"/>
              </w:rPr>
            </w:pPr>
            <w:r w:rsidRPr="005C17A3">
              <w:rPr>
                <w:sz w:val="26"/>
                <w:szCs w:val="26"/>
              </w:rPr>
              <w:t>Đổi sàn làm thay đổi thanh khoản; Euronext: lợi ích dồn vào doanh nghiệp lớn; Tokyo–Osaka (cổ phiếu của sàn tiếp nhận): hiệu ứng tâm lý mạnh hơn ở cổ phiếu nhỏ</w:t>
            </w:r>
          </w:p>
        </w:tc>
        <w:tc>
          <w:tcPr>
            <w:tcW w:w="1814" w:type="pct"/>
          </w:tcPr>
          <w:p w14:paraId="7EC11D55" w14:textId="77777777" w:rsidR="005D3DB2" w:rsidRPr="005C17A3" w:rsidRDefault="00000000">
            <w:pPr>
              <w:pStyle w:val="Compact"/>
              <w:rPr>
                <w:sz w:val="26"/>
                <w:szCs w:val="26"/>
              </w:rPr>
            </w:pPr>
            <w:r w:rsidRPr="005C17A3">
              <w:rPr>
                <w:sz w:val="26"/>
                <w:szCs w:val="26"/>
              </w:rPr>
              <w:t>K3. Bằng chứng về hợp nhất sàn trong một quốc gia ở thị trường mới nổi còn ít, kết quả trái chiều theo quy mô, chưa đo khả năng đầu tư</w:t>
            </w:r>
          </w:p>
        </w:tc>
      </w:tr>
      <w:tr w:rsidR="005D3DB2" w:rsidRPr="005C17A3" w14:paraId="2A682B65" w14:textId="77777777" w:rsidTr="00056778">
        <w:tc>
          <w:tcPr>
            <w:tcW w:w="1138" w:type="pct"/>
          </w:tcPr>
          <w:p w14:paraId="7D0B0D34" w14:textId="77777777" w:rsidR="005D3DB2" w:rsidRPr="005C17A3" w:rsidRDefault="00000000">
            <w:pPr>
              <w:pStyle w:val="Compact"/>
              <w:rPr>
                <w:sz w:val="26"/>
                <w:szCs w:val="26"/>
              </w:rPr>
            </w:pPr>
            <w:r w:rsidRPr="005C17A3">
              <w:rPr>
                <w:sz w:val="26"/>
                <w:szCs w:val="26"/>
              </w:rPr>
              <w:t>Việt Nam (Goutte và cộng sự, 2025; Nguyễn &amp; Nguyễn, 2026a; Vo &amp; Phan, 2017)</w:t>
            </w:r>
          </w:p>
        </w:tc>
        <w:tc>
          <w:tcPr>
            <w:tcW w:w="2048" w:type="pct"/>
          </w:tcPr>
          <w:p w14:paraId="2C068DE9" w14:textId="77777777" w:rsidR="005D3DB2" w:rsidRPr="005C17A3" w:rsidRDefault="00000000">
            <w:pPr>
              <w:pStyle w:val="Compact"/>
              <w:rPr>
                <w:sz w:val="26"/>
                <w:szCs w:val="26"/>
              </w:rPr>
            </w:pPr>
            <w:r w:rsidRPr="005C17A3">
              <w:rPr>
                <w:sz w:val="26"/>
                <w:szCs w:val="26"/>
              </w:rPr>
              <w:t>Nghiên cứu tập trung vào HOSE và VN-Index</w:t>
            </w:r>
          </w:p>
        </w:tc>
        <w:tc>
          <w:tcPr>
            <w:tcW w:w="1814" w:type="pct"/>
          </w:tcPr>
          <w:p w14:paraId="127EED74" w14:textId="77777777" w:rsidR="005D3DB2" w:rsidRPr="005C17A3" w:rsidRDefault="00000000">
            <w:pPr>
              <w:pStyle w:val="Compact"/>
              <w:rPr>
                <w:sz w:val="26"/>
                <w:szCs w:val="26"/>
              </w:rPr>
            </w:pPr>
            <w:r w:rsidRPr="005C17A3">
              <w:rPr>
                <w:sz w:val="26"/>
                <w:szCs w:val="26"/>
              </w:rPr>
              <w:t>K4. Chưa so sánh HNX với HOSE; chưa đo tác động của đợt chuyển sàn năm 2026</w:t>
            </w:r>
          </w:p>
        </w:tc>
      </w:tr>
    </w:tbl>
    <w:p w14:paraId="79559AA1" w14:textId="77777777" w:rsidR="005D3DB2" w:rsidRPr="005C17A3" w:rsidRDefault="00000000">
      <w:pPr>
        <w:pStyle w:val="SourceNote"/>
        <w:rPr>
          <w:sz w:val="26"/>
          <w:szCs w:val="26"/>
        </w:rPr>
      </w:pPr>
      <w:r w:rsidRPr="005C17A3">
        <w:rPr>
          <w:sz w:val="26"/>
          <w:szCs w:val="26"/>
        </w:rPr>
        <w:t>Nguồn: Thí sinh tổng hợp. Ghi chú: K1–K4 là các khoảng trống, đánh số riêng để phân biệt với các nhóm tài liệu (A)–(E); phạm vi tìm kiếm nêu ở đoạn ngay dưới bảng.</w:t>
      </w:r>
    </w:p>
    <w:p w14:paraId="641A03A1" w14:textId="3123EAEA" w:rsidR="005D3DB2" w:rsidRPr="005C17A3" w:rsidRDefault="00267296">
      <w:pPr>
        <w:pStyle w:val="BodyText"/>
      </w:pPr>
      <w:r w:rsidRPr="005C17A3">
        <w:t>Vai trò của sàn giao dịch đối với chất lượng thị trường và khả năng đầu tư chưa được đo cho Việt Nam, trong khi đợt hợp nhất năm 2026 tạo điều kiện đo trực tiếp. Nhận định này dựa trên tìm kiếm trên SSRN, RePEc/IDEAS, ScienceDirect, Oxford Academic, Wiley, Springer, Taylor &amp; Francis, MDPI và arXiv đến ngày 30/9/2026, chưa gồm Scopus, Web of Science và các tạp chí trong nước. Thí sinh mới đọc tóm tắt và thông tin thư mục của phần lớn các nguồn; việc đọc toàn văn và mở rộng tìm kiếm nằm trong kế hoạch năm thứ nhất.</w:t>
      </w:r>
    </w:p>
    <w:p w14:paraId="550A1BF7" w14:textId="77777777" w:rsidR="005D3DB2" w:rsidRPr="005C17A3" w:rsidRDefault="00000000">
      <w:pPr>
        <w:pStyle w:val="Heading2"/>
      </w:pPr>
      <w:bookmarkStart w:id="7" w:name="_Toc243136574"/>
      <w:bookmarkStart w:id="8" w:name="phương-pháp-nghiên-cứu-mô-hình-lý-thuyết"/>
      <w:bookmarkEnd w:id="5"/>
      <w:r w:rsidRPr="005C17A3">
        <w:t>4.3. Phương pháp nghiên cứu / Mô hình lý thuyết</w:t>
      </w:r>
      <w:bookmarkEnd w:id="7"/>
    </w:p>
    <w:p w14:paraId="7FDFC2D2" w14:textId="77777777" w:rsidR="005D3DB2" w:rsidRPr="005C17A3" w:rsidRDefault="00000000">
      <w:pPr>
        <w:pStyle w:val="Heading3"/>
      </w:pPr>
      <w:bookmarkStart w:id="9" w:name="_Toc243136575"/>
      <w:bookmarkStart w:id="10" w:name="khung-lý-thuyết"/>
      <w:r w:rsidRPr="005C17A3">
        <w:t>4.3.1. Khung lý thuyết</w:t>
      </w:r>
      <w:bookmarkEnd w:id="9"/>
    </w:p>
    <w:p w14:paraId="129F6514" w14:textId="77777777" w:rsidR="00177BB0" w:rsidRPr="005C17A3" w:rsidRDefault="00000000" w:rsidP="00C74183">
      <w:pPr>
        <w:pStyle w:val="FirstParagraph"/>
      </w:pPr>
      <w:r w:rsidRPr="005C17A3">
        <w:t xml:space="preserve">Đề tài dựa trên ba khối lý thuyết. Khối thứ nhất là lý thuyết về tích tụ và chuyên môn hóa của trung tâm tài chính (Gehrig, 2000; Kindleberger, 1974; Lai, 2012; Yao, 2012). Khối thứ hai là lý thuyết vi cấu trúc thị trường: quy tắc giao dịch và mức tập trung lệnh của một sàn ảnh hưởng tới chi phí giao dịch và tốc độ giá phản ánh thông </w:t>
      </w:r>
      <w:r w:rsidRPr="005C17A3">
        <w:lastRenderedPageBreak/>
        <w:t>tin (Amihud, 2002; Huang &amp; Stoll, 1996). Khối thứ ba là lý thuyết danh mục có sai số ước lượng: hiệu quả mà nhà đầu tư đạt được phụ thuộc vào chất lượng của tập cổ phiếu đầu tư được (Kan &amp; Zhou, 2007; Markowitz, 1952; Michaud, 1989).</w:t>
      </w:r>
      <w:r w:rsidR="00C74183" w:rsidRPr="005C17A3">
        <w:t xml:space="preserve"> </w:t>
      </w:r>
    </w:p>
    <w:p w14:paraId="6979AF1B" w14:textId="5EC74619" w:rsidR="005D3DB2" w:rsidRPr="005C17A3" w:rsidRDefault="00C74183" w:rsidP="00C74183">
      <w:pPr>
        <w:pStyle w:val="FirstParagraph"/>
      </w:pPr>
      <w:r w:rsidRPr="005C17A3">
        <w:t xml:space="preserve">Sàn giao dịch liên hệ với chất lượng thị trường, chất lượng thị trường liên hệ với khả năng đầu tư, và cấu trúc sàn liên hệ với vai trò của mỗi trung tâm. </w:t>
      </w:r>
    </w:p>
    <w:p w14:paraId="7C3F968A" w14:textId="77777777" w:rsidR="005D3DB2" w:rsidRPr="005C17A3" w:rsidRDefault="00000000">
      <w:pPr>
        <w:pStyle w:val="Heading3"/>
      </w:pPr>
      <w:bookmarkStart w:id="11" w:name="_Toc243136576"/>
      <w:bookmarkStart w:id="12" w:name="mô-hình-nghiên-cứu-và-giả-thuyết"/>
      <w:bookmarkEnd w:id="10"/>
      <w:r w:rsidRPr="005C17A3">
        <w:t>4.3.2. Mô hình nghiên cứu và giả thuyết</w:t>
      </w:r>
      <w:bookmarkEnd w:id="11"/>
    </w:p>
    <w:p w14:paraId="2E7F3660" w14:textId="77777777" w:rsidR="005D3DB2" w:rsidRPr="005C17A3" w:rsidRDefault="00000000">
      <w:pPr>
        <w:pStyle w:val="FirstParagraph"/>
      </w:pPr>
      <w:r w:rsidRPr="005C17A3">
        <w:t>Từ bốn khoảng trống ở Bảng 1, đề tài đề xuất khung phân tích ở Hình 1 và bốn giả thuyết ở Bảng 2: H</w:t>
      </w:r>
      <w:r w:rsidRPr="005C17A3">
        <w:rPr>
          <w:vertAlign w:val="subscript"/>
        </w:rPr>
        <w:t>1</w:t>
      </w:r>
      <w:r w:rsidRPr="005C17A3">
        <w:t xml:space="preserve"> trả lời câu hỏi 1, H</w:t>
      </w:r>
      <w:r w:rsidRPr="005C17A3">
        <w:rPr>
          <w:vertAlign w:val="subscript"/>
        </w:rPr>
        <w:t>2</w:t>
      </w:r>
      <w:r w:rsidRPr="005C17A3">
        <w:t xml:space="preserve"> trả lời câu hỏi 2, H</w:t>
      </w:r>
      <w:r w:rsidRPr="005C17A3">
        <w:rPr>
          <w:vertAlign w:val="subscript"/>
        </w:rPr>
        <w:t>3</w:t>
      </w:r>
      <w:r w:rsidRPr="005C17A3">
        <w:t xml:space="preserve"> và H</w:t>
      </w:r>
      <w:r w:rsidRPr="005C17A3">
        <w:rPr>
          <w:vertAlign w:val="subscript"/>
        </w:rPr>
        <w:t>4</w:t>
      </w:r>
      <w:r w:rsidRPr="005C17A3">
        <w:t xml:space="preserve"> trả lời câu hỏi 3.</w:t>
      </w:r>
    </w:p>
    <w:p w14:paraId="6155DFA8" w14:textId="77777777" w:rsidR="005D3DB2" w:rsidRPr="005C17A3" w:rsidRDefault="00000000">
      <w:pPr>
        <w:pStyle w:val="FigureBox"/>
      </w:pPr>
      <w:r w:rsidRPr="005C17A3">
        <w:rPr>
          <w:noProof/>
        </w:rPr>
        <mc:AlternateContent>
          <mc:Choice Requires="wpg">
            <w:drawing>
              <wp:inline distT="0" distB="0" distL="0" distR="0" wp14:anchorId="0AE457BA" wp14:editId="75063A1B">
                <wp:extent cx="5544000" cy="3024000"/>
                <wp:effectExtent l="0" t="0" r="0" b="0"/>
                <wp:docPr id="501" name="Hình 1. Khung phân tích"/>
                <wp:cNvGraphicFramePr/>
                <a:graphic xmlns:a="http://schemas.openxmlformats.org/drawingml/2006/main">
                  <a:graphicData uri="http://schemas.microsoft.com/office/word/2010/wordprocessingGroup">
                    <wpg:wgp>
                      <wpg:cNvGrpSpPr/>
                      <wpg:grpSpPr>
                        <a:xfrm>
                          <a:off x="0" y="0"/>
                          <a:ext cx="5544000" cy="3024000"/>
                          <a:chOff x="0" y="0"/>
                          <a:chExt cx="5544000" cy="3024000"/>
                        </a:xfrm>
                      </wpg:grpSpPr>
                      <wps:wsp>
                        <wps:cNvPr id="1" name="Shape 1"/>
                        <wps:cNvSpPr/>
                        <wps:spPr>
                          <a:xfrm>
                            <a:off x="0" y="0"/>
                            <a:ext cx="1584000" cy="1188000"/>
                          </a:xfrm>
                          <a:prstGeom prst="rect">
                            <a:avLst/>
                          </a:prstGeom>
                          <a:solidFill>
                            <a:srgbClr val="FFFFFF"/>
                          </a:solidFill>
                          <a:ln w="9525">
                            <a:solidFill>
                              <a:srgbClr val="000000"/>
                            </a:solidFill>
                          </a:ln>
                        </wps:spPr>
                        <wps:txbx>
                          <w:txbxContent>
                            <w:p w14:paraId="10FC1B27" w14:textId="77777777" w:rsidR="005D3DB2" w:rsidRPr="005B5A3B" w:rsidRDefault="00000000">
                              <w:pPr>
                                <w:jc w:val="center"/>
                                <w:rPr>
                                  <w:sz w:val="20"/>
                                  <w:szCs w:val="20"/>
                                </w:rPr>
                              </w:pPr>
                              <w:r w:rsidRPr="005B5A3B">
                                <w:rPr>
                                  <w:b/>
                                  <w:bCs/>
                                  <w:color w:val="000000"/>
                                  <w:sz w:val="20"/>
                                  <w:szCs w:val="20"/>
                                </w:rPr>
                                <w:t>Trước hợp nhất</w:t>
                              </w:r>
                            </w:p>
                            <w:p w14:paraId="32AA72C6" w14:textId="77777777" w:rsidR="005D3DB2" w:rsidRPr="005B5A3B" w:rsidRDefault="00000000">
                              <w:pPr>
                                <w:jc w:val="center"/>
                                <w:rPr>
                                  <w:sz w:val="20"/>
                                  <w:szCs w:val="20"/>
                                </w:rPr>
                              </w:pPr>
                              <w:r w:rsidRPr="005B5A3B">
                                <w:rPr>
                                  <w:color w:val="000000"/>
                                  <w:sz w:val="20"/>
                                  <w:szCs w:val="20"/>
                                </w:rPr>
                                <w:t>Chỉ số chất lượng</w:t>
                              </w:r>
                            </w:p>
                            <w:p w14:paraId="5001D3F8" w14:textId="77777777" w:rsidR="005D3DB2" w:rsidRPr="005B5A3B" w:rsidRDefault="00000000">
                              <w:pPr>
                                <w:jc w:val="center"/>
                                <w:rPr>
                                  <w:sz w:val="20"/>
                                  <w:szCs w:val="20"/>
                                </w:rPr>
                              </w:pPr>
                              <w:r w:rsidRPr="005B5A3B">
                                <w:rPr>
                                  <w:color w:val="000000"/>
                                  <w:sz w:val="20"/>
                                  <w:szCs w:val="20"/>
                                </w:rPr>
                                <w:t>HNX so với HOSE (H</w:t>
                              </w:r>
                              <w:r w:rsidRPr="005B5A3B">
                                <w:rPr>
                                  <w:color w:val="000000"/>
                                  <w:sz w:val="20"/>
                                  <w:szCs w:val="20"/>
                                  <w:vertAlign w:val="subscript"/>
                                </w:rPr>
                                <w:t>2</w:t>
                              </w:r>
                              <w:r w:rsidRPr="005B5A3B">
                                <w:rPr>
                                  <w:color w:val="000000"/>
                                  <w:sz w:val="20"/>
                                  <w:szCs w:val="20"/>
                                </w:rPr>
                                <w:t>)</w:t>
                              </w:r>
                            </w:p>
                            <w:p w14:paraId="712DBA37" w14:textId="77777777" w:rsidR="005D3DB2" w:rsidRPr="005B5A3B" w:rsidRDefault="00000000">
                              <w:pPr>
                                <w:jc w:val="center"/>
                                <w:rPr>
                                  <w:sz w:val="20"/>
                                  <w:szCs w:val="20"/>
                                </w:rPr>
                              </w:pPr>
                              <w:r w:rsidRPr="005B5A3B">
                                <w:rPr>
                                  <w:color w:val="000000"/>
                                  <w:sz w:val="20"/>
                                  <w:szCs w:val="20"/>
                                </w:rPr>
                                <w:t>Giai đoạn 6/2009–6/2025</w:t>
                              </w:r>
                            </w:p>
                          </w:txbxContent>
                        </wps:txbx>
                        <wps:bodyPr rot="0" vert="horz" wrap="square" lIns="54000" tIns="36000" rIns="54000" bIns="36000" anchor="ctr" anchorCtr="0">
                          <a:noAutofit/>
                        </wps:bodyPr>
                      </wps:wsp>
                      <wps:wsp>
                        <wps:cNvPr id="2" name="Shape 2"/>
                        <wps:cNvSpPr/>
                        <wps:spPr>
                          <a:xfrm>
                            <a:off x="1980000" y="0"/>
                            <a:ext cx="1584000" cy="1188000"/>
                          </a:xfrm>
                          <a:prstGeom prst="rect">
                            <a:avLst/>
                          </a:prstGeom>
                          <a:solidFill>
                            <a:srgbClr val="FFFFFF"/>
                          </a:solidFill>
                          <a:ln w="9525">
                            <a:solidFill>
                              <a:srgbClr val="000000"/>
                            </a:solidFill>
                          </a:ln>
                        </wps:spPr>
                        <wps:txbx>
                          <w:txbxContent>
                            <w:p w14:paraId="7D4F9738" w14:textId="77777777" w:rsidR="005D3DB2" w:rsidRPr="005B5A3B" w:rsidRDefault="00000000">
                              <w:pPr>
                                <w:jc w:val="center"/>
                                <w:rPr>
                                  <w:sz w:val="20"/>
                                  <w:szCs w:val="20"/>
                                </w:rPr>
                              </w:pPr>
                              <w:r w:rsidRPr="005B5A3B">
                                <w:rPr>
                                  <w:b/>
                                  <w:bCs/>
                                  <w:color w:val="000000"/>
                                  <w:sz w:val="20"/>
                                  <w:szCs w:val="20"/>
                                </w:rPr>
                                <w:t>Sự kiện 28/12/2026</w:t>
                              </w:r>
                            </w:p>
                            <w:p w14:paraId="716933A2" w14:textId="77777777" w:rsidR="005D3DB2" w:rsidRPr="005B5A3B" w:rsidRDefault="00000000">
                              <w:pPr>
                                <w:jc w:val="center"/>
                                <w:rPr>
                                  <w:sz w:val="20"/>
                                  <w:szCs w:val="20"/>
                                </w:rPr>
                              </w:pPr>
                              <w:r w:rsidRPr="005B5A3B">
                                <w:rPr>
                                  <w:color w:val="000000"/>
                                  <w:sz w:val="20"/>
                                  <w:szCs w:val="20"/>
                                </w:rPr>
                                <w:t>Chuyển sàn sang HOSE</w:t>
                              </w:r>
                            </w:p>
                            <w:p w14:paraId="6BEEBB05" w14:textId="77777777" w:rsidR="005D3DB2" w:rsidRPr="005B5A3B" w:rsidRDefault="00000000">
                              <w:pPr>
                                <w:jc w:val="center"/>
                                <w:rPr>
                                  <w:sz w:val="20"/>
                                  <w:szCs w:val="20"/>
                                </w:rPr>
                              </w:pPr>
                              <w:r w:rsidRPr="005B5A3B">
                                <w:rPr>
                                  <w:color w:val="000000"/>
                                  <w:sz w:val="20"/>
                                  <w:szCs w:val="20"/>
                                </w:rPr>
                                <w:t>Thanh khoản (H</w:t>
                              </w:r>
                              <w:r w:rsidRPr="005B5A3B">
                                <w:rPr>
                                  <w:color w:val="000000"/>
                                  <w:sz w:val="20"/>
                                  <w:szCs w:val="20"/>
                                  <w:vertAlign w:val="subscript"/>
                                </w:rPr>
                                <w:t>3</w:t>
                              </w:r>
                              <w:r w:rsidRPr="005B5A3B">
                                <w:rPr>
                                  <w:color w:val="000000"/>
                                  <w:sz w:val="20"/>
                                  <w:szCs w:val="20"/>
                                </w:rPr>
                                <w:t>)</w:t>
                              </w:r>
                            </w:p>
                            <w:p w14:paraId="4089A1AF" w14:textId="77777777" w:rsidR="005D3DB2" w:rsidRPr="005B5A3B" w:rsidRDefault="00000000">
                              <w:pPr>
                                <w:jc w:val="center"/>
                                <w:rPr>
                                  <w:sz w:val="20"/>
                                  <w:szCs w:val="20"/>
                                </w:rPr>
                              </w:pPr>
                              <w:r w:rsidRPr="005B5A3B">
                                <w:rPr>
                                  <w:color w:val="000000"/>
                                  <w:sz w:val="20"/>
                                  <w:szCs w:val="20"/>
                                </w:rPr>
                                <w:t>Khả năng đầu tư (H</w:t>
                              </w:r>
                              <w:r w:rsidRPr="005B5A3B">
                                <w:rPr>
                                  <w:color w:val="000000"/>
                                  <w:sz w:val="20"/>
                                  <w:szCs w:val="20"/>
                                  <w:vertAlign w:val="subscript"/>
                                </w:rPr>
                                <w:t>4</w:t>
                              </w:r>
                              <w:r w:rsidRPr="005B5A3B">
                                <w:rPr>
                                  <w:color w:val="000000"/>
                                  <w:sz w:val="20"/>
                                  <w:szCs w:val="20"/>
                                </w:rPr>
                                <w:t>)</w:t>
                              </w:r>
                            </w:p>
                          </w:txbxContent>
                        </wps:txbx>
                        <wps:bodyPr rot="0" vert="horz" wrap="square" lIns="54000" tIns="36000" rIns="54000" bIns="36000" anchor="ctr" anchorCtr="0">
                          <a:noAutofit/>
                        </wps:bodyPr>
                      </wps:wsp>
                      <wps:wsp>
                        <wps:cNvPr id="3" name="Shape 3"/>
                        <wps:cNvSpPr/>
                        <wps:spPr>
                          <a:xfrm>
                            <a:off x="3960000" y="0"/>
                            <a:ext cx="1584000" cy="1188000"/>
                          </a:xfrm>
                          <a:prstGeom prst="rect">
                            <a:avLst/>
                          </a:prstGeom>
                          <a:solidFill>
                            <a:srgbClr val="FFFFFF"/>
                          </a:solidFill>
                          <a:ln w="9525">
                            <a:solidFill>
                              <a:srgbClr val="000000"/>
                            </a:solidFill>
                          </a:ln>
                        </wps:spPr>
                        <wps:txbx>
                          <w:txbxContent>
                            <w:p w14:paraId="28EDE822" w14:textId="77777777" w:rsidR="005D3DB2" w:rsidRPr="005B5A3B" w:rsidRDefault="00000000">
                              <w:pPr>
                                <w:jc w:val="center"/>
                                <w:rPr>
                                  <w:sz w:val="20"/>
                                  <w:szCs w:val="20"/>
                                </w:rPr>
                              </w:pPr>
                              <w:r w:rsidRPr="005B5A3B">
                                <w:rPr>
                                  <w:b/>
                                  <w:bCs/>
                                  <w:color w:val="000000"/>
                                  <w:sz w:val="20"/>
                                  <w:szCs w:val="20"/>
                                </w:rPr>
                                <w:t>Hàm ý cho Hà Nội</w:t>
                              </w:r>
                            </w:p>
                            <w:p w14:paraId="49EF347F" w14:textId="77777777" w:rsidR="005D3DB2" w:rsidRPr="005B5A3B" w:rsidRDefault="00000000">
                              <w:pPr>
                                <w:jc w:val="center"/>
                                <w:rPr>
                                  <w:sz w:val="20"/>
                                  <w:szCs w:val="20"/>
                                </w:rPr>
                              </w:pPr>
                              <w:r w:rsidRPr="005B5A3B">
                                <w:rPr>
                                  <w:color w:val="000000"/>
                                  <w:sz w:val="20"/>
                                  <w:szCs w:val="20"/>
                                </w:rPr>
                                <w:t>Chuyên môn hóa thị trường</w:t>
                              </w:r>
                            </w:p>
                            <w:p w14:paraId="78BDC54C" w14:textId="77777777" w:rsidR="005D3DB2" w:rsidRPr="005B5A3B" w:rsidRDefault="00000000">
                              <w:pPr>
                                <w:jc w:val="center"/>
                                <w:rPr>
                                  <w:sz w:val="20"/>
                                  <w:szCs w:val="20"/>
                                </w:rPr>
                              </w:pPr>
                              <w:r w:rsidRPr="005B5A3B">
                                <w:rPr>
                                  <w:color w:val="000000"/>
                                  <w:sz w:val="20"/>
                                  <w:szCs w:val="20"/>
                                </w:rPr>
                                <w:t>Trái phiếu, phái sinh, UPCoM</w:t>
                              </w:r>
                            </w:p>
                            <w:p w14:paraId="2346FAA8" w14:textId="77777777" w:rsidR="005D3DB2" w:rsidRPr="005B5A3B" w:rsidRDefault="00000000">
                              <w:pPr>
                                <w:jc w:val="center"/>
                                <w:rPr>
                                  <w:sz w:val="20"/>
                                  <w:szCs w:val="20"/>
                                </w:rPr>
                              </w:pPr>
                              <w:r w:rsidRPr="005B5A3B">
                                <w:rPr>
                                  <w:color w:val="000000"/>
                                  <w:sz w:val="20"/>
                                  <w:szCs w:val="20"/>
                                </w:rPr>
                                <w:t>Hạ tầng dữ liệu</w:t>
                              </w:r>
                            </w:p>
                          </w:txbxContent>
                        </wps:txbx>
                        <wps:bodyPr rot="0" vert="horz" wrap="square" lIns="54000" tIns="36000" rIns="54000" bIns="36000" anchor="ctr" anchorCtr="0">
                          <a:noAutofit/>
                        </wps:bodyPr>
                      </wps:wsp>
                      <wps:wsp>
                        <wps:cNvPr id="4" name="Connector 4"/>
                        <wps:cNvCnPr/>
                        <wps:spPr>
                          <a:xfrm>
                            <a:off x="1584000" y="594000"/>
                            <a:ext cx="395999" cy="0"/>
                          </a:xfrm>
                          <a:prstGeom prst="straightConnector1">
                            <a:avLst/>
                          </a:prstGeom>
                          <a:ln w="12700">
                            <a:solidFill>
                              <a:srgbClr val="000000"/>
                            </a:solidFill>
                            <a:tailEnd type="triangle"/>
                          </a:ln>
                        </wps:spPr>
                        <wps:bodyPr/>
                      </wps:wsp>
                      <wps:wsp>
                        <wps:cNvPr id="5" name="Connector 5"/>
                        <wps:cNvCnPr/>
                        <wps:spPr>
                          <a:xfrm>
                            <a:off x="3564000" y="594000"/>
                            <a:ext cx="395999" cy="0"/>
                          </a:xfrm>
                          <a:prstGeom prst="straightConnector1">
                            <a:avLst/>
                          </a:prstGeom>
                          <a:ln w="12700">
                            <a:solidFill>
                              <a:srgbClr val="000000"/>
                            </a:solidFill>
                            <a:prstDash val="dash"/>
                            <a:tailEnd type="triangle"/>
                          </a:ln>
                        </wps:spPr>
                        <wps:bodyPr/>
                      </wps:wsp>
                      <wps:wsp>
                        <wps:cNvPr id="6" name="Shape 6"/>
                        <wps:cNvSpPr/>
                        <wps:spPr>
                          <a:xfrm>
                            <a:off x="846000" y="1800000"/>
                            <a:ext cx="1872000" cy="1188000"/>
                          </a:xfrm>
                          <a:prstGeom prst="rect">
                            <a:avLst/>
                          </a:prstGeom>
                          <a:solidFill>
                            <a:srgbClr val="FFFFFF"/>
                          </a:solidFill>
                          <a:ln w="9525">
                            <a:solidFill>
                              <a:srgbClr val="000000"/>
                            </a:solidFill>
                          </a:ln>
                        </wps:spPr>
                        <wps:txbx>
                          <w:txbxContent>
                            <w:p w14:paraId="3BEF7788" w14:textId="77777777" w:rsidR="005D3DB2" w:rsidRPr="005B5A3B" w:rsidRDefault="00000000">
                              <w:pPr>
                                <w:jc w:val="center"/>
                                <w:rPr>
                                  <w:sz w:val="20"/>
                                  <w:szCs w:val="20"/>
                                </w:rPr>
                              </w:pPr>
                              <w:r w:rsidRPr="005B5A3B">
                                <w:rPr>
                                  <w:b/>
                                  <w:bCs/>
                                  <w:color w:val="000000"/>
                                  <w:sz w:val="20"/>
                                  <w:szCs w:val="20"/>
                                </w:rPr>
                                <w:t>Nhóm đối chứng</w:t>
                              </w:r>
                            </w:p>
                            <w:p w14:paraId="6CC95D5E" w14:textId="77777777" w:rsidR="005D3DB2" w:rsidRPr="005B5A3B" w:rsidRDefault="00000000">
                              <w:pPr>
                                <w:jc w:val="center"/>
                                <w:rPr>
                                  <w:sz w:val="20"/>
                                  <w:szCs w:val="20"/>
                                </w:rPr>
                              </w:pPr>
                              <w:r w:rsidRPr="005B5A3B">
                                <w:rPr>
                                  <w:color w:val="000000"/>
                                  <w:sz w:val="20"/>
                                  <w:szCs w:val="20"/>
                                </w:rPr>
                                <w:t>Cổ phiếu HOSE đối sánh</w:t>
                              </w:r>
                            </w:p>
                            <w:p w14:paraId="040FCB80" w14:textId="77777777" w:rsidR="005D3DB2" w:rsidRPr="005B5A3B" w:rsidRDefault="00000000">
                              <w:pPr>
                                <w:jc w:val="center"/>
                                <w:rPr>
                                  <w:sz w:val="20"/>
                                  <w:szCs w:val="20"/>
                                </w:rPr>
                              </w:pPr>
                              <w:r w:rsidRPr="005B5A3B">
                                <w:rPr>
                                  <w:color w:val="000000"/>
                                  <w:sz w:val="20"/>
                                  <w:szCs w:val="20"/>
                                </w:rPr>
                                <w:t>Cổ phiếu UPCoM</w:t>
                              </w:r>
                            </w:p>
                            <w:p w14:paraId="6CFE93A3" w14:textId="77777777" w:rsidR="005D3DB2" w:rsidRPr="005B5A3B" w:rsidRDefault="00000000">
                              <w:pPr>
                                <w:jc w:val="center"/>
                                <w:rPr>
                                  <w:sz w:val="20"/>
                                  <w:szCs w:val="20"/>
                                </w:rPr>
                              </w:pPr>
                              <w:r w:rsidRPr="005B5A3B">
                                <w:rPr>
                                  <w:color w:val="000000"/>
                                  <w:sz w:val="20"/>
                                  <w:szCs w:val="20"/>
                                </w:rPr>
                                <w:t>Khác biệt kép</w:t>
                              </w:r>
                            </w:p>
                          </w:txbxContent>
                        </wps:txbx>
                        <wps:bodyPr rot="0" vert="horz" wrap="square" lIns="54000" tIns="36000" rIns="54000" bIns="36000" anchor="ctr" anchorCtr="0">
                          <a:noAutofit/>
                        </wps:bodyPr>
                      </wps:wsp>
                      <wps:wsp>
                        <wps:cNvPr id="7" name="Shape 7"/>
                        <wps:cNvSpPr/>
                        <wps:spPr>
                          <a:xfrm>
                            <a:off x="2826000" y="1800000"/>
                            <a:ext cx="1872000" cy="1188000"/>
                          </a:xfrm>
                          <a:prstGeom prst="rect">
                            <a:avLst/>
                          </a:prstGeom>
                          <a:solidFill>
                            <a:srgbClr val="FFFFFF"/>
                          </a:solidFill>
                          <a:ln w="9525">
                            <a:solidFill>
                              <a:srgbClr val="000000"/>
                            </a:solidFill>
                          </a:ln>
                        </wps:spPr>
                        <wps:txbx>
                          <w:txbxContent>
                            <w:p w14:paraId="3629E2A0" w14:textId="77777777" w:rsidR="005D3DB2" w:rsidRPr="005B5A3B" w:rsidRDefault="00000000">
                              <w:pPr>
                                <w:jc w:val="center"/>
                                <w:rPr>
                                  <w:sz w:val="20"/>
                                  <w:szCs w:val="20"/>
                                </w:rPr>
                              </w:pPr>
                              <w:r w:rsidRPr="005B5A3B">
                                <w:rPr>
                                  <w:b/>
                                  <w:bCs/>
                                  <w:color w:val="000000"/>
                                  <w:sz w:val="20"/>
                                  <w:szCs w:val="20"/>
                                </w:rPr>
                                <w:t>Bằng chứng quốc tế</w:t>
                              </w:r>
                            </w:p>
                            <w:p w14:paraId="7FE7EC76" w14:textId="77777777" w:rsidR="005D3DB2" w:rsidRPr="005B5A3B" w:rsidRDefault="00000000">
                              <w:pPr>
                                <w:jc w:val="center"/>
                                <w:rPr>
                                  <w:sz w:val="20"/>
                                  <w:szCs w:val="20"/>
                                </w:rPr>
                              </w:pPr>
                              <w:r w:rsidRPr="005B5A3B">
                                <w:rPr>
                                  <w:color w:val="000000"/>
                                  <w:sz w:val="20"/>
                                  <w:szCs w:val="20"/>
                                </w:rPr>
                                <w:t>Điểm GFCI (H</w:t>
                              </w:r>
                              <w:r w:rsidRPr="005B5A3B">
                                <w:rPr>
                                  <w:color w:val="000000"/>
                                  <w:sz w:val="20"/>
                                  <w:szCs w:val="20"/>
                                  <w:vertAlign w:val="subscript"/>
                                </w:rPr>
                                <w:t>1</w:t>
                              </w:r>
                              <w:r w:rsidRPr="005B5A3B">
                                <w:rPr>
                                  <w:color w:val="000000"/>
                                  <w:sz w:val="20"/>
                                  <w:szCs w:val="20"/>
                                </w:rPr>
                                <w:t>)</w:t>
                              </w:r>
                            </w:p>
                            <w:p w14:paraId="7F6770FC" w14:textId="77777777" w:rsidR="005D3DB2" w:rsidRPr="005B5A3B" w:rsidRDefault="00000000">
                              <w:pPr>
                                <w:jc w:val="center"/>
                                <w:rPr>
                                  <w:sz w:val="20"/>
                                  <w:szCs w:val="20"/>
                                </w:rPr>
                              </w:pPr>
                              <w:r w:rsidRPr="005B5A3B">
                                <w:rPr>
                                  <w:color w:val="000000"/>
                                  <w:sz w:val="20"/>
                                  <w:szCs w:val="20"/>
                                </w:rPr>
                                <w:t>Phát triển thị trường</w:t>
                              </w:r>
                            </w:p>
                            <w:p w14:paraId="3E6678FF" w14:textId="77777777" w:rsidR="005D3DB2" w:rsidRPr="005B5A3B" w:rsidRDefault="00000000">
                              <w:pPr>
                                <w:jc w:val="center"/>
                                <w:rPr>
                                  <w:sz w:val="20"/>
                                  <w:szCs w:val="20"/>
                                </w:rPr>
                              </w:pPr>
                              <w:r w:rsidRPr="005B5A3B">
                                <w:rPr>
                                  <w:color w:val="000000"/>
                                  <w:sz w:val="20"/>
                                  <w:szCs w:val="20"/>
                                </w:rPr>
                                <w:t>Thể chế, thu nhập</w:t>
                              </w:r>
                            </w:p>
                          </w:txbxContent>
                        </wps:txbx>
                        <wps:bodyPr rot="0" vert="horz" wrap="square" lIns="54000" tIns="36000" rIns="54000" bIns="36000" anchor="ctr" anchorCtr="0">
                          <a:noAutofit/>
                        </wps:bodyPr>
                      </wps:wsp>
                      <wps:wsp>
                        <wps:cNvPr id="8" name="Connector 8"/>
                        <wps:cNvCnPr/>
                        <wps:spPr>
                          <a:xfrm flipV="1">
                            <a:off x="1782000" y="594000"/>
                            <a:ext cx="0" cy="1206000"/>
                          </a:xfrm>
                          <a:prstGeom prst="straightConnector1">
                            <a:avLst/>
                          </a:prstGeom>
                          <a:ln w="12700">
                            <a:solidFill>
                              <a:srgbClr val="000000"/>
                            </a:solidFill>
                            <a:tailEnd type="triangle"/>
                          </a:ln>
                        </wps:spPr>
                        <wps:bodyPr/>
                      </wps:wsp>
                      <wps:wsp>
                        <wps:cNvPr id="9" name="Connector 9"/>
                        <wps:cNvCnPr/>
                        <wps:spPr>
                          <a:xfrm flipV="1">
                            <a:off x="3761999" y="594000"/>
                            <a:ext cx="0" cy="1206000"/>
                          </a:xfrm>
                          <a:prstGeom prst="straightConnector1">
                            <a:avLst/>
                          </a:prstGeom>
                          <a:ln w="12700">
                            <a:solidFill>
                              <a:srgbClr val="000000"/>
                            </a:solidFill>
                            <a:tailEnd type="triangle"/>
                          </a:ln>
                        </wps:spPr>
                        <wps:bodyPr/>
                      </wps:wsp>
                      <wps:wsp>
                        <wps:cNvPr id="10" name="Shape 10"/>
                        <wps:cNvSpPr/>
                        <wps:spPr>
                          <a:xfrm>
                            <a:off x="1566000" y="288000"/>
                            <a:ext cx="432000" cy="216000"/>
                          </a:xfrm>
                          <a:prstGeom prst="rect">
                            <a:avLst/>
                          </a:prstGeom>
                          <a:noFill/>
                          <a:ln>
                            <a:noFill/>
                          </a:ln>
                        </wps:spPr>
                        <wps:txbx>
                          <w:txbxContent>
                            <w:p w14:paraId="3B3E02D7" w14:textId="77777777" w:rsidR="005D3DB2" w:rsidRPr="005B5A3B" w:rsidRDefault="005D3DB2">
                              <w:pPr>
                                <w:jc w:val="center"/>
                                <w:rPr>
                                  <w:sz w:val="20"/>
                                  <w:szCs w:val="20"/>
                                </w:rPr>
                              </w:pPr>
                            </w:p>
                          </w:txbxContent>
                        </wps:txbx>
                        <wps:bodyPr rot="0" vert="horz" wrap="square" lIns="54000" tIns="36000" rIns="54000" bIns="36000" anchor="ctr" anchorCtr="0">
                          <a:noAutofit/>
                        </wps:bodyPr>
                      </wps:wsp>
                      <wps:wsp>
                        <wps:cNvPr id="11" name="Shape 11"/>
                        <wps:cNvSpPr/>
                        <wps:spPr>
                          <a:xfrm>
                            <a:off x="1800000" y="1332000"/>
                            <a:ext cx="684000" cy="216000"/>
                          </a:xfrm>
                          <a:prstGeom prst="rect">
                            <a:avLst/>
                          </a:prstGeom>
                          <a:noFill/>
                          <a:ln>
                            <a:noFill/>
                          </a:ln>
                        </wps:spPr>
                        <wps:txbx>
                          <w:txbxContent>
                            <w:p w14:paraId="75D2427A" w14:textId="77777777" w:rsidR="005D3DB2" w:rsidRPr="005B5A3B" w:rsidRDefault="00000000">
                              <w:pPr>
                                <w:jc w:val="center"/>
                                <w:rPr>
                                  <w:sz w:val="20"/>
                                  <w:szCs w:val="20"/>
                                </w:rPr>
                              </w:pPr>
                              <w:r w:rsidRPr="005B5A3B">
                                <w:rPr>
                                  <w:sz w:val="20"/>
                                  <w:szCs w:val="20"/>
                                </w:rPr>
                                <w:t>đối chứng</w:t>
                              </w:r>
                            </w:p>
                          </w:txbxContent>
                        </wps:txbx>
                        <wps:bodyPr rot="0" vert="horz" wrap="square" lIns="54000" tIns="36000" rIns="54000" bIns="36000" anchor="ctr" anchorCtr="0">
                          <a:noAutofit/>
                        </wps:bodyPr>
                      </wps:wsp>
                      <wps:wsp>
                        <wps:cNvPr id="12" name="Shape 12"/>
                        <wps:cNvSpPr/>
                        <wps:spPr>
                          <a:xfrm>
                            <a:off x="3780000" y="1332000"/>
                            <a:ext cx="432000" cy="216000"/>
                          </a:xfrm>
                          <a:prstGeom prst="rect">
                            <a:avLst/>
                          </a:prstGeom>
                          <a:noFill/>
                          <a:ln>
                            <a:noFill/>
                          </a:ln>
                        </wps:spPr>
                        <wps:txbx>
                          <w:txbxContent>
                            <w:p w14:paraId="14B323CB" w14:textId="77777777" w:rsidR="005D3DB2" w:rsidRPr="005B5A3B" w:rsidRDefault="005D3DB2">
                              <w:pPr>
                                <w:jc w:val="center"/>
                                <w:rPr>
                                  <w:sz w:val="20"/>
                                  <w:szCs w:val="20"/>
                                </w:rPr>
                              </w:pPr>
                            </w:p>
                          </w:txbxContent>
                        </wps:txbx>
                        <wps:bodyPr rot="0" vert="horz" wrap="square" lIns="54000" tIns="36000" rIns="54000" bIns="36000" anchor="ctr" anchorCtr="0">
                          <a:noAutofit/>
                        </wps:bodyPr>
                      </wps:wsp>
                    </wpg:wgp>
                  </a:graphicData>
                </a:graphic>
              </wp:inline>
            </w:drawing>
          </mc:Choice>
          <mc:Fallback>
            <w:pict>
              <v:group w14:anchorId="0AE457BA" id="Hình 1. Khung phân tích" o:spid="_x0000_s1026" style="width:436.55pt;height:238.1pt;mso-position-horizontal-relative:char;mso-position-vertical-relative:line" coordsize="55440,302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">
                <v:rect id="Shape 1" o:spid="_x0000_s1027" style="position:absolute;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">
                  <v:textbox inset="1.5mm,1mm,1.5mm,1mm">
                    <w:txbxContent>
                      <w:p w14:paraId="10FC1B27" w14:textId="77777777" w:rsidR="005D3DB2" w:rsidRPr="005B5A3B" w:rsidRDefault="00000000">
                        <w:pPr>
                          <w:jc w:val="center"/>
                          <w:rPr>
                            <w:sz w:val="20"/>
                            <w:szCs w:val="20"/>
                          </w:rPr>
                        </w:pPr>
                        <w:r w:rsidRPr="005B5A3B">
                          <w:rPr>
                            <w:b/>
                            <w:bCs/>
                            <w:color w:val="000000"/>
                            <w:sz w:val="20"/>
                            <w:szCs w:val="20"/>
                          </w:rPr>
                          <w:t>Trước hợp nhất</w:t>
                        </w:r>
                      </w:p>
                      <w:p w14:paraId="32AA72C6" w14:textId="77777777" w:rsidR="005D3DB2" w:rsidRPr="005B5A3B" w:rsidRDefault="00000000">
                        <w:pPr>
                          <w:jc w:val="center"/>
                          <w:rPr>
                            <w:sz w:val="20"/>
                            <w:szCs w:val="20"/>
                          </w:rPr>
                        </w:pPr>
                        <w:r w:rsidRPr="005B5A3B">
                          <w:rPr>
                            <w:color w:val="000000"/>
                            <w:sz w:val="20"/>
                            <w:szCs w:val="20"/>
                          </w:rPr>
                          <w:t>Chỉ số chất lượng</w:t>
                        </w:r>
                      </w:p>
                      <w:p w14:paraId="5001D3F8" w14:textId="77777777" w:rsidR="005D3DB2" w:rsidRPr="005B5A3B" w:rsidRDefault="00000000">
                        <w:pPr>
                          <w:jc w:val="center"/>
                          <w:rPr>
                            <w:sz w:val="20"/>
                            <w:szCs w:val="20"/>
                          </w:rPr>
                        </w:pPr>
                        <w:r w:rsidRPr="005B5A3B">
                          <w:rPr>
                            <w:color w:val="000000"/>
                            <w:sz w:val="20"/>
                            <w:szCs w:val="20"/>
                          </w:rPr>
                          <w:t>HNX so với HOSE (H</w:t>
                        </w:r>
                        <w:r w:rsidRPr="005B5A3B">
                          <w:rPr>
                            <w:color w:val="000000"/>
                            <w:sz w:val="20"/>
                            <w:szCs w:val="20"/>
                            <w:vertAlign w:val="subscript"/>
                          </w:rPr>
                          <w:t>2</w:t>
                        </w:r>
                        <w:r w:rsidRPr="005B5A3B">
                          <w:rPr>
                            <w:color w:val="000000"/>
                            <w:sz w:val="20"/>
                            <w:szCs w:val="20"/>
                          </w:rPr>
                          <w:t>)</w:t>
                        </w:r>
                      </w:p>
                      <w:p w14:paraId="712DBA37" w14:textId="77777777" w:rsidR="005D3DB2" w:rsidRPr="005B5A3B" w:rsidRDefault="00000000">
                        <w:pPr>
                          <w:jc w:val="center"/>
                          <w:rPr>
                            <w:sz w:val="20"/>
                            <w:szCs w:val="20"/>
                          </w:rPr>
                        </w:pPr>
                        <w:r w:rsidRPr="005B5A3B">
                          <w:rPr>
                            <w:color w:val="000000"/>
                            <w:sz w:val="20"/>
                            <w:szCs w:val="20"/>
                          </w:rPr>
                          <w:t>Giai đoạn 6/2009–6/2025</w:t>
                        </w:r>
                      </w:p>
                    </w:txbxContent>
                  </v:textbox>
                </v:rect>
                <v:rect id="Shape 2" o:spid="_x0000_s1028" style="position:absolute;left:19800;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">
                  <v:textbox inset="1.5mm,1mm,1.5mm,1mm">
                    <w:txbxContent>
                      <w:p w14:paraId="7D4F9738" w14:textId="77777777" w:rsidR="005D3DB2" w:rsidRPr="005B5A3B" w:rsidRDefault="00000000">
                        <w:pPr>
                          <w:jc w:val="center"/>
                          <w:rPr>
                            <w:sz w:val="20"/>
                            <w:szCs w:val="20"/>
                          </w:rPr>
                        </w:pPr>
                        <w:r w:rsidRPr="005B5A3B">
                          <w:rPr>
                            <w:b/>
                            <w:bCs/>
                            <w:color w:val="000000"/>
                            <w:sz w:val="20"/>
                            <w:szCs w:val="20"/>
                          </w:rPr>
                          <w:t>Sự kiện 28/12/2026</w:t>
                        </w:r>
                      </w:p>
                      <w:p w14:paraId="716933A2" w14:textId="77777777" w:rsidR="005D3DB2" w:rsidRPr="005B5A3B" w:rsidRDefault="00000000">
                        <w:pPr>
                          <w:jc w:val="center"/>
                          <w:rPr>
                            <w:sz w:val="20"/>
                            <w:szCs w:val="20"/>
                          </w:rPr>
                        </w:pPr>
                        <w:r w:rsidRPr="005B5A3B">
                          <w:rPr>
                            <w:color w:val="000000"/>
                            <w:sz w:val="20"/>
                            <w:szCs w:val="20"/>
                          </w:rPr>
                          <w:t>Chuyển sàn sang HOSE</w:t>
                        </w:r>
                      </w:p>
                      <w:p w14:paraId="6BEEBB05" w14:textId="77777777" w:rsidR="005D3DB2" w:rsidRPr="005B5A3B" w:rsidRDefault="00000000">
                        <w:pPr>
                          <w:jc w:val="center"/>
                          <w:rPr>
                            <w:sz w:val="20"/>
                            <w:szCs w:val="20"/>
                          </w:rPr>
                        </w:pPr>
                        <w:r w:rsidRPr="005B5A3B">
                          <w:rPr>
                            <w:color w:val="000000"/>
                            <w:sz w:val="20"/>
                            <w:szCs w:val="20"/>
                          </w:rPr>
                          <w:t>Thanh khoản (H</w:t>
                        </w:r>
                        <w:r w:rsidRPr="005B5A3B">
                          <w:rPr>
                            <w:color w:val="000000"/>
                            <w:sz w:val="20"/>
                            <w:szCs w:val="20"/>
                            <w:vertAlign w:val="subscript"/>
                          </w:rPr>
                          <w:t>3</w:t>
                        </w:r>
                        <w:r w:rsidRPr="005B5A3B">
                          <w:rPr>
                            <w:color w:val="000000"/>
                            <w:sz w:val="20"/>
                            <w:szCs w:val="20"/>
                          </w:rPr>
                          <w:t>)</w:t>
                        </w:r>
                      </w:p>
                      <w:p w14:paraId="4089A1AF" w14:textId="77777777" w:rsidR="005D3DB2" w:rsidRPr="005B5A3B" w:rsidRDefault="00000000">
                        <w:pPr>
                          <w:jc w:val="center"/>
                          <w:rPr>
                            <w:sz w:val="20"/>
                            <w:szCs w:val="20"/>
                          </w:rPr>
                        </w:pPr>
                        <w:r w:rsidRPr="005B5A3B">
                          <w:rPr>
                            <w:color w:val="000000"/>
                            <w:sz w:val="20"/>
                            <w:szCs w:val="20"/>
                          </w:rPr>
                          <w:t>Khả năng đầu tư (H</w:t>
                        </w:r>
                        <w:r w:rsidRPr="005B5A3B">
                          <w:rPr>
                            <w:color w:val="000000"/>
                            <w:sz w:val="20"/>
                            <w:szCs w:val="20"/>
                            <w:vertAlign w:val="subscript"/>
                          </w:rPr>
                          <w:t>4</w:t>
                        </w:r>
                        <w:r w:rsidRPr="005B5A3B">
                          <w:rPr>
                            <w:color w:val="000000"/>
                            <w:sz w:val="20"/>
                            <w:szCs w:val="20"/>
                          </w:rPr>
                          <w:t>)</w:t>
                        </w:r>
                      </w:p>
                    </w:txbxContent>
                  </v:textbox>
                </v:rect>
                <v:rect id="Shape 3" o:spid="_x0000_s1029" style="position:absolute;left:39600;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">
                  <v:textbox inset="1.5mm,1mm,1.5mm,1mm">
                    <w:txbxContent>
                      <w:p w14:paraId="28EDE822" w14:textId="77777777" w:rsidR="005D3DB2" w:rsidRPr="005B5A3B" w:rsidRDefault="00000000">
                        <w:pPr>
                          <w:jc w:val="center"/>
                          <w:rPr>
                            <w:sz w:val="20"/>
                            <w:szCs w:val="20"/>
                          </w:rPr>
                        </w:pPr>
                        <w:r w:rsidRPr="005B5A3B">
                          <w:rPr>
                            <w:b/>
                            <w:bCs/>
                            <w:color w:val="000000"/>
                            <w:sz w:val="20"/>
                            <w:szCs w:val="20"/>
                          </w:rPr>
                          <w:t>Hàm ý cho Hà Nội</w:t>
                        </w:r>
                      </w:p>
                      <w:p w14:paraId="49EF347F" w14:textId="77777777" w:rsidR="005D3DB2" w:rsidRPr="005B5A3B" w:rsidRDefault="00000000">
                        <w:pPr>
                          <w:jc w:val="center"/>
                          <w:rPr>
                            <w:sz w:val="20"/>
                            <w:szCs w:val="20"/>
                          </w:rPr>
                        </w:pPr>
                        <w:r w:rsidRPr="005B5A3B">
                          <w:rPr>
                            <w:color w:val="000000"/>
                            <w:sz w:val="20"/>
                            <w:szCs w:val="20"/>
                          </w:rPr>
                          <w:t>Chuyên môn hóa thị trường</w:t>
                        </w:r>
                      </w:p>
                      <w:p w14:paraId="78BDC54C" w14:textId="77777777" w:rsidR="005D3DB2" w:rsidRPr="005B5A3B" w:rsidRDefault="00000000">
                        <w:pPr>
                          <w:jc w:val="center"/>
                          <w:rPr>
                            <w:sz w:val="20"/>
                            <w:szCs w:val="20"/>
                          </w:rPr>
                        </w:pPr>
                        <w:r w:rsidRPr="005B5A3B">
                          <w:rPr>
                            <w:color w:val="000000"/>
                            <w:sz w:val="20"/>
                            <w:szCs w:val="20"/>
                          </w:rPr>
                          <w:t>Trái phiếu, phái sinh, UPCoM</w:t>
                        </w:r>
                      </w:p>
                      <w:p w14:paraId="2346FAA8" w14:textId="77777777" w:rsidR="005D3DB2" w:rsidRPr="005B5A3B" w:rsidRDefault="00000000">
                        <w:pPr>
                          <w:jc w:val="center"/>
                          <w:rPr>
                            <w:sz w:val="20"/>
                            <w:szCs w:val="20"/>
                          </w:rPr>
                        </w:pPr>
                        <w:r w:rsidRPr="005B5A3B">
                          <w:rPr>
                            <w:color w:val="000000"/>
                            <w:sz w:val="20"/>
                            <w:szCs w:val="20"/>
                          </w:rPr>
                          <w:t>Hạ tầng dữ liệu</w:t>
                        </w:r>
                      </w:p>
                    </w:txbxContent>
                  </v:textbox>
                </v:rect>
                <v:shapetype id="_x0000_t32" coordsize="21600,21600" o:spt="32" o:oned="t" path="m,l21600,21600e" filled="f">
                  <v:path arrowok="t" fillok="f" o:connecttype="none"/>
                  <o:lock v:ext="edit" shapetype="t"/>
                </v:shapetype>
                <v:shape id="Connector 4" o:spid="_x0000_s1030" type="#_x0000_t32" style="position:absolute;left:15840;top:5940;width:39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" strokeweight="1pt">
                  <v:stroke endarrow="block"/>
                </v:shape>
                <v:shape id="Connector 5" o:spid="_x0000_s1031" type="#_x0000_t32" style="position:absolute;left:35640;top:5940;width:39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" strokeweight="1pt">
                  <v:stroke dashstyle="dash" endarrow="block"/>
                </v:shape>
                <v:rect id="Shape 6" o:spid="_x0000_s1032" style="position:absolute;left:8460;top:18000;width:1872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">
                  <v:textbox inset="1.5mm,1mm,1.5mm,1mm">
                    <w:txbxContent>
                      <w:p w14:paraId="3BEF7788" w14:textId="77777777" w:rsidR="005D3DB2" w:rsidRPr="005B5A3B" w:rsidRDefault="00000000">
                        <w:pPr>
                          <w:jc w:val="center"/>
                          <w:rPr>
                            <w:sz w:val="20"/>
                            <w:szCs w:val="20"/>
                          </w:rPr>
                        </w:pPr>
                        <w:r w:rsidRPr="005B5A3B">
                          <w:rPr>
                            <w:b/>
                            <w:bCs/>
                            <w:color w:val="000000"/>
                            <w:sz w:val="20"/>
                            <w:szCs w:val="20"/>
                          </w:rPr>
                          <w:t>Nhóm đối chứng</w:t>
                        </w:r>
                      </w:p>
                      <w:p w14:paraId="6CC95D5E" w14:textId="77777777" w:rsidR="005D3DB2" w:rsidRPr="005B5A3B" w:rsidRDefault="00000000">
                        <w:pPr>
                          <w:jc w:val="center"/>
                          <w:rPr>
                            <w:sz w:val="20"/>
                            <w:szCs w:val="20"/>
                          </w:rPr>
                        </w:pPr>
                        <w:r w:rsidRPr="005B5A3B">
                          <w:rPr>
                            <w:color w:val="000000"/>
                            <w:sz w:val="20"/>
                            <w:szCs w:val="20"/>
                          </w:rPr>
                          <w:t>Cổ phiếu HOSE đối sánh</w:t>
                        </w:r>
                      </w:p>
                      <w:p w14:paraId="040FCB80" w14:textId="77777777" w:rsidR="005D3DB2" w:rsidRPr="005B5A3B" w:rsidRDefault="00000000">
                        <w:pPr>
                          <w:jc w:val="center"/>
                          <w:rPr>
                            <w:sz w:val="20"/>
                            <w:szCs w:val="20"/>
                          </w:rPr>
                        </w:pPr>
                        <w:r w:rsidRPr="005B5A3B">
                          <w:rPr>
                            <w:color w:val="000000"/>
                            <w:sz w:val="20"/>
                            <w:szCs w:val="20"/>
                          </w:rPr>
                          <w:t>Cổ phiếu UPCoM</w:t>
                        </w:r>
                      </w:p>
                      <w:p w14:paraId="6CFE93A3" w14:textId="77777777" w:rsidR="005D3DB2" w:rsidRPr="005B5A3B" w:rsidRDefault="00000000">
                        <w:pPr>
                          <w:jc w:val="center"/>
                          <w:rPr>
                            <w:sz w:val="20"/>
                            <w:szCs w:val="20"/>
                          </w:rPr>
                        </w:pPr>
                        <w:r w:rsidRPr="005B5A3B">
                          <w:rPr>
                            <w:color w:val="000000"/>
                            <w:sz w:val="20"/>
                            <w:szCs w:val="20"/>
                          </w:rPr>
                          <w:t>Khác biệt kép</w:t>
                        </w:r>
                      </w:p>
                    </w:txbxContent>
                  </v:textbox>
                </v:rect>
                <v:rect id="Shape 7" o:spid="_x0000_s1033" style="position:absolute;left:28260;top:18000;width:1872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">
                  <v:textbox inset="1.5mm,1mm,1.5mm,1mm">
                    <w:txbxContent>
                      <w:p w14:paraId="3629E2A0" w14:textId="77777777" w:rsidR="005D3DB2" w:rsidRPr="005B5A3B" w:rsidRDefault="00000000">
                        <w:pPr>
                          <w:jc w:val="center"/>
                          <w:rPr>
                            <w:sz w:val="20"/>
                            <w:szCs w:val="20"/>
                          </w:rPr>
                        </w:pPr>
                        <w:r w:rsidRPr="005B5A3B">
                          <w:rPr>
                            <w:b/>
                            <w:bCs/>
                            <w:color w:val="000000"/>
                            <w:sz w:val="20"/>
                            <w:szCs w:val="20"/>
                          </w:rPr>
                          <w:t>Bằng chứng quốc tế</w:t>
                        </w:r>
                      </w:p>
                      <w:p w14:paraId="7FE7EC76" w14:textId="77777777" w:rsidR="005D3DB2" w:rsidRPr="005B5A3B" w:rsidRDefault="00000000">
                        <w:pPr>
                          <w:jc w:val="center"/>
                          <w:rPr>
                            <w:sz w:val="20"/>
                            <w:szCs w:val="20"/>
                          </w:rPr>
                        </w:pPr>
                        <w:r w:rsidRPr="005B5A3B">
                          <w:rPr>
                            <w:color w:val="000000"/>
                            <w:sz w:val="20"/>
                            <w:szCs w:val="20"/>
                          </w:rPr>
                          <w:t>Điểm GFCI (H</w:t>
                        </w:r>
                        <w:r w:rsidRPr="005B5A3B">
                          <w:rPr>
                            <w:color w:val="000000"/>
                            <w:sz w:val="20"/>
                            <w:szCs w:val="20"/>
                            <w:vertAlign w:val="subscript"/>
                          </w:rPr>
                          <w:t>1</w:t>
                        </w:r>
                        <w:r w:rsidRPr="005B5A3B">
                          <w:rPr>
                            <w:color w:val="000000"/>
                            <w:sz w:val="20"/>
                            <w:szCs w:val="20"/>
                          </w:rPr>
                          <w:t>)</w:t>
                        </w:r>
                      </w:p>
                      <w:p w14:paraId="7F6770FC" w14:textId="77777777" w:rsidR="005D3DB2" w:rsidRPr="005B5A3B" w:rsidRDefault="00000000">
                        <w:pPr>
                          <w:jc w:val="center"/>
                          <w:rPr>
                            <w:sz w:val="20"/>
                            <w:szCs w:val="20"/>
                          </w:rPr>
                        </w:pPr>
                        <w:r w:rsidRPr="005B5A3B">
                          <w:rPr>
                            <w:color w:val="000000"/>
                            <w:sz w:val="20"/>
                            <w:szCs w:val="20"/>
                          </w:rPr>
                          <w:t>Phát triển thị trường</w:t>
                        </w:r>
                      </w:p>
                      <w:p w14:paraId="3E6678FF" w14:textId="77777777" w:rsidR="005D3DB2" w:rsidRPr="005B5A3B" w:rsidRDefault="00000000">
                        <w:pPr>
                          <w:jc w:val="center"/>
                          <w:rPr>
                            <w:sz w:val="20"/>
                            <w:szCs w:val="20"/>
                          </w:rPr>
                        </w:pPr>
                        <w:r w:rsidRPr="005B5A3B">
                          <w:rPr>
                            <w:color w:val="000000"/>
                            <w:sz w:val="20"/>
                            <w:szCs w:val="20"/>
                          </w:rPr>
                          <w:t>Thể chế, thu nhập</w:t>
                        </w:r>
                      </w:p>
                    </w:txbxContent>
                  </v:textbox>
                </v:rect>
                <v:shape id="Connector 8" o:spid="_x0000_s1034" type="#_x0000_t32" style="position:absolute;left:17820;top:5940;width:0;height:1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" strokeweight="1pt">
                  <v:stroke endarrow="block"/>
                </v:shape>
                <v:shape id="Connector 9" o:spid="_x0000_s1035" type="#_x0000_t32" style="position:absolute;left:37619;top:5940;width:0;height:1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" strokeweight="1pt">
                  <v:stroke endarrow="block"/>
                </v:shape>
                <v:rect id="Shape 10" o:spid="_x0000_s1036" style="position:absolute;left:15660;top:2880;width:432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" filled="f" stroked="f">
                  <v:textbox inset="1.5mm,1mm,1.5mm,1mm">
                    <w:txbxContent>
                      <w:p w14:paraId="3B3E02D7" w14:textId="77777777" w:rsidR="005D3DB2" w:rsidRPr="005B5A3B" w:rsidRDefault="005D3DB2">
                        <w:pPr>
                          <w:jc w:val="center"/>
                          <w:rPr>
                            <w:sz w:val="20"/>
                            <w:szCs w:val="20"/>
                          </w:rPr>
                        </w:pPr>
                      </w:p>
                    </w:txbxContent>
                  </v:textbox>
                </v:rect>
                <v:rect id="Shape 11" o:spid="_x0000_s1037" style="position:absolute;left:18000;top:13320;width:684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" filled="f" stroked="f">
                  <v:textbox inset="1.5mm,1mm,1.5mm,1mm">
                    <w:txbxContent>
                      <w:p w14:paraId="75D2427A" w14:textId="77777777" w:rsidR="005D3DB2" w:rsidRPr="005B5A3B" w:rsidRDefault="00000000">
                        <w:pPr>
                          <w:jc w:val="center"/>
                          <w:rPr>
                            <w:sz w:val="20"/>
                            <w:szCs w:val="20"/>
                          </w:rPr>
                        </w:pPr>
                        <w:r w:rsidRPr="005B5A3B">
                          <w:rPr>
                            <w:sz w:val="20"/>
                            <w:szCs w:val="20"/>
                          </w:rPr>
                          <w:t>đối chứng</w:t>
                        </w:r>
                      </w:p>
                    </w:txbxContent>
                  </v:textbox>
                </v:rect>
                <v:rect id="Shape 12" o:spid="_x0000_s1038" style="position:absolute;left:37800;top:13320;width:432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" filled="f" stroked="f">
                  <v:textbox inset="1.5mm,1mm,1.5mm,1mm">
                    <w:txbxContent>
                      <w:p w14:paraId="14B323CB" w14:textId="77777777" w:rsidR="005D3DB2" w:rsidRPr="005B5A3B" w:rsidRDefault="005D3DB2">
                        <w:pPr>
                          <w:jc w:val="center"/>
                          <w:rPr>
                            <w:sz w:val="20"/>
                            <w:szCs w:val="20"/>
                          </w:rPr>
                        </w:pPr>
                      </w:p>
                    </w:txbxContent>
                  </v:textbox>
                </v:rect>
                <w10:anchorlock/>
              </v:group>
            </w:pict>
          </mc:Fallback>
        </mc:AlternateContent>
      </w:r>
    </w:p>
    <w:p w14:paraId="3672279E" w14:textId="77777777" w:rsidR="005D3DB2" w:rsidRPr="005C17A3" w:rsidRDefault="00000000">
      <w:pPr>
        <w:pStyle w:val="FigureCaption"/>
      </w:pPr>
      <w:r w:rsidRPr="005C17A3">
        <w:t>Hình 1. Khung phân tích: hợp nhất sàn, chất lượng thị trường và khả năng đầu tư</w:t>
      </w:r>
    </w:p>
    <w:p w14:paraId="7F526D79" w14:textId="77777777" w:rsidR="005B5A3B" w:rsidRPr="005C17A3" w:rsidRDefault="005B5A3B" w:rsidP="005B5A3B">
      <w:pPr>
        <w:pStyle w:val="SourceNote"/>
        <w:rPr>
          <w:sz w:val="26"/>
          <w:szCs w:val="26"/>
        </w:rPr>
      </w:pPr>
      <w:bookmarkStart w:id="13" w:name="_Toc242353157"/>
      <w:r w:rsidRPr="005C17A3">
        <w:rPr>
          <w:sz w:val="26"/>
          <w:szCs w:val="26"/>
        </w:rPr>
        <w:t>Nguồn: Thí sinh đề xuất. Mũi tên nét đứt chỉ hàm ý chính sách.</w:t>
      </w:r>
    </w:p>
    <w:p w14:paraId="023B2690" w14:textId="77777777" w:rsidR="005D3DB2" w:rsidRPr="005C17A3" w:rsidRDefault="00000000">
      <w:pPr>
        <w:pStyle w:val="TableCaption"/>
      </w:pPr>
      <w:r w:rsidRPr="005C17A3">
        <w:t xml:space="preserve">Bảng </w:t>
      </w:r>
      <w:fldSimple w:instr=" SEQ Bảng \* ARABIC ">
        <w:r w:rsidR="005D3DB2" w:rsidRPr="005C17A3">
          <w:rPr>
            <w:noProof/>
          </w:rPr>
          <w:t>2</w:t>
        </w:r>
      </w:fldSimple>
      <w:r w:rsidRPr="005C17A3">
        <w:t>. Giả thuyết, thước đo và cơ sở lý thuyết</w:t>
      </w:r>
      <w:bookmarkEnd w:id="13"/>
    </w:p>
    <w:tbl>
      <w:tblPr>
        <w:tblStyle w:val="GridTable1Light"/>
        <w:tblW w:w="5000" w:type="pct"/>
        <w:tblLook w:val="0020" w:firstRow="1" w:lastRow="0" w:firstColumn="0" w:lastColumn="0" w:noHBand="0" w:noVBand="0"/>
      </w:tblPr>
      <w:tblGrid>
        <w:gridCol w:w="3395"/>
        <w:gridCol w:w="2997"/>
        <w:gridCol w:w="2386"/>
      </w:tblGrid>
      <w:tr w:rsidR="005D3DB2" w:rsidRPr="005C17A3" w14:paraId="5C76A4A3" w14:textId="77777777" w:rsidTr="00056778">
        <w:trPr>
          <w:cnfStyle w:val="100000000000" w:firstRow="1" w:lastRow="0" w:firstColumn="0" w:lastColumn="0" w:oddVBand="0" w:evenVBand="0" w:oddHBand="0" w:evenHBand="0" w:firstRowFirstColumn="0" w:firstRowLastColumn="0" w:lastRowFirstColumn="0" w:lastRowLastColumn="0"/>
        </w:trPr>
        <w:tc>
          <w:tcPr>
            <w:tcW w:w="1934" w:type="pct"/>
          </w:tcPr>
          <w:p w14:paraId="32430574" w14:textId="77777777" w:rsidR="005D3DB2" w:rsidRPr="005C17A3" w:rsidRDefault="00000000">
            <w:pPr>
              <w:pStyle w:val="Compact"/>
              <w:jc w:val="center"/>
              <w:rPr>
                <w:sz w:val="26"/>
                <w:szCs w:val="26"/>
              </w:rPr>
            </w:pPr>
            <w:r w:rsidRPr="005C17A3">
              <w:rPr>
                <w:sz w:val="26"/>
                <w:szCs w:val="26"/>
              </w:rPr>
              <w:t>Giả thuyết</w:t>
            </w:r>
          </w:p>
        </w:tc>
        <w:tc>
          <w:tcPr>
            <w:tcW w:w="1707" w:type="pct"/>
          </w:tcPr>
          <w:p w14:paraId="50351440" w14:textId="77777777" w:rsidR="005D3DB2" w:rsidRPr="005C17A3" w:rsidRDefault="00000000">
            <w:pPr>
              <w:pStyle w:val="Compact"/>
              <w:jc w:val="center"/>
              <w:rPr>
                <w:sz w:val="26"/>
                <w:szCs w:val="26"/>
              </w:rPr>
            </w:pPr>
            <w:r w:rsidRPr="005C17A3">
              <w:rPr>
                <w:sz w:val="26"/>
                <w:szCs w:val="26"/>
              </w:rPr>
              <w:t>Thước đo chính</w:t>
            </w:r>
          </w:p>
        </w:tc>
        <w:tc>
          <w:tcPr>
            <w:tcW w:w="1359" w:type="pct"/>
          </w:tcPr>
          <w:p w14:paraId="1F56B551" w14:textId="77777777" w:rsidR="005D3DB2" w:rsidRPr="005C17A3" w:rsidRDefault="00000000">
            <w:pPr>
              <w:pStyle w:val="Compact"/>
              <w:jc w:val="center"/>
              <w:rPr>
                <w:sz w:val="26"/>
                <w:szCs w:val="26"/>
              </w:rPr>
            </w:pPr>
            <w:r w:rsidRPr="005C17A3">
              <w:rPr>
                <w:sz w:val="26"/>
                <w:szCs w:val="26"/>
              </w:rPr>
              <w:t>Cơ sở lý thuyết và phương pháp</w:t>
            </w:r>
          </w:p>
        </w:tc>
      </w:tr>
      <w:tr w:rsidR="005D3DB2" w:rsidRPr="005C17A3" w14:paraId="53734804" w14:textId="77777777" w:rsidTr="00056778">
        <w:tc>
          <w:tcPr>
            <w:tcW w:w="1934" w:type="pct"/>
          </w:tcPr>
          <w:p w14:paraId="4E96F49B" w14:textId="77777777" w:rsidR="005D3DB2" w:rsidRPr="005C17A3" w:rsidRDefault="00000000">
            <w:pPr>
              <w:pStyle w:val="Compact"/>
              <w:rPr>
                <w:sz w:val="26"/>
                <w:szCs w:val="26"/>
              </w:rPr>
            </w:pPr>
            <w:r w:rsidRPr="005C17A3">
              <w:rPr>
                <w:sz w:val="26"/>
                <w:szCs w:val="26"/>
              </w:rPr>
              <w:t>H</w:t>
            </w:r>
            <w:r w:rsidRPr="005C17A3">
              <w:rPr>
                <w:sz w:val="26"/>
                <w:szCs w:val="26"/>
                <w:vertAlign w:val="subscript"/>
              </w:rPr>
              <w:t>1</w:t>
            </w:r>
            <w:r w:rsidRPr="005C17A3">
              <w:rPr>
                <w:sz w:val="26"/>
                <w:szCs w:val="26"/>
              </w:rPr>
              <w:t>: Các trung tâm tài chính ở quốc gia có thị trường cổ phiếu phát triển hơn có điểm GFCI cao hơn, sau khi kiểm soát chất lượng thể chế và thu nhập (câu hỏi 1)</w:t>
            </w:r>
          </w:p>
        </w:tc>
        <w:tc>
          <w:tcPr>
            <w:tcW w:w="1707" w:type="pct"/>
          </w:tcPr>
          <w:p w14:paraId="1032ADA9" w14:textId="77777777" w:rsidR="005D3DB2" w:rsidRPr="005C17A3" w:rsidRDefault="00000000">
            <w:pPr>
              <w:pStyle w:val="Compact"/>
              <w:rPr>
                <w:sz w:val="26"/>
                <w:szCs w:val="26"/>
              </w:rPr>
            </w:pPr>
            <w:r w:rsidRPr="005C17A3">
              <w:rPr>
                <w:sz w:val="26"/>
                <w:szCs w:val="26"/>
              </w:rPr>
              <w:t>Điểm GFCI chuẩn hóa theo kỳ; chỉ báo phát triển thị trường cổ phiếu (vòng quay, vốn hóa trên GDP); chỉ số quản trị nhà nước</w:t>
            </w:r>
          </w:p>
        </w:tc>
        <w:tc>
          <w:tcPr>
            <w:tcW w:w="1359" w:type="pct"/>
          </w:tcPr>
          <w:p w14:paraId="033CED96" w14:textId="77777777" w:rsidR="005D3DB2" w:rsidRPr="005C17A3" w:rsidRDefault="00000000">
            <w:pPr>
              <w:pStyle w:val="Compact"/>
              <w:rPr>
                <w:sz w:val="26"/>
                <w:szCs w:val="26"/>
              </w:rPr>
            </w:pPr>
            <w:r w:rsidRPr="005C17A3">
              <w:rPr>
                <w:sz w:val="26"/>
                <w:szCs w:val="26"/>
              </w:rPr>
              <w:t>Naeem (2023); Čihák và cộng sự (2012); Kaufmann và cộng sự (2011)</w:t>
            </w:r>
          </w:p>
        </w:tc>
      </w:tr>
      <w:tr w:rsidR="005D3DB2" w:rsidRPr="005C17A3" w14:paraId="593BCAC4" w14:textId="77777777" w:rsidTr="00056778">
        <w:tc>
          <w:tcPr>
            <w:tcW w:w="1934" w:type="pct"/>
          </w:tcPr>
          <w:p w14:paraId="089EA7F6" w14:textId="77777777" w:rsidR="005D3DB2" w:rsidRPr="005C17A3" w:rsidRDefault="00000000">
            <w:pPr>
              <w:pStyle w:val="Compact"/>
              <w:rPr>
                <w:sz w:val="26"/>
                <w:szCs w:val="26"/>
              </w:rPr>
            </w:pPr>
            <w:r w:rsidRPr="005C17A3">
              <w:rPr>
                <w:sz w:val="26"/>
                <w:szCs w:val="26"/>
              </w:rPr>
              <w:t>H</w:t>
            </w:r>
            <w:r w:rsidRPr="005C17A3">
              <w:rPr>
                <w:sz w:val="26"/>
                <w:szCs w:val="26"/>
                <w:vertAlign w:val="subscript"/>
              </w:rPr>
              <w:t>2</w:t>
            </w:r>
            <w:r w:rsidRPr="005C17A3">
              <w:rPr>
                <w:sz w:val="26"/>
                <w:szCs w:val="26"/>
              </w:rPr>
              <w:t xml:space="preserve">: Trong giai đoạn tham chiếu từ tháng 6/2009 đến </w:t>
            </w:r>
            <w:r w:rsidRPr="005C17A3">
              <w:rPr>
                <w:sz w:val="26"/>
                <w:szCs w:val="26"/>
              </w:rPr>
              <w:lastRenderedPageBreak/>
              <w:t>tháng 6/2025, Chỉ số chất lượng thị trường vốn của sàn niêm yết HNX thấp hơn của HOSE (câu hỏi 2)</w:t>
            </w:r>
          </w:p>
        </w:tc>
        <w:tc>
          <w:tcPr>
            <w:tcW w:w="1707" w:type="pct"/>
          </w:tcPr>
          <w:p w14:paraId="499E3F11" w14:textId="77777777" w:rsidR="005D3DB2" w:rsidRPr="005C17A3" w:rsidRDefault="00000000">
            <w:pPr>
              <w:pStyle w:val="Compact"/>
              <w:rPr>
                <w:sz w:val="26"/>
                <w:szCs w:val="26"/>
              </w:rPr>
            </w:pPr>
            <w:r w:rsidRPr="005C17A3">
              <w:rPr>
                <w:sz w:val="26"/>
                <w:szCs w:val="26"/>
              </w:rPr>
              <w:lastRenderedPageBreak/>
              <w:t xml:space="preserve">Chỉ số gộp từ độ phi thanh khoản Amihud, tỷ lệ ngày </w:t>
            </w:r>
            <w:r w:rsidRPr="005C17A3">
              <w:rPr>
                <w:sz w:val="26"/>
                <w:szCs w:val="26"/>
              </w:rPr>
              <w:lastRenderedPageBreak/>
              <w:t>lợi suất bằng 0, chênh lệch mua-bán ước lượng, tỷ số phương sai, độ trễ giá, số ngày trễ hạn công bố</w:t>
            </w:r>
          </w:p>
        </w:tc>
        <w:tc>
          <w:tcPr>
            <w:tcW w:w="1359" w:type="pct"/>
          </w:tcPr>
          <w:p w14:paraId="56E63994" w14:textId="77777777" w:rsidR="005D3DB2" w:rsidRPr="005C17A3" w:rsidRDefault="00000000">
            <w:pPr>
              <w:pStyle w:val="Compact"/>
              <w:rPr>
                <w:sz w:val="26"/>
                <w:szCs w:val="26"/>
              </w:rPr>
            </w:pPr>
            <w:r w:rsidRPr="005C17A3">
              <w:rPr>
                <w:sz w:val="26"/>
                <w:szCs w:val="26"/>
              </w:rPr>
              <w:lastRenderedPageBreak/>
              <w:t xml:space="preserve">Amihud (2002); Lesmond và cộng sự </w:t>
            </w:r>
            <w:r w:rsidRPr="005C17A3">
              <w:rPr>
                <w:sz w:val="26"/>
                <w:szCs w:val="26"/>
              </w:rPr>
              <w:lastRenderedPageBreak/>
              <w:t>(1999); Corwin và Schultz (2012); Lo và MacKinlay (1988); Hou và Moskowitz (2005); OECD (2008)</w:t>
            </w:r>
          </w:p>
        </w:tc>
      </w:tr>
      <w:tr w:rsidR="005D3DB2" w:rsidRPr="005C17A3" w14:paraId="509AA6FB" w14:textId="77777777" w:rsidTr="00056778">
        <w:tc>
          <w:tcPr>
            <w:tcW w:w="1934" w:type="pct"/>
          </w:tcPr>
          <w:p w14:paraId="65DE9F89" w14:textId="77777777" w:rsidR="005D3DB2" w:rsidRPr="005C17A3" w:rsidRDefault="00000000">
            <w:pPr>
              <w:pStyle w:val="Compact"/>
              <w:rPr>
                <w:sz w:val="26"/>
                <w:szCs w:val="26"/>
              </w:rPr>
            </w:pPr>
            <w:r w:rsidRPr="005C17A3">
              <w:rPr>
                <w:sz w:val="26"/>
                <w:szCs w:val="26"/>
              </w:rPr>
              <w:lastRenderedPageBreak/>
              <w:t>H</w:t>
            </w:r>
            <w:r w:rsidRPr="005C17A3">
              <w:rPr>
                <w:sz w:val="26"/>
                <w:szCs w:val="26"/>
                <w:vertAlign w:val="subscript"/>
              </w:rPr>
              <w:t>3</w:t>
            </w:r>
            <w:r w:rsidRPr="005C17A3">
              <w:rPr>
                <w:sz w:val="26"/>
                <w:szCs w:val="26"/>
              </w:rPr>
              <w:t>: Sau ngày 28/12/2026, độ phi thanh khoản Amihud của các cổ phiếu chuyển sàn, tính trên các ngày có lợi suất tuyệt đối dưới ngưỡng chung và không liền sau ngày có lợi suất tuyệt đối từ ngưỡng chung trở lên, giảm so với nhóm đối chứng (câu hỏi 3)</w:t>
            </w:r>
          </w:p>
        </w:tc>
        <w:tc>
          <w:tcPr>
            <w:tcW w:w="1707" w:type="pct"/>
          </w:tcPr>
          <w:p w14:paraId="289B3EE9" w14:textId="77777777" w:rsidR="005D3DB2" w:rsidRPr="005C17A3" w:rsidRDefault="00000000">
            <w:pPr>
              <w:pStyle w:val="Compact"/>
              <w:rPr>
                <w:sz w:val="26"/>
                <w:szCs w:val="26"/>
              </w:rPr>
            </w:pPr>
            <w:r w:rsidRPr="005C17A3">
              <w:rPr>
                <w:sz w:val="26"/>
                <w:szCs w:val="26"/>
              </w:rPr>
              <w:t>Logarit độ phi thanh khoản Amihud trên các ngày có lợi suất tuyệt đối dưới ngưỡng chung, loại ngày liền sau ngày có lợi suất tuyệt đối từ ngưỡng chung trở lên (chính); vòng quay, tỷ lệ ngày lợi suất bằng 0 (phụ)</w:t>
            </w:r>
          </w:p>
        </w:tc>
        <w:tc>
          <w:tcPr>
            <w:tcW w:w="1359" w:type="pct"/>
          </w:tcPr>
          <w:p w14:paraId="66C938F3" w14:textId="77777777" w:rsidR="005D3DB2" w:rsidRPr="005C17A3" w:rsidRDefault="00000000">
            <w:pPr>
              <w:pStyle w:val="Compact"/>
              <w:rPr>
                <w:sz w:val="26"/>
                <w:szCs w:val="26"/>
              </w:rPr>
            </w:pPr>
            <w:r w:rsidRPr="005C17A3">
              <w:rPr>
                <w:sz w:val="26"/>
                <w:szCs w:val="26"/>
              </w:rPr>
              <w:t>Amihud và cộng sự (1997); Nielsson (2009); Hisada (2018); Coval và Moskowitz (1999); Loughran và Schultz (2005); Conley và Taber (2011); Rambachan và Roth (2023)</w:t>
            </w:r>
          </w:p>
        </w:tc>
      </w:tr>
      <w:tr w:rsidR="005D3DB2" w:rsidRPr="005C17A3" w14:paraId="4737D1B2" w14:textId="77777777" w:rsidTr="00056778">
        <w:tc>
          <w:tcPr>
            <w:tcW w:w="1934" w:type="pct"/>
          </w:tcPr>
          <w:p w14:paraId="5804C9D1" w14:textId="77777777" w:rsidR="005D3DB2" w:rsidRPr="005C17A3" w:rsidRDefault="00000000">
            <w:pPr>
              <w:pStyle w:val="Compact"/>
              <w:rPr>
                <w:sz w:val="26"/>
                <w:szCs w:val="26"/>
              </w:rPr>
            </w:pPr>
            <w:r w:rsidRPr="005C17A3">
              <w:rPr>
                <w:sz w:val="26"/>
                <w:szCs w:val="26"/>
              </w:rPr>
              <w:t>H</w:t>
            </w:r>
            <w:r w:rsidRPr="005C17A3">
              <w:rPr>
                <w:sz w:val="26"/>
                <w:szCs w:val="26"/>
                <w:vertAlign w:val="subscript"/>
              </w:rPr>
              <w:t>4</w:t>
            </w:r>
            <w:r w:rsidRPr="005C17A3">
              <w:rPr>
                <w:sz w:val="26"/>
                <w:szCs w:val="26"/>
              </w:rPr>
              <w:t xml:space="preserve"> (ước lượng, không kiểm định xác nhận): Khoảng cách khả năng đầu tư giữa rổ H (rổ cổ phiếu HOSE đối sánh, mục 4.3.6) và rổ cổ phiếu chuyển sàn thu hẹp sau ngày 28/12/2026 (câu hỏi 3)</w:t>
            </w:r>
          </w:p>
        </w:tc>
        <w:tc>
          <w:tcPr>
            <w:tcW w:w="1707" w:type="pct"/>
          </w:tcPr>
          <w:p w14:paraId="4ABF4093" w14:textId="77777777" w:rsidR="005D3DB2" w:rsidRPr="005C17A3" w:rsidRDefault="00000000">
            <w:pPr>
              <w:pStyle w:val="Compact"/>
              <w:rPr>
                <w:sz w:val="26"/>
                <w:szCs w:val="26"/>
              </w:rPr>
            </w:pPr>
            <w:r w:rsidRPr="005C17A3">
              <w:rPr>
                <w:sz w:val="26"/>
                <w:szCs w:val="26"/>
              </w:rPr>
              <w:t>Chỉ số khả năng đầu tư trước và sau sự kiện, chi phí giao dịch theo cổ phiếu và theo tháng; hiệu ứng nhỏ nhất phát hiện được</w:t>
            </w:r>
          </w:p>
        </w:tc>
        <w:tc>
          <w:tcPr>
            <w:tcW w:w="1359" w:type="pct"/>
          </w:tcPr>
          <w:p w14:paraId="261D2597" w14:textId="77777777" w:rsidR="005D3DB2" w:rsidRPr="005C17A3" w:rsidRDefault="00000000">
            <w:pPr>
              <w:pStyle w:val="Compact"/>
              <w:rPr>
                <w:sz w:val="26"/>
                <w:szCs w:val="26"/>
              </w:rPr>
            </w:pPr>
            <w:r w:rsidRPr="005C17A3">
              <w:rPr>
                <w:sz w:val="26"/>
                <w:szCs w:val="26"/>
              </w:rPr>
              <w:t>DeMiguel và cộng sự (2009); Ledoit và Wolf (2008); Politis và Romano (1994)</w:t>
            </w:r>
          </w:p>
        </w:tc>
      </w:tr>
    </w:tbl>
    <w:p w14:paraId="70FADCF7" w14:textId="77777777" w:rsidR="00E77D54" w:rsidRPr="005C17A3" w:rsidRDefault="00E77D54" w:rsidP="00E77D54">
      <w:pPr>
        <w:pStyle w:val="SourceNote"/>
        <w:rPr>
          <w:sz w:val="26"/>
          <w:szCs w:val="26"/>
        </w:rPr>
      </w:pPr>
      <w:r w:rsidRPr="005C17A3">
        <w:rPr>
          <w:sz w:val="26"/>
          <w:szCs w:val="26"/>
        </w:rPr>
        <w:t>Nguồn: Thí sinh đề xuất. H</w:t>
      </w:r>
      <w:r w:rsidRPr="005C17A3">
        <w:rPr>
          <w:sz w:val="26"/>
          <w:szCs w:val="26"/>
          <w:vertAlign w:val="subscript"/>
        </w:rPr>
        <w:t>1</w:t>
      </w:r>
      <w:r w:rsidRPr="005C17A3">
        <w:rPr>
          <w:sz w:val="26"/>
          <w:szCs w:val="26"/>
        </w:rPr>
        <w:t>–H</w:t>
      </w:r>
      <w:r w:rsidRPr="005C17A3">
        <w:rPr>
          <w:sz w:val="26"/>
          <w:szCs w:val="26"/>
          <w:vertAlign w:val="subscript"/>
        </w:rPr>
        <w:t>3</w:t>
      </w:r>
      <w:r w:rsidRPr="005C17A3">
        <w:rPr>
          <w:sz w:val="26"/>
          <w:szCs w:val="26"/>
        </w:rPr>
        <w:t xml:space="preserve"> hiệu chỉnh Holm ở mức 5%; H</w:t>
      </w:r>
      <w:r w:rsidRPr="005C17A3">
        <w:rPr>
          <w:sz w:val="26"/>
          <w:szCs w:val="26"/>
          <w:vertAlign w:val="subscript"/>
        </w:rPr>
        <w:t>4</w:t>
      </w:r>
      <w:r w:rsidRPr="005C17A3">
        <w:rPr>
          <w:sz w:val="26"/>
          <w:szCs w:val="26"/>
        </w:rPr>
        <w:t xml:space="preserve"> chỉ ước lượng.</w:t>
      </w:r>
    </w:p>
    <w:p w14:paraId="641B7D92" w14:textId="77777777" w:rsidR="005D3DB2" w:rsidRPr="005C17A3" w:rsidRDefault="00000000">
      <w:pPr>
        <w:pStyle w:val="BodyText"/>
      </w:pPr>
      <w:r w:rsidRPr="005C17A3">
        <w:t>Mỗi giả thuyết đi kèm một khả năng đối lập. Với H</w:t>
      </w:r>
      <w:r w:rsidRPr="005C17A3">
        <w:rPr>
          <w:vertAlign w:val="subscript"/>
        </w:rPr>
        <w:t>1</w:t>
      </w:r>
      <w:r w:rsidRPr="005C17A3">
        <w:t>, điểm GFCI có thể chỉ phản ánh thu nhập và thể chế. Với H</w:t>
      </w:r>
      <w:r w:rsidRPr="005C17A3">
        <w:rPr>
          <w:vertAlign w:val="subscript"/>
        </w:rPr>
        <w:t>2</w:t>
      </w:r>
      <w:r w:rsidRPr="005C17A3">
        <w:t>, chênh lệch có thể do quy mô doanh nghiệp và do biên độ dao động giá, hiện là ±7% ở HOSE, ±10% ở HNX và ±15% ở UPCoM; theo Điều 4 Thông tư số 120/2020/TT-BTC, biên độ do VNX quyết định sau khi Ủy ban Chứng khoán Nhà nước chấp thuận, và Ủy ban có thể điều chỉnh khi cần ổn định thị trường (Bộ Tài chính, 2020). Trong quý 1 năm thứ nhất, đề tài lập bảng biên độ và bước giá hiệu lực theo từng thời kỳ 2009–2025 từ các quyết định của HOSE, HNX và Ủy ban Chứng khoán Nhà nước, và tính các chỉ báo theo đúng quy định của từng thời kỳ. Vì vậy, chỉ số được so sánh trên mẫu đối sánh theo quy mô và ngành, và được tính lại khi bỏ hai chỉ báo bị biên độ cắt trực tiếp là độ phi thanh khoản Amihud và chênh lệch Corwin–Schultz; tỷ số phương sai và độ trễ giá chỉ chịu biên độ gián tiếp và được kiểm tra bằng phép tính lại khi bỏ chiều hiệu quả thông tin (mục 4.3.4).</w:t>
      </w:r>
    </w:p>
    <w:p w14:paraId="0DAD2FB8" w14:textId="77777777" w:rsidR="005D3DB2" w:rsidRPr="005C17A3" w:rsidRDefault="00000000">
      <w:pPr>
        <w:pStyle w:val="BodyText"/>
      </w:pPr>
      <w:r w:rsidRPr="005C17A3">
        <w:t xml:space="preserve">Bước giá cũng khác nhau. Với giao dịch khớp lệnh cổ phiếu, bước giá ở HOSE là 10 đồng khi giá dưới 10.000 đồng, 50 đồng khi giá từ 10.000 đến 49.950 đồng và </w:t>
      </w:r>
      <w:r w:rsidRPr="005C17A3">
        <w:lastRenderedPageBreak/>
        <w:t>100 đồng từ 50.000 đồng trở lên (Sở Giao dịch Chứng khoán Thành phố Hồ Chí Minh, 2025), còn ở HNX là 100 đồng cho mọi mức giá (Sở Giao dịch Chứng khoán Hà Nội, 2016, Điều 23). Bảng bước giá hiện hành của HOSE áp dụng từ ngày 12/9/2016 theo quy chế giao dịch ban hành kèm Quyết định số 341/QĐ-SGDHCM (Sở Giao dịch Chứng khoán Thành phố Hồ Chí Minh, 2016). Khi chuyển sàn, bước giá vì vậy giảm mười lần ở mã giá dưới 10.000 đồng, giảm một nửa ở mã giá từ 10.000 đến 49.950 đồng và không đổi ở mã giá cao hơn.</w:t>
      </w:r>
    </w:p>
    <w:p w14:paraId="480C6BFA" w14:textId="77777777" w:rsidR="005D3DB2" w:rsidRPr="005C17A3" w:rsidRDefault="00000000">
      <w:pPr>
        <w:pStyle w:val="BodyText"/>
      </w:pPr>
      <w:r w:rsidRPr="005C17A3">
        <w:t>Vì tỷ lệ ngày lợi suất bằng 0 và chênh lệch Corwin–Schultz phản ánh một phần bước giá, nhất là ở cổ phiếu giá thấp, hai chỉ báo này được báo cáo theo nhóm mức giá, và thay đổi của tỷ lệ ngày lợi suất bằng 0 trong H</w:t>
      </w:r>
      <w:r w:rsidRPr="005C17A3">
        <w:rPr>
          <w:vertAlign w:val="subscript"/>
        </w:rPr>
        <w:t>3</w:t>
      </w:r>
      <w:r w:rsidRPr="005C17A3">
        <w:t xml:space="preserve"> được đọc cùng với mức giảm bước giá khi chuyển sàn.</w:t>
      </w:r>
    </w:p>
    <w:p w14:paraId="1F973043" w14:textId="77777777" w:rsidR="005D3DB2" w:rsidRPr="005C17A3" w:rsidRDefault="00000000">
      <w:pPr>
        <w:pStyle w:val="BodyText"/>
      </w:pPr>
      <w:r w:rsidRPr="005C17A3">
        <w:t>Với H</w:t>
      </w:r>
      <w:r w:rsidRPr="005C17A3">
        <w:rPr>
          <w:vertAlign w:val="subscript"/>
        </w:rPr>
        <w:t>3</w:t>
      </w:r>
      <w:r w:rsidRPr="005C17A3">
        <w:t>, biên độ hẹp lại từ ±10% xuống ±7% khi chuyển sàn làm lợi suất tuyệt đối bị cắt ở những ngày chạm biên độ, nên độ phi thanh khoản Amihud có thể giảm một cách cơ học. Chỉ loại các ngày chạm biên độ thì chưa đủ, vì sau khi chuyển sàn mọi ngày lẽ ra có lợi suất tuyệt đối khoảng 7% đến 10% đều thành ngày chạm biên độ và bị loại.</w:t>
      </w:r>
    </w:p>
    <w:p w14:paraId="06233709" w14:textId="77777777" w:rsidR="005D3DB2" w:rsidRPr="005C17A3" w:rsidRDefault="00000000">
      <w:pPr>
        <w:pStyle w:val="BodyText"/>
      </w:pPr>
      <w:r w:rsidRPr="005C17A3">
        <w:t>Đề tài vì vậy tính Amihud, ở cả hai nhóm và hai giai đoạn, chỉ trên các ngày có lợi suất tuyệt đối dưới một ngưỡng chung và không liền sau một ngày có lợi suất tuyệt đối từ ngưỡng này trở lên. Ngưỡng thấp hơn mức lợi suất lớn nhất đạt được ở biên độ ±7% với mọi mức giá đưa vào phép tính, sau khi giá trần được làm tròn xuống và giá sàn được làm tròn lên theo đơn vị yết giá của HOSE (Sở Giao dịch Chứng khoán Thành phố Hồ Chí Minh, 2025). Vì mức lợi suất lớn nhất này thấp hơn rõ ở cổ phiếu giá thấp (với giá tham chiếu 1.140 đồng và bước giá 10 đồng, giá trần là 1.210 đồng, tức chỉ tăng được 6,14%), các mã có giá dưới một mức tối thiểu ghi trong tệp đăng ký được loại khỏi phép tính Amihud và được báo cáo riêng. Vì ngưỡng giống nhau cho mọi cổ phiếu và mọi giai đoạn, tập ngày bị loại không đổi theo sàn.</w:t>
      </w:r>
    </w:p>
    <w:p w14:paraId="10030CB2" w14:textId="77777777" w:rsidR="005D3DB2" w:rsidRPr="005C17A3" w:rsidRDefault="00000000">
      <w:pPr>
        <w:pStyle w:val="BodyText"/>
      </w:pPr>
      <w:r w:rsidRPr="005C17A3">
        <w:t>Giá trị ngưỡng và số ngày hợp lệ tối thiểu mỗi tháng được ghi trong tệp đăng ký; tỷ lệ ngày bị loại được báo cáo theo nhóm và giai đoạn. Giá trị giao dịch chỉ gồm giao dịch khớp lệnh, và vòng quay (thước đo không dùng lợi suất) là thước đo đối chiếu.</w:t>
      </w:r>
    </w:p>
    <w:p w14:paraId="600AB385" w14:textId="77777777" w:rsidR="005D3DB2" w:rsidRPr="005C17A3" w:rsidRDefault="00000000">
      <w:pPr>
        <w:pStyle w:val="BodyText"/>
      </w:pPr>
      <w:r w:rsidRPr="005C17A3">
        <w:lastRenderedPageBreak/>
        <w:t>Với H</w:t>
      </w:r>
      <w:r w:rsidRPr="005C17A3">
        <w:rPr>
          <w:vertAlign w:val="subscript"/>
        </w:rPr>
        <w:t>4</w:t>
      </w:r>
      <w:r w:rsidRPr="005C17A3">
        <w:t>, quy tắc 1/N có thể xóa khoảng cách vì không cần ước lượng tham số (DeMiguel và cộng sự, 2009), nên đề tài báo cáo khoảng cách riêng cho từng mô hình.</w:t>
      </w:r>
    </w:p>
    <w:p w14:paraId="1595F1A0" w14:textId="77777777" w:rsidR="005D3DB2" w:rsidRPr="005C17A3" w:rsidRDefault="00000000">
      <w:pPr>
        <w:pStyle w:val="Heading3"/>
      </w:pPr>
      <w:bookmarkStart w:id="14" w:name="_Toc243136577"/>
      <w:bookmarkStart w:id="15" w:name="dữ-liệu"/>
      <w:bookmarkEnd w:id="12"/>
      <w:r w:rsidRPr="005C17A3">
        <w:t>4.3.3. Dữ liệu</w:t>
      </w:r>
      <w:bookmarkEnd w:id="14"/>
    </w:p>
    <w:p w14:paraId="346347B7" w14:textId="77777777" w:rsidR="005D3DB2" w:rsidRPr="005C17A3" w:rsidRDefault="00000000">
      <w:pPr>
        <w:pStyle w:val="FirstParagraph"/>
      </w:pPr>
      <w:r w:rsidRPr="005C17A3">
        <w:t>Đề tài dùng hai bộ dữ liệu. Bộ dữ liệu quốc tế cho câu hỏi 1 gồm điểm và thứ hạng GFCI các kỳ 1–40, do Z/Yen công bố công khai từ năm 2007, được thí sinh số hóa từ báo cáo từng kỳ nếu Long Finance cho phép (nếu không, xem phương án dự phòng ở mục 4.3.10) và ghép với các chỉ báo thị trường cổ phiếu cấp quốc gia (Čihák và cộng sự, 2012) và các chỉ số quản trị nhà nước (Kaufmann và cộng sự, 2011).</w:t>
      </w:r>
    </w:p>
    <w:p w14:paraId="5FC300FC" w14:textId="77777777" w:rsidR="005D3DB2" w:rsidRPr="005C17A3" w:rsidRDefault="00000000">
      <w:pPr>
        <w:pStyle w:val="FirstParagraph"/>
      </w:pPr>
      <w:r w:rsidRPr="005C17A3">
        <w:t>Bộ dữ liệu Việt Nam gồm giá điều chỉnh, khối lượng và giá trị giao dịch theo ngày của cổ phiếu trên sàn niêm yết HNX, UPCoM và HOSE, kể cả mã đã hủy niêm yết hoặc chuyển sàn, cùng các chỉ số thị trường, lợi suất trái phiếu chính phủ kỳ hạn một năm và thời điểm công bố báo cáo tài chính quý. Nguồn là HNX, HOSE và một nhà cung cấp dữ liệu thương mại; dữ liệu không chứa thông tin cá nhân.</w:t>
      </w:r>
    </w:p>
    <w:p w14:paraId="5709A4A7" w14:textId="77777777" w:rsidR="005D3DB2" w:rsidRPr="005C17A3" w:rsidRDefault="00000000">
      <w:pPr>
        <w:pStyle w:val="BodyText"/>
      </w:pPr>
      <w:r w:rsidRPr="005C17A3">
        <w:t>Mẫu bắt đầu từ tháng 6/2009, khi UPCoM khai trương (ngày 24/6/2009). Vì HNX ngừng tiếp nhận hồ sơ đăng ký niêm yết cổ phiếu mới từ ngày 01/7/2025 (Bộ Tài chính, 2023), giai đoạn tham chiếu kết thúc ngày 30/6/2025. Giai đoạn từ tháng 7/2025 đến tháng 12/2026 là giai đoạn chuyển tiếp, được báo cáo riêng (phiên bản nghiên cứu sự kiện và phần mô tả), không dùng trong các kiểm định chính; giai đoạn sau sự kiện kéo dài 24 tháng từ tháng 1/2027.</w:t>
      </w:r>
    </w:p>
    <w:p w14:paraId="27FE8418" w14:textId="77777777" w:rsidR="005D3DB2" w:rsidRPr="005C17A3" w:rsidRDefault="00000000">
      <w:pPr>
        <w:pStyle w:val="BodyText"/>
      </w:pPr>
      <w:r w:rsidRPr="005C17A3">
        <w:t>Ngày bị đình chỉ giao dịch được loại khỏi mẫu số của tỷ lệ ngày lợi suất bằng 0. Độ phi thanh khoản Amihud được winsorize tại phân vị 1% và 99% tính trên mẫu gộp các sàn trong từng tháng, để ngưỡng không đổi khi cổ phiếu đổi sàn.</w:t>
      </w:r>
    </w:p>
    <w:p w14:paraId="6A1E55FF" w14:textId="77777777" w:rsidR="005D3DB2" w:rsidRPr="005C17A3" w:rsidRDefault="00000000">
      <w:pPr>
        <w:pStyle w:val="BodyText"/>
      </w:pPr>
      <w:r w:rsidRPr="005C17A3">
        <w:t>Giai đoạn căng thẳng, chỉ dùng cho phân tích mô tả, gồm đại dịch COVID-19 năm 2020 (Dao và cộng sự, 2021) và biến cố thị trường trái phiếu doanh nghiệp từ quý 4/2022 (International Monetary Fund, 2023; Vu và cộng sự, 2024).</w:t>
      </w:r>
    </w:p>
    <w:p w14:paraId="28D60A34" w14:textId="77777777" w:rsidR="005D3DB2" w:rsidRPr="005C17A3" w:rsidRDefault="00000000">
      <w:pPr>
        <w:pStyle w:val="Heading3"/>
      </w:pPr>
      <w:bookmarkStart w:id="16" w:name="_Toc243136578"/>
      <w:bookmarkEnd w:id="15"/>
      <w:r w:rsidRPr="005C17A3">
        <w:t>4.3.4. Chỉ số chất lượng thị trường vốn</w:t>
      </w:r>
      <w:bookmarkEnd w:id="16"/>
    </w:p>
    <w:p w14:paraId="36523C51" w14:textId="77777777" w:rsidR="005D3DB2" w:rsidRPr="005C17A3" w:rsidRDefault="00000000">
      <w:pPr>
        <w:pStyle w:val="FirstParagraph"/>
      </w:pPr>
      <w:r w:rsidRPr="005C17A3">
        <w:t xml:space="preserve">Với mỗi cổ phiếu và mỗi tháng, đề tài tính sáu chỉ báo thuộc ba chiều. Chiều thanh khoản gồm độ phi thanh khoản Amihud (Amihud, 2002), tỷ lệ ngày có lợi suất bằng 0 (Lesmond và cộng sự, 1999) và chênh lệch mua-bán ước lượng từ giá cao nhất và thấp nhất (Corwin &amp; Schultz, 2012). Hai chỉ báo đầu là chỉ báo chính vì đã được </w:t>
      </w:r>
      <w:r w:rsidRPr="005C17A3">
        <w:lastRenderedPageBreak/>
        <w:t>dùng rộng rãi ở thị trường mới nổi (Bekaert và cộng sự, 2007; Lesmond, 2005) và đã được so sánh với chuẩn tính từ dữ liệu trong ngày trên mẫu toàn cầu (Fong và cộng sự, 2017).</w:t>
      </w:r>
    </w:p>
    <w:p w14:paraId="0BE0B796" w14:textId="77777777" w:rsidR="005D3DB2" w:rsidRPr="005C17A3" w:rsidRDefault="00000000">
      <w:pPr>
        <w:pStyle w:val="FirstParagraph"/>
      </w:pPr>
      <w:r w:rsidRPr="005C17A3">
        <w:t>Chiều hiệu quả thông tin gồm độ lệch của tỷ số phương sai khỏi 1 (Lo &amp; MacKinlay, 1988) và độ trễ giá (Hou &amp; Moskowitz, 2005); vì hai thước đo này có thể cho kết luận sai khi môi trường thông tin khác nhau (Griffin và cộng sự, 2010), chỉ số được tính lại khi bỏ chiều này. Chiều minh bạch là số ngày trễ hạn công bố báo cáo tài chính quý.</w:t>
      </w:r>
    </w:p>
    <w:p w14:paraId="46EFA5E5" w14:textId="77777777" w:rsidR="005D3DB2" w:rsidRPr="005C17A3" w:rsidRDefault="00000000">
      <w:pPr>
        <w:pStyle w:val="FirstParagraph"/>
      </w:pPr>
      <w:r w:rsidRPr="005C17A3">
        <w:t>Các chỉ báo cổ phiếu được gộp lên cấp sàn bằng trung vị có trọng số theo vốn hóa; độ phi thanh khoản Amihud được điều chỉnh theo tổng vốn hóa thị trường so với tháng 6/2025 để chỉ số không thay đổi chỉ vì quy mô danh nghĩa của thị trường.</w:t>
      </w:r>
    </w:p>
    <w:p w14:paraId="72BC2911" w14:textId="77777777" w:rsidR="000F5DDC" w:rsidRPr="005C17A3" w:rsidRDefault="00000000">
      <w:pPr>
        <w:pStyle w:val="FirstParagraph"/>
      </w:pPr>
      <w:r w:rsidRPr="005C17A3">
        <w:t>Các chỉ báo được gộp thành Chỉ số chất lượng thị trường vốn theo hướng dẫn của OECD (2008). Mỗi chỉ báo được chuẩn hóa thành điểm z theo mẫu gộp các sàn trong giai đoạn tham chiếu, để giá trị đã công bố không phải tính lại, rồi đổi dấu sao cho giá trị cao hơn là chất lượng tốt hơn. Với sàn j và tháng t, chỉ số là:</w:t>
      </w:r>
    </w:p>
    <w:p w14:paraId="37805A14" w14:textId="77777777" w:rsidR="000F5DDC" w:rsidRPr="005C17A3" w:rsidRDefault="00000000">
      <w:pPr>
        <w:pStyle w:val="Equation"/>
      </w:pPr>
      <w:r w:rsidRPr="005C17A3">
        <w:tab/>
      </w:r>
      <m:oMath>
        <m:sSub>
          <m:sSubPr>
            <m:ctrlPr>
              <w:rPr>
                <w:rFonts w:ascii="Cambria Math" w:hAnsi="Cambria Math"/>
              </w:rPr>
            </m:ctrlPr>
          </m:sSubPr>
          <m:e>
            <m:r>
              <m:rPr>
                <m:sty m:val="p"/>
              </m:rPr>
              <w:rPr>
                <w:rFonts w:ascii="Cambria Math" w:hAnsi="Cambria Math"/>
              </w:rPr>
              <m:t>MQI</m:t>
            </m:r>
          </m:e>
          <m:sub>
            <m:r>
              <w:rPr>
                <w:rFonts w:ascii="Cambria Math" w:hAnsi="Cambria Math"/>
              </w:rPr>
              <m:t>jt</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TK</m:t>
                </m:r>
              </m:e>
              <m:sub>
                <m:r>
                  <w:rPr>
                    <w:rFonts w:ascii="Cambria Math" w:hAnsi="Cambria Math"/>
                  </w:rPr>
                  <m:t>jt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HQ</m:t>
                </m:r>
              </m:e>
              <m:sub>
                <m:r>
                  <w:rPr>
                    <w:rFonts w:ascii="Cambria Math" w:hAnsi="Cambria Math"/>
                  </w:rPr>
                  <m:t>jt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MB</m:t>
                </m:r>
              </m:e>
              <m:sub>
                <m:r>
                  <w:rPr>
                    <w:rFonts w:ascii="Cambria Math" w:hAnsi="Cambria Math"/>
                  </w:rPr>
                  <m:t>jt</m:t>
                </m:r>
              </m:sub>
            </m:sSub>
          </m:num>
          <m:den>
            <m:r>
              <m:rPr>
                <m:sty m:val="p"/>
              </m:rPr>
              <w:rPr>
                <w:rFonts w:ascii="Cambria Math" w:hAnsi="Cambria Math"/>
              </w:rPr>
              <m:t>3</m:t>
            </m:r>
          </m:den>
        </m:f>
      </m:oMath>
      <w:r w:rsidRPr="005C17A3">
        <w:t xml:space="preserve"> </w:t>
      </w:r>
      <w:r w:rsidRPr="005C17A3">
        <w:tab/>
        <w:t>(1)</w:t>
      </w:r>
    </w:p>
    <w:p w14:paraId="520C7021" w14:textId="77777777" w:rsidR="000F5DDC" w:rsidRPr="005C17A3" w:rsidRDefault="00000000">
      <w:pPr>
        <w:pStyle w:val="FirstParagraph"/>
      </w:pPr>
      <w:r w:rsidRPr="005C17A3">
        <w:t>trong đó MQI</w:t>
      </w:r>
      <w:r w:rsidRPr="005C17A3">
        <w:rPr>
          <w:vertAlign w:val="subscript"/>
        </w:rPr>
        <w:t>jt</w:t>
      </w:r>
      <w:r w:rsidRPr="005C17A3">
        <w:t xml:space="preserve"> là Chỉ số chất lượng thị trường vốn của sàn j (sàn niêm yết HNX, UPCoM hoặc HOSE) trong tháng t; TK</w:t>
      </w:r>
      <w:r w:rsidRPr="005C17A3">
        <w:rPr>
          <w:vertAlign w:val="subscript"/>
        </w:rPr>
        <w:t>jt</w:t>
      </w:r>
      <w:r w:rsidRPr="005C17A3">
        <w:t>, HQ</w:t>
      </w:r>
      <w:r w:rsidRPr="005C17A3">
        <w:rPr>
          <w:vertAlign w:val="subscript"/>
        </w:rPr>
        <w:t>jt</w:t>
      </w:r>
      <w:r w:rsidRPr="005C17A3">
        <w:t xml:space="preserve"> và MB</w:t>
      </w:r>
      <w:r w:rsidRPr="005C17A3">
        <w:rPr>
          <w:vertAlign w:val="subscript"/>
        </w:rPr>
        <w:t>jt</w:t>
      </w:r>
      <w:r w:rsidRPr="005C17A3">
        <w:t xml:space="preserve"> là điểm của ba chiều thanh khoản, hiệu quả thông tin và minh bạch, mỗi điểm bằng trung bình các điểm z của chỉ báo thuộc chiều đó (ba chỉ báo thanh khoản, hai chỉ báo hiệu quả thông tin, một chỉ báo minh bạch). Như vậy ba chiều có trọng số bằng nhau. Trọng số từ thành phần chính thứ nhất và cách gộp bỏ lần lượt từng chiều là kiểm tra độ vững (OECD, 2008).</w:t>
      </w:r>
    </w:p>
    <w:p w14:paraId="42368B0A" w14:textId="77777777" w:rsidR="000F5DDC" w:rsidRPr="005C17A3" w:rsidRDefault="00000000">
      <w:pPr>
        <w:pStyle w:val="FirstParagraph"/>
      </w:pPr>
      <w:r w:rsidRPr="005C17A3">
        <w:t>H</w:t>
      </w:r>
      <w:r w:rsidRPr="005C17A3">
        <w:rPr>
          <w:vertAlign w:val="subscript"/>
        </w:rPr>
        <w:t>2</w:t>
      </w:r>
      <w:r w:rsidRPr="005C17A3">
        <w:t xml:space="preserve"> được kiểm định trên chuỗi chênh lệch chỉ số theo tháng giữa HOSE và sàn niêm yết HNX, và được ủng hộ khi chênh lệch bình quân trong giai đoạn tham chiếu dương với giá trị p bootstrap khối dừng (Politis &amp; Romano, 1994) nhỏ hơn ngưỡng Holm tương ứng. Chênh lệch trong giai đoạn chuyển tiếp, chênh lệch giữa HOSE và UPCoM, chênh lệch theo giai đoạn căng thẳng và điểm gãy cấu trúc (Bai &amp; Perron, 1998) được báo cáo ở dạng mô tả.</w:t>
      </w:r>
    </w:p>
    <w:p w14:paraId="4180CB6F" w14:textId="77777777" w:rsidR="005D3DB2" w:rsidRPr="005C17A3" w:rsidRDefault="00000000">
      <w:pPr>
        <w:pStyle w:val="Heading3"/>
      </w:pPr>
      <w:bookmarkStart w:id="17" w:name="_Toc243136579"/>
      <w:r w:rsidRPr="005C17A3">
        <w:t>4.3.5. Mô hình phân bổ dùng làm công cụ đo và đăng ký trước</w:t>
      </w:r>
      <w:bookmarkEnd w:id="17"/>
    </w:p>
    <w:p w14:paraId="05094223" w14:textId="77777777" w:rsidR="005D3DB2" w:rsidRPr="005C17A3" w:rsidRDefault="00000000">
      <w:pPr>
        <w:pStyle w:val="FirstParagraph"/>
      </w:pPr>
      <w:r w:rsidRPr="005C17A3">
        <w:t xml:space="preserve">Đề tài đo khả năng đầu tư bằng bảy mô hình phân bổ (Bảng 3), đại diện cho các hướng tiếp cận ở nhóm tài liệu (D) và cho quy tắc có trạng thái thị trường (Hamilton, </w:t>
      </w:r>
      <w:r w:rsidRPr="005C17A3">
        <w:lastRenderedPageBreak/>
        <w:t>1989; Kritzman và cộng sự, 2012). Bình quân theo bảy mô hình làm kết luận ít phụ thuộc vào sai số ước lượng của một mô hình, còn độ phân tán giữa các mô hình cho biết mức phụ thuộc đó.</w:t>
      </w:r>
    </w:p>
    <w:p w14:paraId="4F3ADFE7" w14:textId="77777777" w:rsidR="005D3DB2" w:rsidRPr="005C17A3" w:rsidRDefault="00000000">
      <w:pPr>
        <w:pStyle w:val="TableCaption"/>
      </w:pPr>
      <w:bookmarkStart w:id="18" w:name="_Toc242353158"/>
      <w:r w:rsidRPr="005C17A3">
        <w:t xml:space="preserve">Bảng </w:t>
      </w:r>
      <w:fldSimple w:instr=" SEQ Bảng \* ARABIC ">
        <w:r w:rsidR="005D3DB2" w:rsidRPr="005C17A3">
          <w:rPr>
            <w:noProof/>
          </w:rPr>
          <w:t>3</w:t>
        </w:r>
      </w:fldSimple>
      <w:r w:rsidRPr="005C17A3">
        <w:t>. Bảy mô hình phân bổ dùng làm công cụ đo khả năng đầu tư</w:t>
      </w:r>
      <w:bookmarkEnd w:id="18"/>
    </w:p>
    <w:tbl>
      <w:tblPr>
        <w:tblStyle w:val="GridTable1Light"/>
        <w:tblW w:w="5000" w:type="pct"/>
        <w:tblLook w:val="0020" w:firstRow="1" w:lastRow="0" w:firstColumn="0" w:lastColumn="0" w:noHBand="0" w:noVBand="0"/>
      </w:tblPr>
      <w:tblGrid>
        <w:gridCol w:w="899"/>
        <w:gridCol w:w="4594"/>
        <w:gridCol w:w="3285"/>
      </w:tblGrid>
      <w:tr w:rsidR="005D3DB2" w:rsidRPr="005C17A3" w14:paraId="7C0CE12F" w14:textId="77777777" w:rsidTr="00056778">
        <w:trPr>
          <w:cnfStyle w:val="100000000000" w:firstRow="1" w:lastRow="0" w:firstColumn="0" w:lastColumn="0" w:oddVBand="0" w:evenVBand="0" w:oddHBand="0" w:evenHBand="0" w:firstRowFirstColumn="0" w:firstRowLastColumn="0" w:lastRowFirstColumn="0" w:lastRowLastColumn="0"/>
        </w:trPr>
        <w:tc>
          <w:tcPr>
            <w:tcW w:w="512" w:type="pct"/>
          </w:tcPr>
          <w:p w14:paraId="20AC7AAF" w14:textId="77777777" w:rsidR="005D3DB2" w:rsidRPr="005C17A3" w:rsidRDefault="00000000">
            <w:pPr>
              <w:pStyle w:val="Compact"/>
              <w:jc w:val="center"/>
              <w:rPr>
                <w:sz w:val="26"/>
                <w:szCs w:val="26"/>
              </w:rPr>
            </w:pPr>
            <w:r w:rsidRPr="005C17A3">
              <w:rPr>
                <w:sz w:val="26"/>
                <w:szCs w:val="26"/>
              </w:rPr>
              <w:t>Mã</w:t>
            </w:r>
          </w:p>
        </w:tc>
        <w:tc>
          <w:tcPr>
            <w:tcW w:w="2617" w:type="pct"/>
          </w:tcPr>
          <w:p w14:paraId="13EB5648" w14:textId="77777777" w:rsidR="005D3DB2" w:rsidRPr="005C17A3" w:rsidRDefault="00000000">
            <w:pPr>
              <w:pStyle w:val="Compact"/>
              <w:jc w:val="center"/>
              <w:rPr>
                <w:sz w:val="26"/>
                <w:szCs w:val="26"/>
              </w:rPr>
            </w:pPr>
            <w:r w:rsidRPr="005C17A3">
              <w:rPr>
                <w:sz w:val="26"/>
                <w:szCs w:val="26"/>
              </w:rPr>
              <w:t>Mô hình</w:t>
            </w:r>
          </w:p>
        </w:tc>
        <w:tc>
          <w:tcPr>
            <w:tcW w:w="1871" w:type="pct"/>
          </w:tcPr>
          <w:p w14:paraId="4659BF4E" w14:textId="77777777" w:rsidR="005D3DB2" w:rsidRPr="005C17A3" w:rsidRDefault="00000000">
            <w:pPr>
              <w:pStyle w:val="Compact"/>
              <w:jc w:val="center"/>
              <w:rPr>
                <w:sz w:val="26"/>
                <w:szCs w:val="26"/>
              </w:rPr>
            </w:pPr>
            <w:r w:rsidRPr="005C17A3">
              <w:rPr>
                <w:sz w:val="26"/>
                <w:szCs w:val="26"/>
              </w:rPr>
              <w:t>Tài liệu gốc</w:t>
            </w:r>
          </w:p>
        </w:tc>
      </w:tr>
      <w:tr w:rsidR="005D3DB2" w:rsidRPr="005C17A3" w14:paraId="69E87065" w14:textId="77777777" w:rsidTr="00056778">
        <w:tc>
          <w:tcPr>
            <w:tcW w:w="512" w:type="pct"/>
          </w:tcPr>
          <w:p w14:paraId="1527BDB7" w14:textId="77777777" w:rsidR="005D3DB2" w:rsidRPr="005C17A3" w:rsidRDefault="00000000">
            <w:pPr>
              <w:pStyle w:val="Compact"/>
              <w:rPr>
                <w:sz w:val="26"/>
                <w:szCs w:val="26"/>
              </w:rPr>
            </w:pPr>
            <w:r w:rsidRPr="005C17A3">
              <w:rPr>
                <w:sz w:val="26"/>
                <w:szCs w:val="26"/>
              </w:rPr>
              <w:t>M</w:t>
            </w:r>
            <w:r w:rsidRPr="005C17A3">
              <w:rPr>
                <w:sz w:val="26"/>
                <w:szCs w:val="26"/>
                <w:vertAlign w:val="subscript"/>
              </w:rPr>
              <w:t>1</w:t>
            </w:r>
          </w:p>
        </w:tc>
        <w:tc>
          <w:tcPr>
            <w:tcW w:w="2617" w:type="pct"/>
          </w:tcPr>
          <w:p w14:paraId="30A5CFB3" w14:textId="77777777" w:rsidR="005D3DB2" w:rsidRPr="005C17A3" w:rsidRDefault="00000000">
            <w:pPr>
              <w:pStyle w:val="Compact"/>
              <w:rPr>
                <w:sz w:val="26"/>
                <w:szCs w:val="26"/>
              </w:rPr>
            </w:pPr>
            <w:r w:rsidRPr="005C17A3">
              <w:rPr>
                <w:sz w:val="26"/>
                <w:szCs w:val="26"/>
              </w:rPr>
              <w:t>Phân bổ đều 1/N</w:t>
            </w:r>
          </w:p>
        </w:tc>
        <w:tc>
          <w:tcPr>
            <w:tcW w:w="1871" w:type="pct"/>
          </w:tcPr>
          <w:p w14:paraId="641DE509" w14:textId="77777777" w:rsidR="005D3DB2" w:rsidRPr="005C17A3" w:rsidRDefault="00000000">
            <w:pPr>
              <w:pStyle w:val="Compact"/>
              <w:rPr>
                <w:sz w:val="26"/>
                <w:szCs w:val="26"/>
              </w:rPr>
            </w:pPr>
            <w:r w:rsidRPr="005C17A3">
              <w:rPr>
                <w:sz w:val="26"/>
                <w:szCs w:val="26"/>
              </w:rPr>
              <w:t>DeMiguel và cộng sự (2009)</w:t>
            </w:r>
          </w:p>
        </w:tc>
      </w:tr>
      <w:tr w:rsidR="005D3DB2" w:rsidRPr="005C17A3" w14:paraId="07DF4614" w14:textId="77777777" w:rsidTr="00056778">
        <w:tc>
          <w:tcPr>
            <w:tcW w:w="512" w:type="pct"/>
          </w:tcPr>
          <w:p w14:paraId="152CC2A3" w14:textId="77777777" w:rsidR="005D3DB2" w:rsidRPr="005C17A3" w:rsidRDefault="00000000">
            <w:pPr>
              <w:pStyle w:val="Compact"/>
              <w:rPr>
                <w:sz w:val="26"/>
                <w:szCs w:val="26"/>
              </w:rPr>
            </w:pPr>
            <w:r w:rsidRPr="005C17A3">
              <w:rPr>
                <w:sz w:val="26"/>
                <w:szCs w:val="26"/>
              </w:rPr>
              <w:t>M</w:t>
            </w:r>
            <w:r w:rsidRPr="005C17A3">
              <w:rPr>
                <w:sz w:val="26"/>
                <w:szCs w:val="26"/>
                <w:vertAlign w:val="subscript"/>
              </w:rPr>
              <w:t>2</w:t>
            </w:r>
          </w:p>
        </w:tc>
        <w:tc>
          <w:tcPr>
            <w:tcW w:w="2617" w:type="pct"/>
          </w:tcPr>
          <w:p w14:paraId="7133A8ED" w14:textId="77777777" w:rsidR="005D3DB2" w:rsidRPr="005C17A3" w:rsidRDefault="00000000">
            <w:pPr>
              <w:pStyle w:val="Compact"/>
              <w:rPr>
                <w:sz w:val="26"/>
                <w:szCs w:val="26"/>
              </w:rPr>
            </w:pPr>
            <w:r w:rsidRPr="005C17A3">
              <w:rPr>
                <w:sz w:val="26"/>
                <w:szCs w:val="26"/>
              </w:rPr>
              <w:t>Phương sai nhỏ nhất với ma trận hiệp phương sai co rút</w:t>
            </w:r>
          </w:p>
        </w:tc>
        <w:tc>
          <w:tcPr>
            <w:tcW w:w="1871" w:type="pct"/>
          </w:tcPr>
          <w:p w14:paraId="65E47166" w14:textId="77777777" w:rsidR="005D3DB2" w:rsidRPr="005C17A3" w:rsidRDefault="00000000">
            <w:pPr>
              <w:pStyle w:val="Compact"/>
              <w:rPr>
                <w:sz w:val="26"/>
                <w:szCs w:val="26"/>
              </w:rPr>
            </w:pPr>
            <w:r w:rsidRPr="005C17A3">
              <w:rPr>
                <w:sz w:val="26"/>
                <w:szCs w:val="26"/>
              </w:rPr>
              <w:t>Ledoit và Wolf (2004)</w:t>
            </w:r>
          </w:p>
        </w:tc>
      </w:tr>
      <w:tr w:rsidR="005D3DB2" w:rsidRPr="005C17A3" w14:paraId="6AE890E0" w14:textId="77777777" w:rsidTr="00056778">
        <w:tc>
          <w:tcPr>
            <w:tcW w:w="512" w:type="pct"/>
          </w:tcPr>
          <w:p w14:paraId="1B900F96" w14:textId="77777777" w:rsidR="005D3DB2" w:rsidRPr="005C17A3" w:rsidRDefault="00000000">
            <w:pPr>
              <w:pStyle w:val="Compact"/>
              <w:rPr>
                <w:sz w:val="26"/>
                <w:szCs w:val="26"/>
              </w:rPr>
            </w:pPr>
            <w:r w:rsidRPr="005C17A3">
              <w:rPr>
                <w:sz w:val="26"/>
                <w:szCs w:val="26"/>
              </w:rPr>
              <w:t>M</w:t>
            </w:r>
            <w:r w:rsidRPr="005C17A3">
              <w:rPr>
                <w:sz w:val="26"/>
                <w:szCs w:val="26"/>
                <w:vertAlign w:val="subscript"/>
              </w:rPr>
              <w:t>3</w:t>
            </w:r>
          </w:p>
        </w:tc>
        <w:tc>
          <w:tcPr>
            <w:tcW w:w="2617" w:type="pct"/>
          </w:tcPr>
          <w:p w14:paraId="00B2A851" w14:textId="77777777" w:rsidR="005D3DB2" w:rsidRPr="005C17A3" w:rsidRDefault="00000000">
            <w:pPr>
              <w:pStyle w:val="Compact"/>
              <w:rPr>
                <w:sz w:val="26"/>
                <w:szCs w:val="26"/>
              </w:rPr>
            </w:pPr>
            <w:r w:rsidRPr="005C17A3">
              <w:rPr>
                <w:sz w:val="26"/>
                <w:szCs w:val="26"/>
              </w:rPr>
              <w:t>Trung bình-phương sai với ước lượng mẫu</w:t>
            </w:r>
          </w:p>
        </w:tc>
        <w:tc>
          <w:tcPr>
            <w:tcW w:w="1871" w:type="pct"/>
          </w:tcPr>
          <w:p w14:paraId="60EFCF17" w14:textId="77777777" w:rsidR="005D3DB2" w:rsidRPr="005C17A3" w:rsidRDefault="00000000">
            <w:pPr>
              <w:pStyle w:val="Compact"/>
              <w:rPr>
                <w:sz w:val="26"/>
                <w:szCs w:val="26"/>
              </w:rPr>
            </w:pPr>
            <w:r w:rsidRPr="005C17A3">
              <w:rPr>
                <w:sz w:val="26"/>
                <w:szCs w:val="26"/>
              </w:rPr>
              <w:t>Markowitz (1952)</w:t>
            </w:r>
          </w:p>
        </w:tc>
      </w:tr>
      <w:tr w:rsidR="005D3DB2" w:rsidRPr="005C17A3" w14:paraId="25BD0876" w14:textId="77777777" w:rsidTr="00056778">
        <w:tc>
          <w:tcPr>
            <w:tcW w:w="512" w:type="pct"/>
          </w:tcPr>
          <w:p w14:paraId="770ADFC7" w14:textId="77777777" w:rsidR="005D3DB2" w:rsidRPr="005C17A3" w:rsidRDefault="00000000">
            <w:pPr>
              <w:pStyle w:val="Compact"/>
              <w:rPr>
                <w:sz w:val="26"/>
                <w:szCs w:val="26"/>
              </w:rPr>
            </w:pPr>
            <w:r w:rsidRPr="005C17A3">
              <w:rPr>
                <w:sz w:val="26"/>
                <w:szCs w:val="26"/>
              </w:rPr>
              <w:t>M</w:t>
            </w:r>
            <w:r w:rsidRPr="005C17A3">
              <w:rPr>
                <w:sz w:val="26"/>
                <w:szCs w:val="26"/>
                <w:vertAlign w:val="subscript"/>
              </w:rPr>
              <w:t>4</w:t>
            </w:r>
          </w:p>
        </w:tc>
        <w:tc>
          <w:tcPr>
            <w:tcW w:w="2617" w:type="pct"/>
          </w:tcPr>
          <w:p w14:paraId="7737BF9D" w14:textId="77777777" w:rsidR="005D3DB2" w:rsidRPr="005C17A3" w:rsidRDefault="00000000">
            <w:pPr>
              <w:pStyle w:val="Compact"/>
              <w:rPr>
                <w:sz w:val="26"/>
                <w:szCs w:val="26"/>
              </w:rPr>
            </w:pPr>
            <w:r w:rsidRPr="005C17A3">
              <w:rPr>
                <w:sz w:val="26"/>
                <w:szCs w:val="26"/>
              </w:rPr>
              <w:t>Black-Litterman với quan điểm từ mô hình dự báo</w:t>
            </w:r>
          </w:p>
        </w:tc>
        <w:tc>
          <w:tcPr>
            <w:tcW w:w="1871" w:type="pct"/>
          </w:tcPr>
          <w:p w14:paraId="30BEE0A6" w14:textId="77777777" w:rsidR="005D3DB2" w:rsidRPr="005C17A3" w:rsidRDefault="00000000">
            <w:pPr>
              <w:pStyle w:val="Compact"/>
              <w:rPr>
                <w:sz w:val="26"/>
                <w:szCs w:val="26"/>
              </w:rPr>
            </w:pPr>
            <w:r w:rsidRPr="005C17A3">
              <w:rPr>
                <w:sz w:val="26"/>
                <w:szCs w:val="26"/>
              </w:rPr>
              <w:t>Black và Litterman (1992)</w:t>
            </w:r>
          </w:p>
        </w:tc>
      </w:tr>
      <w:tr w:rsidR="005D3DB2" w:rsidRPr="005C17A3" w14:paraId="3814FED3" w14:textId="77777777" w:rsidTr="00056778">
        <w:tc>
          <w:tcPr>
            <w:tcW w:w="512" w:type="pct"/>
          </w:tcPr>
          <w:p w14:paraId="5FFA6DA2" w14:textId="77777777" w:rsidR="005D3DB2" w:rsidRPr="005C17A3" w:rsidRDefault="00000000">
            <w:pPr>
              <w:pStyle w:val="Compact"/>
              <w:rPr>
                <w:sz w:val="26"/>
                <w:szCs w:val="26"/>
              </w:rPr>
            </w:pPr>
            <w:r w:rsidRPr="005C17A3">
              <w:rPr>
                <w:sz w:val="26"/>
                <w:szCs w:val="26"/>
              </w:rPr>
              <w:t>M</w:t>
            </w:r>
            <w:r w:rsidRPr="005C17A3">
              <w:rPr>
                <w:sz w:val="26"/>
                <w:szCs w:val="26"/>
                <w:vertAlign w:val="subscript"/>
              </w:rPr>
              <w:t>5</w:t>
            </w:r>
          </w:p>
        </w:tc>
        <w:tc>
          <w:tcPr>
            <w:tcW w:w="2617" w:type="pct"/>
          </w:tcPr>
          <w:p w14:paraId="254CC6BB" w14:textId="77777777" w:rsidR="005D3DB2" w:rsidRPr="005C17A3" w:rsidRDefault="00000000">
            <w:pPr>
              <w:pStyle w:val="Compact"/>
              <w:rPr>
                <w:sz w:val="26"/>
                <w:szCs w:val="26"/>
              </w:rPr>
            </w:pPr>
            <w:r w:rsidRPr="005C17A3">
              <w:rPr>
                <w:sz w:val="26"/>
                <w:szCs w:val="26"/>
              </w:rPr>
              <w:t>Black-Litterman có chuyển chế độ</w:t>
            </w:r>
          </w:p>
        </w:tc>
        <w:tc>
          <w:tcPr>
            <w:tcW w:w="1871" w:type="pct"/>
          </w:tcPr>
          <w:p w14:paraId="0D70B679" w14:textId="77777777" w:rsidR="005D3DB2" w:rsidRPr="005C17A3" w:rsidRDefault="00000000">
            <w:pPr>
              <w:pStyle w:val="Compact"/>
              <w:rPr>
                <w:sz w:val="26"/>
                <w:szCs w:val="26"/>
              </w:rPr>
            </w:pPr>
            <w:r w:rsidRPr="005C17A3">
              <w:rPr>
                <w:sz w:val="26"/>
                <w:szCs w:val="26"/>
              </w:rPr>
              <w:t>Mở rộng từ Nguyễn và Nguyễn (2026a)</w:t>
            </w:r>
          </w:p>
        </w:tc>
      </w:tr>
      <w:tr w:rsidR="005D3DB2" w:rsidRPr="005C17A3" w14:paraId="54409568" w14:textId="77777777" w:rsidTr="00056778">
        <w:tc>
          <w:tcPr>
            <w:tcW w:w="512" w:type="pct"/>
          </w:tcPr>
          <w:p w14:paraId="1880A757" w14:textId="77777777" w:rsidR="005D3DB2" w:rsidRPr="005C17A3" w:rsidRDefault="00000000">
            <w:pPr>
              <w:pStyle w:val="Compact"/>
              <w:rPr>
                <w:sz w:val="26"/>
                <w:szCs w:val="26"/>
              </w:rPr>
            </w:pPr>
            <w:r w:rsidRPr="005C17A3">
              <w:rPr>
                <w:sz w:val="26"/>
                <w:szCs w:val="26"/>
              </w:rPr>
              <w:t>M</w:t>
            </w:r>
            <w:r w:rsidRPr="005C17A3">
              <w:rPr>
                <w:sz w:val="26"/>
                <w:szCs w:val="26"/>
                <w:vertAlign w:val="subscript"/>
              </w:rPr>
              <w:t>6</w:t>
            </w:r>
          </w:p>
        </w:tc>
        <w:tc>
          <w:tcPr>
            <w:tcW w:w="2617" w:type="pct"/>
          </w:tcPr>
          <w:p w14:paraId="1AA08169" w14:textId="77777777" w:rsidR="005D3DB2" w:rsidRPr="005C17A3" w:rsidRDefault="00000000">
            <w:pPr>
              <w:pStyle w:val="Compact"/>
              <w:rPr>
                <w:sz w:val="26"/>
                <w:szCs w:val="26"/>
              </w:rPr>
            </w:pPr>
            <w:r w:rsidRPr="005C17A3">
              <w:rPr>
                <w:sz w:val="26"/>
                <w:szCs w:val="26"/>
              </w:rPr>
              <w:t>Danh mục vững chắc với nhiều niềm tin tiên nghiệm</w:t>
            </w:r>
          </w:p>
        </w:tc>
        <w:tc>
          <w:tcPr>
            <w:tcW w:w="1871" w:type="pct"/>
          </w:tcPr>
          <w:p w14:paraId="1A915397" w14:textId="77777777" w:rsidR="005D3DB2" w:rsidRPr="005C17A3" w:rsidRDefault="00000000">
            <w:pPr>
              <w:pStyle w:val="Compact"/>
              <w:rPr>
                <w:sz w:val="26"/>
                <w:szCs w:val="26"/>
              </w:rPr>
            </w:pPr>
            <w:r w:rsidRPr="005C17A3">
              <w:rPr>
                <w:sz w:val="26"/>
                <w:szCs w:val="26"/>
              </w:rPr>
              <w:t>Garlappi và cộng sự (2007)</w:t>
            </w:r>
          </w:p>
        </w:tc>
      </w:tr>
      <w:tr w:rsidR="005D3DB2" w:rsidRPr="005C17A3" w14:paraId="6A5CF680" w14:textId="77777777" w:rsidTr="00056778">
        <w:tc>
          <w:tcPr>
            <w:tcW w:w="512" w:type="pct"/>
          </w:tcPr>
          <w:p w14:paraId="4CB0908B" w14:textId="77777777" w:rsidR="005D3DB2" w:rsidRPr="005C17A3" w:rsidRDefault="00000000">
            <w:pPr>
              <w:pStyle w:val="Compact"/>
              <w:rPr>
                <w:sz w:val="26"/>
                <w:szCs w:val="26"/>
              </w:rPr>
            </w:pPr>
            <w:r w:rsidRPr="005C17A3">
              <w:rPr>
                <w:sz w:val="26"/>
                <w:szCs w:val="26"/>
              </w:rPr>
              <w:t>M</w:t>
            </w:r>
            <w:r w:rsidRPr="005C17A3">
              <w:rPr>
                <w:sz w:val="26"/>
                <w:szCs w:val="26"/>
                <w:vertAlign w:val="subscript"/>
              </w:rPr>
              <w:t>7</w:t>
            </w:r>
          </w:p>
        </w:tc>
        <w:tc>
          <w:tcPr>
            <w:tcW w:w="2617" w:type="pct"/>
          </w:tcPr>
          <w:p w14:paraId="2CA61590" w14:textId="77777777" w:rsidR="005D3DB2" w:rsidRPr="005C17A3" w:rsidRDefault="00000000">
            <w:pPr>
              <w:pStyle w:val="Compact"/>
              <w:rPr>
                <w:sz w:val="26"/>
                <w:szCs w:val="26"/>
              </w:rPr>
            </w:pPr>
            <w:r w:rsidRPr="005C17A3">
              <w:rPr>
                <w:sz w:val="26"/>
                <w:szCs w:val="26"/>
              </w:rPr>
              <w:t>Giảm tỷ trọng rủi ro theo xác suất trạng thái căng thẳng do mô hình tự ước lượng</w:t>
            </w:r>
          </w:p>
        </w:tc>
        <w:tc>
          <w:tcPr>
            <w:tcW w:w="1871" w:type="pct"/>
          </w:tcPr>
          <w:p w14:paraId="7A9612D2" w14:textId="77777777" w:rsidR="005D3DB2" w:rsidRPr="005C17A3" w:rsidRDefault="00000000">
            <w:pPr>
              <w:pStyle w:val="Compact"/>
              <w:rPr>
                <w:sz w:val="26"/>
                <w:szCs w:val="26"/>
              </w:rPr>
            </w:pPr>
            <w:r w:rsidRPr="005C17A3">
              <w:rPr>
                <w:sz w:val="26"/>
                <w:szCs w:val="26"/>
              </w:rPr>
              <w:t>Kritzman và cộng sự (2012)</w:t>
            </w:r>
          </w:p>
        </w:tc>
      </w:tr>
    </w:tbl>
    <w:p w14:paraId="0B698237" w14:textId="77777777" w:rsidR="005D3DB2" w:rsidRPr="005C17A3" w:rsidRDefault="00000000">
      <w:pPr>
        <w:pStyle w:val="SourceNote"/>
        <w:rPr>
          <w:sz w:val="26"/>
          <w:szCs w:val="26"/>
        </w:rPr>
      </w:pPr>
      <w:r w:rsidRPr="005C17A3">
        <w:rPr>
          <w:sz w:val="26"/>
          <w:szCs w:val="26"/>
        </w:rPr>
        <w:t>Nguồn: Thí sinh tổng hợp. Ghi chú: cả bảy mô hình là danh mục chỉ mua; trọng số được ước lượng lại hằng tháng trên cửa sổ trượt 104 tuần; xác suất trạng thái trong M</w:t>
      </w:r>
      <w:r w:rsidRPr="005C17A3">
        <w:rPr>
          <w:sz w:val="26"/>
          <w:szCs w:val="26"/>
          <w:vertAlign w:val="subscript"/>
        </w:rPr>
        <w:t>5</w:t>
      </w:r>
      <w:r w:rsidRPr="005C17A3">
        <w:rPr>
          <w:sz w:val="26"/>
          <w:szCs w:val="26"/>
        </w:rPr>
        <w:t xml:space="preserve"> và M</w:t>
      </w:r>
      <w:r w:rsidRPr="005C17A3">
        <w:rPr>
          <w:sz w:val="26"/>
          <w:szCs w:val="26"/>
          <w:vertAlign w:val="subscript"/>
        </w:rPr>
        <w:t>7</w:t>
      </w:r>
      <w:r w:rsidRPr="005C17A3">
        <w:rPr>
          <w:sz w:val="26"/>
          <w:szCs w:val="26"/>
        </w:rPr>
        <w:t xml:space="preserve"> là thành phần nội bộ của mô hình, không dùng để xác định giai đoạn căng thẳng.</w:t>
      </w:r>
    </w:p>
    <w:p w14:paraId="69B5392A" w14:textId="77777777" w:rsidR="005D3DB2" w:rsidRPr="005C17A3" w:rsidRDefault="00000000">
      <w:pPr>
        <w:pStyle w:val="BodyText"/>
      </w:pPr>
      <w:r w:rsidRPr="005C17A3">
        <w:t>Siêu tham số của các mô hình được chọn từ một lưới cho trước, với cùng quy tắc và cùng ngân sách tinh chỉnh. Vì M</w:t>
      </w:r>
      <w:r w:rsidRPr="005C17A3">
        <w:rPr>
          <w:vertAlign w:val="subscript"/>
        </w:rPr>
        <w:t>5</w:t>
      </w:r>
      <w:r w:rsidRPr="005C17A3">
        <w:t xml:space="preserve"> do thí sinh phát triển, kết quả được báo cáo cả khi có lẫn khi không có M</w:t>
      </w:r>
      <w:r w:rsidRPr="005C17A3">
        <w:rPr>
          <w:vertAlign w:val="subscript"/>
        </w:rPr>
        <w:t>5</w:t>
      </w:r>
      <w:r w:rsidRPr="005C17A3">
        <w:t>.</w:t>
      </w:r>
    </w:p>
    <w:p w14:paraId="685F0182" w14:textId="77777777" w:rsidR="005D3DB2" w:rsidRPr="005C17A3" w:rsidRDefault="00000000">
      <w:pPr>
        <w:pStyle w:val="BodyText"/>
      </w:pPr>
      <w:r w:rsidRPr="005C17A3">
        <w:t>Thí sinh đã dùng dữ liệu cổ phiếu HOSE trong bài báo Nguyễn và Nguyễn (2026a) và trong các bản thảo số 4 và số 6 ở Bảng 7. Để kiểm soát rủi ro chọn kết quả sau khi xem dữ liệu, thí sinh đăng ký trước kế hoạch phân tích trên OSF Registries trước ngày 28/12/2026, sau khi xin góp ý của người hướng dẫn dự kiến, và khai rõ phạm vi sàn, giai đoạn và chỉ báo đã tính trong các bài trước.</w:t>
      </w:r>
    </w:p>
    <w:p w14:paraId="1FC9BEBB" w14:textId="77777777" w:rsidR="005D3DB2" w:rsidRPr="005C17A3" w:rsidRDefault="00000000">
      <w:pPr>
        <w:pStyle w:val="BodyText"/>
      </w:pPr>
      <w:r w:rsidRPr="005C17A3">
        <w:t xml:space="preserve">Tệp đăng ký cố định trước mọi lựa chọn có thể ảnh hưởng tới kết quả: chỉ báo và trọng số; quy tắc lập rổ và ghép đối chứng; chi phí giao dịch và siêu tham số của bảy mô hình; đặc tả các phương trình (5)–(7) và thủ tục suy luận; ngưỡng lợi suất khi tính Amihud; quy tắc chọn cửa sổ trước theo điểm gãy cấu trúc; định nghĩa mức chịu </w:t>
      </w:r>
      <w:r w:rsidRPr="005C17A3">
        <w:lastRenderedPageBreak/>
        <w:t>cú sốc và biến trụ sở; mức ý nghĩa và cách hiệu chỉnh so sánh bội. Mọi thay đổi sau ngày đăng ký được ghi là lệch khỏi kế hoạch.</w:t>
      </w:r>
    </w:p>
    <w:p w14:paraId="19A6D1FF" w14:textId="77777777" w:rsidR="005D3DB2" w:rsidRPr="005C17A3" w:rsidRDefault="00000000">
      <w:pPr>
        <w:pStyle w:val="Heading3"/>
      </w:pPr>
      <w:bookmarkStart w:id="19" w:name="_Toc243136580"/>
      <w:bookmarkStart w:id="20" w:name="thước-đo-rủi-ro-lựa-chọn-mô-hình"/>
      <w:r w:rsidRPr="005C17A3">
        <w:t>4.3.6. Chỉ số khả năng đầu tư</w:t>
      </w:r>
      <w:bookmarkEnd w:id="19"/>
    </w:p>
    <w:p w14:paraId="2FD2D0BF" w14:textId="77777777" w:rsidR="005D3DB2" w:rsidRPr="005C17A3" w:rsidRDefault="00000000">
      <w:pPr>
        <w:pStyle w:val="FirstParagraph"/>
      </w:pPr>
      <w:r w:rsidRPr="005C17A3">
        <w:t>Đề tài đo hiệu quả ngoài mẫu bằng lợi suất tương đương chắc chắn sau chi phí giao dịch, tức mức lợi suất phi rủi ro mà nhà đầu tư ngại rủi ro coi là ngang giá với danh mục. Tỷ số Sharpe chỉ là thước đo phụ, vì khi lợi suất vượt trội trung bình âm, thường gặp trong giai đoạn căng thẳng, danh mục biến động mạnh hơn lại có tỷ số Sharpe ít âm hơn.</w:t>
      </w:r>
    </w:p>
    <w:p w14:paraId="459EF033" w14:textId="77777777" w:rsidR="000F5DDC" w:rsidRPr="005C17A3" w:rsidRDefault="00000000">
      <w:pPr>
        <w:pStyle w:val="FirstParagraph"/>
      </w:pPr>
      <w:r w:rsidRPr="005C17A3">
        <w:t xml:space="preserve">Với mỗi mô hình, mỗi rổ (rổ CS gồm cổ phiếu chuyển sàn, rổ H gồm cổ phiếu HOSE được ghép với rổ CS) và mỗi cửa sổ đánh giá, </w:t>
      </w:r>
      <w:r w:rsidRPr="005C17A3">
        <w:rPr>
          <w:i/>
          <w:iCs/>
        </w:rPr>
        <w:t>μ</w:t>
      </w:r>
      <w:r w:rsidRPr="005C17A3">
        <w:t xml:space="preserve"> và </w:t>
      </w:r>
      <w:r w:rsidRPr="005C17A3">
        <w:rPr>
          <w:i/>
          <w:iCs/>
        </w:rPr>
        <w:t>σ</w:t>
      </w:r>
      <w:r w:rsidRPr="005C17A3">
        <w:t xml:space="preserve">² là trung bình và phương sai mẫu của lợi suất vượt trội tuần sau chi phí, nhân với 52 để quy năm; </w:t>
      </w:r>
      <w:r w:rsidRPr="005C17A3">
        <w:rPr>
          <w:i/>
          <w:iCs/>
        </w:rPr>
        <w:t>ρ</w:t>
      </w:r>
      <w:r w:rsidRPr="005C17A3">
        <w:t xml:space="preserve"> là hệ số ngại rủi ro ấn định trước (giá trị cơ sở bằng 5, kiểm tra độ nhạy ở 3 và 10).</w:t>
      </w:r>
    </w:p>
    <w:p w14:paraId="7D71B2EF" w14:textId="77777777" w:rsidR="000F5DDC" w:rsidRPr="005C17A3" w:rsidRDefault="00000000">
      <w:pPr>
        <w:pStyle w:val="FirstParagraph"/>
      </w:pPr>
      <w:r w:rsidRPr="005C17A3">
        <w:t>Đề tài dùng hai cấu hình chi phí. Cấu hình A dùng tỷ lệ cố định nhân với vòng quay danh mục. Cấu hình B dùng chi phí theo cổ phiếu và theo tháng, gồm phí giao dịch, thuế và một nửa chênh lệch mua-bán (giá chào đóng cửa nếu có, nếu không thì ước lượng theo Corwin &amp; Schultz, 2012), nên đo thêm kênh chi phí giao dịch mà sàn tác động. Lợi suất tương đương chắc chắn là:</w:t>
      </w:r>
    </w:p>
    <w:p w14:paraId="0DEA75EF" w14:textId="77777777" w:rsidR="000F5DDC" w:rsidRPr="005C17A3" w:rsidRDefault="00000000">
      <w:pPr>
        <w:pStyle w:val="Equation"/>
      </w:pPr>
      <w:r w:rsidRPr="005C17A3">
        <w:tab/>
      </w:r>
      <m:oMath>
        <m:r>
          <w:rPr>
            <w:rFonts w:ascii="Cambria Math" w:hAnsi="Cambria Math"/>
          </w:rPr>
          <m:t>U</m:t>
        </m:r>
        <m:r>
          <m:rPr>
            <m:sty m:val="p"/>
          </m:rPr>
          <w:rPr>
            <w:rFonts w:ascii="Cambria Math" w:hAnsi="Cambria Math"/>
          </w:rPr>
          <m:t xml:space="preserve"> = </m:t>
        </m:r>
        <m:r>
          <w:rPr>
            <w:rFonts w:ascii="Cambria Math" w:hAnsi="Cambria Math"/>
          </w:rPr>
          <m:t>μ</m:t>
        </m:r>
        <m:r>
          <m:rPr>
            <m:sty m:val="p"/>
          </m:rPr>
          <w:rPr>
            <w:rFonts w:ascii="Cambria Math" w:hAnsi="Cambria Math"/>
          </w:rPr>
          <m:t xml:space="preserve"> - </m:t>
        </m:r>
        <m:f>
          <m:fPr>
            <m:ctrlPr>
              <w:rPr>
                <w:rFonts w:ascii="Cambria Math" w:hAnsi="Cambria Math"/>
              </w:rPr>
            </m:ctrlPr>
          </m:fPr>
          <m:num>
            <m:r>
              <w:rPr>
                <w:rFonts w:ascii="Cambria Math" w:hAnsi="Cambria Math"/>
              </w:rPr>
              <m:t>ρ</m:t>
            </m:r>
          </m:num>
          <m:den>
            <m:r>
              <m:rPr>
                <m:sty m:val="p"/>
              </m:rPr>
              <w:rPr>
                <w:rFonts w:ascii="Cambria Math" w:hAnsi="Cambria Math"/>
              </w:rPr>
              <m:t>2</m:t>
            </m:r>
          </m:den>
        </m:f>
        <m:sSup>
          <m:sSupPr>
            <m:ctrlPr>
              <w:rPr>
                <w:rFonts w:ascii="Cambria Math" w:hAnsi="Cambria Math"/>
              </w:rPr>
            </m:ctrlPr>
          </m:sSupPr>
          <m:e>
            <m:r>
              <w:rPr>
                <w:rFonts w:ascii="Cambria Math" w:hAnsi="Cambria Math"/>
              </w:rPr>
              <m:t>σ</m:t>
            </m:r>
          </m:e>
          <m:sup>
            <m:r>
              <m:rPr>
                <m:sty m:val="p"/>
              </m:rPr>
              <w:rPr>
                <w:rFonts w:ascii="Cambria Math" w:hAnsi="Cambria Math"/>
              </w:rPr>
              <m:t>2</m:t>
            </m:r>
          </m:sup>
        </m:sSup>
      </m:oMath>
      <w:r w:rsidRPr="005C17A3">
        <w:t xml:space="preserve"> </w:t>
      </w:r>
      <w:r w:rsidRPr="005C17A3">
        <w:tab/>
        <w:t>(2)</w:t>
      </w:r>
    </w:p>
    <w:p w14:paraId="76BB1615" w14:textId="77777777" w:rsidR="000F5DDC" w:rsidRPr="005C17A3" w:rsidRDefault="00000000">
      <w:pPr>
        <w:pStyle w:val="FirstParagraph"/>
      </w:pPr>
      <w:r w:rsidRPr="005C17A3">
        <w:t>Khoảng cách khả năng đầu tư của mô hình m là chênh lệch giữa rổ H và rổ cổ phiếu chuyển sàn:</w:t>
      </w:r>
    </w:p>
    <w:p w14:paraId="024B0FAE" w14:textId="77777777" w:rsidR="000F5DDC" w:rsidRPr="005C17A3" w:rsidRDefault="00000000">
      <w:pPr>
        <w:pStyle w:val="Equation"/>
      </w:pPr>
      <w:r w:rsidRPr="005C17A3">
        <w:tab/>
      </w:r>
      <m:oMath>
        <m:sSub>
          <m:sSubPr>
            <m:ctrlPr>
              <w:rPr>
                <w:rFonts w:ascii="Cambria Math" w:hAnsi="Cambria Math"/>
              </w:rPr>
            </m:ctrlPr>
          </m:sSubPr>
          <m:e>
            <m:r>
              <w:rPr>
                <w:rFonts w:ascii="Cambria Math" w:hAnsi="Cambria Math"/>
              </w:rPr>
              <m:t>G</m:t>
            </m:r>
          </m:e>
          <m:sub>
            <m:r>
              <w:rPr>
                <w:rFonts w:ascii="Cambria Math" w:hAnsi="Cambria Math"/>
              </w:rPr>
              <m:t>m</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m</m:t>
            </m:r>
          </m:sub>
        </m:sSub>
        <m:r>
          <m:rPr>
            <m:sty m:val="p"/>
          </m:rPr>
          <w:rPr>
            <w:rFonts w:ascii="Cambria Math" w:hAnsi="Cambria Math"/>
          </w:rPr>
          <m:t xml:space="preserve">(H) - </m:t>
        </m:r>
        <m:sSub>
          <m:sSubPr>
            <m:ctrlPr>
              <w:rPr>
                <w:rFonts w:ascii="Cambria Math" w:hAnsi="Cambria Math"/>
              </w:rPr>
            </m:ctrlPr>
          </m:sSubPr>
          <m:e>
            <m:r>
              <w:rPr>
                <w:rFonts w:ascii="Cambria Math" w:hAnsi="Cambria Math"/>
              </w:rPr>
              <m:t>U</m:t>
            </m:r>
          </m:e>
          <m:sub>
            <m:r>
              <w:rPr>
                <w:rFonts w:ascii="Cambria Math" w:hAnsi="Cambria Math"/>
              </w:rPr>
              <m:t>m</m:t>
            </m:r>
          </m:sub>
        </m:sSub>
        <m:r>
          <m:rPr>
            <m:sty m:val="p"/>
          </m:rPr>
          <w:rPr>
            <w:rFonts w:ascii="Cambria Math" w:hAnsi="Cambria Math"/>
          </w:rPr>
          <m:t>(CS)</m:t>
        </m:r>
      </m:oMath>
      <w:r w:rsidRPr="005C17A3">
        <w:t xml:space="preserve"> </w:t>
      </w:r>
      <w:r w:rsidRPr="005C17A3">
        <w:tab/>
        <w:t>(3)</w:t>
      </w:r>
    </w:p>
    <w:p w14:paraId="14A536D8" w14:textId="77777777" w:rsidR="000F5DDC" w:rsidRPr="005C17A3" w:rsidRDefault="00000000">
      <w:pPr>
        <w:pStyle w:val="FirstParagraph"/>
      </w:pPr>
      <w:r w:rsidRPr="005C17A3">
        <w:t>Chỉ số khả năng đầu tư là khoảng cách bình quân theo bảy mô hình:</w:t>
      </w:r>
    </w:p>
    <w:p w14:paraId="2135AB87" w14:textId="77777777" w:rsidR="000F5DDC" w:rsidRPr="005C17A3" w:rsidRDefault="00000000">
      <w:pPr>
        <w:pStyle w:val="Equation"/>
      </w:pPr>
      <w:r w:rsidRPr="005C17A3">
        <w:tab/>
      </w:r>
      <m:oMath>
        <m:r>
          <w:rPr>
            <w:rFonts w:ascii="Cambria Math" w:hAnsi="Cambria Math"/>
          </w:rPr>
          <m:t>Ḡ</m:t>
        </m:r>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 xml:space="preserve"> + … + </m:t>
            </m:r>
            <m:sSub>
              <m:sSubPr>
                <m:ctrlPr>
                  <w:rPr>
                    <w:rFonts w:ascii="Cambria Math" w:hAnsi="Cambria Math"/>
                  </w:rPr>
                </m:ctrlPr>
              </m:sSubPr>
              <m:e>
                <m:r>
                  <w:rPr>
                    <w:rFonts w:ascii="Cambria Math" w:hAnsi="Cambria Math"/>
                  </w:rPr>
                  <m:t>G</m:t>
                </m:r>
              </m:e>
              <m:sub>
                <m:r>
                  <w:rPr>
                    <w:rFonts w:ascii="Cambria Math" w:hAnsi="Cambria Math"/>
                  </w:rPr>
                  <m:t>7</m:t>
                </m:r>
              </m:sub>
            </m:sSub>
          </m:num>
          <m:den>
            <m:r>
              <m:rPr>
                <m:sty m:val="p"/>
              </m:rPr>
              <w:rPr>
                <w:rFonts w:ascii="Cambria Math" w:hAnsi="Cambria Math"/>
              </w:rPr>
              <m:t>7</m:t>
            </m:r>
          </m:den>
        </m:f>
      </m:oMath>
      <w:r w:rsidRPr="005C17A3">
        <w:t xml:space="preserve"> </w:t>
      </w:r>
      <w:r w:rsidRPr="005C17A3">
        <w:tab/>
        <w:t>(4)</w:t>
      </w:r>
    </w:p>
    <w:p w14:paraId="23022739" w14:textId="77777777" w:rsidR="000F5DDC" w:rsidRPr="005C17A3" w:rsidRDefault="00000000">
      <w:pPr>
        <w:pStyle w:val="FirstParagraph"/>
      </w:pPr>
      <w:r w:rsidRPr="005C17A3">
        <w:t xml:space="preserve">Chỉ số khả năng đầu tư </w:t>
      </w:r>
      <w:r w:rsidRPr="005C17A3">
        <w:rPr>
          <w:i/>
          <w:iCs/>
        </w:rPr>
        <w:t>Ḡ</w:t>
      </w:r>
      <w:r w:rsidRPr="005C17A3">
        <w:t xml:space="preserve"> được tính cho từng cửa sổ đánh giá, bằng điểm phần trăm mỗi năm; giá trị dương nghĩa là nhà đầu tư đa dạng hóa đạt lợi suất tương đương chắc chắn thấp hơn với rổ CS so với rổ H. Đề tài báo cáo kèm độ phân tán của </w:t>
      </w:r>
      <w:r w:rsidRPr="005C17A3">
        <w:rPr>
          <w:i/>
          <w:iCs/>
        </w:rPr>
        <w:t>G</w:t>
      </w:r>
      <w:r w:rsidRPr="005C17A3">
        <w:rPr>
          <w:vertAlign w:val="subscript"/>
        </w:rPr>
        <w:t>m</w:t>
      </w:r>
      <w:r w:rsidRPr="005C17A3">
        <w:t xml:space="preserve"> giữa bảy mô hình.</w:t>
      </w:r>
    </w:p>
    <w:p w14:paraId="24A76CA2" w14:textId="77777777" w:rsidR="000F5DDC" w:rsidRPr="005C17A3" w:rsidRDefault="00000000">
      <w:pPr>
        <w:pStyle w:val="FirstParagraph"/>
      </w:pPr>
      <w:r w:rsidRPr="005C17A3">
        <w:t xml:space="preserve">Rổ CS gồm tối đa 30 cổ phiếu chuyển sàn có giá trị giao dịch bình quân ba tháng lớn nhất tại ngày tham chiếu 30/6/2025. Rổ H gồm, cho mỗi mã của rổ CS, cổ phiếu HOSE gần nhất về vốn hóa, ngành và độ phi thanh khoản tại cùng ngày, ghép có hoàn lại. Thành phần hai rổ được giữ nguyên để so sánh cùng các cổ phiếu quanh sự kiện; </w:t>
      </w:r>
      <w:r w:rsidRPr="005C17A3">
        <w:lastRenderedPageBreak/>
        <w:t>vì hai rổ được lập theo cùng quy tắc, thiên lệch do thông tin tại ngày tham chiếu lỗi thời ở các cửa sổ xa hay do hồi quy về trung bình tác động lên cả hai rổ.</w:t>
      </w:r>
    </w:p>
    <w:p w14:paraId="45FF3BCC" w14:textId="77777777" w:rsidR="005D3DB2" w:rsidRPr="005C17A3" w:rsidRDefault="00000000">
      <w:pPr>
        <w:pStyle w:val="BodyText"/>
      </w:pPr>
      <w:r w:rsidRPr="005C17A3">
        <w:t>Mỗi mô hình được ước lượng trên cửa sổ 104 tuần và đánh giá trên cửa sổ 3 tháng không chồng lấn (Hình 2): 20 cửa sổ từ quý 3/2020 đến quý 2/2025 và 8 cửa sổ từ quý 1/2027 đến quý 4/2028. Cửa sổ ước lượng sau sự kiện vẫn chứa dữ liệu trước ngày chuyển sàn, nên khoảng cách của M</w:t>
      </w:r>
      <w:r w:rsidRPr="005C17A3">
        <w:rPr>
          <w:vertAlign w:val="subscript"/>
        </w:rPr>
        <w:t>1</w:t>
      </w:r>
      <w:r w:rsidRPr="005C17A3">
        <w:t>, mô hình không cần ước lượng tham số, được báo cáo riêng như phép so sánh sạch nhất.</w:t>
      </w:r>
    </w:p>
    <w:p w14:paraId="6BA5DCBF" w14:textId="77777777" w:rsidR="005D3DB2" w:rsidRPr="005C17A3" w:rsidRDefault="00000000">
      <w:pPr>
        <w:pStyle w:val="BodyText"/>
      </w:pPr>
      <w:r w:rsidRPr="005C17A3">
        <w:t>Vì số cửa sổ ít và lợi suất tương đương chắc chắn có phương sai lớn, H</w:t>
      </w:r>
      <w:r w:rsidRPr="005C17A3">
        <w:rPr>
          <w:vertAlign w:val="subscript"/>
        </w:rPr>
        <w:t>4</w:t>
      </w:r>
      <w:r w:rsidRPr="005C17A3">
        <w:t xml:space="preserve"> được báo cáo ở dạng ước lượng, kèm hiệu ứng nhỏ nhất phát hiện được tính trên dữ liệu tham chiếu.</w:t>
      </w:r>
    </w:p>
    <w:p w14:paraId="55126AD8" w14:textId="4453E7C9" w:rsidR="005D3DB2" w:rsidRPr="005C17A3" w:rsidRDefault="00A4475B" w:rsidP="00A4475B">
      <w:pPr>
        <w:pStyle w:val="FigureBox"/>
      </w:pPr>
      <w:r w:rsidRPr="005C17A3">
        <w:rPr>
          <w:noProof/>
        </w:rPr>
        <mc:AlternateContent>
          <mc:Choice Requires="wpg">
            <w:drawing>
              <wp:inline distT="0" distB="0" distL="0" distR="0" wp14:anchorId="7EE40C07" wp14:editId="0DAE7543">
                <wp:extent cx="5544000" cy="2232000"/>
                <wp:effectExtent l="0" t="0" r="0" b="0"/>
                <wp:docPr id="158646383" name="Hình 2. Thiết kế cửa sổ"/>
                <wp:cNvGraphicFramePr/>
                <a:graphic xmlns:a="http://schemas.openxmlformats.org/drawingml/2006/main">
                  <a:graphicData uri="http://schemas.microsoft.com/office/word/2010/wordprocessingGroup">
                    <wpg:wgp>
                      <wpg:cNvGrpSpPr/>
                      <wpg:grpSpPr>
                        <a:xfrm>
                          <a:off x="0" y="0"/>
                          <a:ext cx="5544000" cy="2232000"/>
                          <a:chOff x="0" y="0"/>
                          <a:chExt cx="5544000" cy="2232000"/>
                        </a:xfrm>
                      </wpg:grpSpPr>
                      <wps:wsp>
                        <wps:cNvPr id="130105187" name="Shape 1"/>
                        <wps:cNvSpPr/>
                        <wps:spPr>
                          <a:xfrm>
                            <a:off x="0" y="0"/>
                            <a:ext cx="810000" cy="342000"/>
                          </a:xfrm>
                          <a:prstGeom prst="rect">
                            <a:avLst/>
                          </a:prstGeom>
                          <a:noFill/>
                          <a:ln>
                            <a:noFill/>
                          </a:ln>
                        </wps:spPr>
                        <wps:txbx>
                          <w:txbxContent>
                            <w:p w14:paraId="78666BD8" w14:textId="77777777" w:rsidR="00A4475B" w:rsidRDefault="00A4475B" w:rsidP="00A4475B">
                              <w:pPr>
                                <w:jc w:val="center"/>
                              </w:pPr>
                              <w:r>
                                <w:rPr>
                                  <w:sz w:val="20"/>
                                  <w:szCs w:val="20"/>
                                </w:rPr>
                                <w:t>Cửa sổ 1</w:t>
                              </w:r>
                            </w:p>
                          </w:txbxContent>
                        </wps:txbx>
                        <wps:bodyPr rot="0" vert="horz" wrap="square" lIns="54000" tIns="36000" rIns="54000" bIns="36000" anchor="ctr" anchorCtr="0">
                          <a:noAutofit/>
                        </wps:bodyPr>
                      </wps:wsp>
                      <wps:wsp>
                        <wps:cNvPr id="2049395912" name="Shape 2"/>
                        <wps:cNvSpPr/>
                        <wps:spPr>
                          <a:xfrm>
                            <a:off x="864000" y="0"/>
                            <a:ext cx="2520000" cy="342000"/>
                          </a:xfrm>
                          <a:prstGeom prst="rect">
                            <a:avLst/>
                          </a:prstGeom>
                          <a:solidFill>
                            <a:srgbClr val="FFFFFF"/>
                          </a:solidFill>
                          <a:ln w="9525">
                            <a:solidFill>
                              <a:srgbClr val="000000"/>
                            </a:solidFill>
                          </a:ln>
                        </wps:spPr>
                        <wps:txbx>
                          <w:txbxContent>
                            <w:p w14:paraId="0C4431D6" w14:textId="77777777" w:rsidR="00A4475B" w:rsidRDefault="00A4475B" w:rsidP="00A4475B">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322348225" name="Shape 3"/>
                        <wps:cNvSpPr/>
                        <wps:spPr>
                          <a:xfrm>
                            <a:off x="3384000" y="0"/>
                            <a:ext cx="630000" cy="342000"/>
                          </a:xfrm>
                          <a:prstGeom prst="rect">
                            <a:avLst/>
                          </a:prstGeom>
                          <a:solidFill>
                            <a:srgbClr val="FFFFFF"/>
                          </a:solidFill>
                          <a:ln w="9525">
                            <a:solidFill>
                              <a:srgbClr val="000000"/>
                            </a:solidFill>
                          </a:ln>
                        </wps:spPr>
                        <wps:txbx>
                          <w:txbxContent>
                            <w:p w14:paraId="2F3895AA" w14:textId="77777777" w:rsidR="00A4475B" w:rsidRDefault="00A4475B" w:rsidP="00A4475B">
                              <w:pPr>
                                <w:jc w:val="center"/>
                              </w:pPr>
                              <w:r>
                                <w:rPr>
                                  <w:color w:val="000000"/>
                                  <w:sz w:val="16"/>
                                  <w:szCs w:val="16"/>
                                </w:rPr>
                                <w:t>Đánh giá:</w:t>
                              </w:r>
                            </w:p>
                            <w:p w14:paraId="28D27A11" w14:textId="77777777" w:rsidR="00A4475B" w:rsidRDefault="00A4475B" w:rsidP="00A4475B">
                              <w:pPr>
                                <w:jc w:val="center"/>
                              </w:pPr>
                              <w:r>
                                <w:rPr>
                                  <w:color w:val="000000"/>
                                  <w:sz w:val="16"/>
                                  <w:szCs w:val="16"/>
                                </w:rPr>
                                <w:t>3 tháng</w:t>
                              </w:r>
                            </w:p>
                          </w:txbxContent>
                        </wps:txbx>
                        <wps:bodyPr rot="0" vert="horz" wrap="square" lIns="54000" tIns="36000" rIns="54000" bIns="36000" anchor="ctr" anchorCtr="0">
                          <a:noAutofit/>
                        </wps:bodyPr>
                      </wps:wsp>
                      <wps:wsp>
                        <wps:cNvPr id="93731694" name="Shape 4"/>
                        <wps:cNvSpPr/>
                        <wps:spPr>
                          <a:xfrm>
                            <a:off x="0" y="467999"/>
                            <a:ext cx="810000" cy="342000"/>
                          </a:xfrm>
                          <a:prstGeom prst="rect">
                            <a:avLst/>
                          </a:prstGeom>
                          <a:noFill/>
                          <a:ln>
                            <a:noFill/>
                          </a:ln>
                        </wps:spPr>
                        <wps:txbx>
                          <w:txbxContent>
                            <w:p w14:paraId="2DA1B9D1" w14:textId="77777777" w:rsidR="00A4475B" w:rsidRDefault="00A4475B" w:rsidP="00A4475B">
                              <w:pPr>
                                <w:jc w:val="center"/>
                              </w:pPr>
                              <w:r>
                                <w:rPr>
                                  <w:sz w:val="20"/>
                                  <w:szCs w:val="20"/>
                                </w:rPr>
                                <w:t>Cửa sổ 2</w:t>
                              </w:r>
                            </w:p>
                          </w:txbxContent>
                        </wps:txbx>
                        <wps:bodyPr rot="0" vert="horz" wrap="square" lIns="54000" tIns="36000" rIns="54000" bIns="36000" anchor="ctr" anchorCtr="0">
                          <a:noAutofit/>
                        </wps:bodyPr>
                      </wps:wsp>
                      <wps:wsp>
                        <wps:cNvPr id="903061951" name="Shape 5"/>
                        <wps:cNvSpPr/>
                        <wps:spPr>
                          <a:xfrm>
                            <a:off x="1494000" y="467999"/>
                            <a:ext cx="2520000" cy="342000"/>
                          </a:xfrm>
                          <a:prstGeom prst="rect">
                            <a:avLst/>
                          </a:prstGeom>
                          <a:solidFill>
                            <a:srgbClr val="FFFFFF"/>
                          </a:solidFill>
                          <a:ln w="9525">
                            <a:solidFill>
                              <a:srgbClr val="000000"/>
                            </a:solidFill>
                          </a:ln>
                        </wps:spPr>
                        <wps:txbx>
                          <w:txbxContent>
                            <w:p w14:paraId="30624006" w14:textId="77777777" w:rsidR="00A4475B" w:rsidRDefault="00A4475B" w:rsidP="00A4475B">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774394078" name="Shape 6"/>
                        <wps:cNvSpPr/>
                        <wps:spPr>
                          <a:xfrm>
                            <a:off x="4014000" y="467999"/>
                            <a:ext cx="630000" cy="342000"/>
                          </a:xfrm>
                          <a:prstGeom prst="rect">
                            <a:avLst/>
                          </a:prstGeom>
                          <a:solidFill>
                            <a:srgbClr val="FFFFFF"/>
                          </a:solidFill>
                          <a:ln w="9525">
                            <a:solidFill>
                              <a:srgbClr val="000000"/>
                            </a:solidFill>
                          </a:ln>
                        </wps:spPr>
                        <wps:txbx>
                          <w:txbxContent>
                            <w:p w14:paraId="443EE964" w14:textId="77777777" w:rsidR="00A4475B" w:rsidRDefault="00A4475B" w:rsidP="00A4475B">
                              <w:pPr>
                                <w:jc w:val="center"/>
                              </w:pPr>
                              <w:r>
                                <w:rPr>
                                  <w:color w:val="000000"/>
                                  <w:sz w:val="16"/>
                                  <w:szCs w:val="16"/>
                                </w:rPr>
                                <w:t>Đánh giá:</w:t>
                              </w:r>
                            </w:p>
                            <w:p w14:paraId="3C8C788C" w14:textId="77777777" w:rsidR="00A4475B" w:rsidRDefault="00A4475B" w:rsidP="00A4475B">
                              <w:pPr>
                                <w:jc w:val="center"/>
                              </w:pPr>
                              <w:r>
                                <w:rPr>
                                  <w:color w:val="000000"/>
                                  <w:sz w:val="16"/>
                                  <w:szCs w:val="16"/>
                                </w:rPr>
                                <w:t>3 tháng</w:t>
                              </w:r>
                            </w:p>
                          </w:txbxContent>
                        </wps:txbx>
                        <wps:bodyPr rot="0" vert="horz" wrap="square" lIns="54000" tIns="36000" rIns="54000" bIns="36000" anchor="ctr" anchorCtr="0">
                          <a:noAutofit/>
                        </wps:bodyPr>
                      </wps:wsp>
                      <wps:wsp>
                        <wps:cNvPr id="995335260" name="Shape 7"/>
                        <wps:cNvSpPr/>
                        <wps:spPr>
                          <a:xfrm>
                            <a:off x="0" y="935999"/>
                            <a:ext cx="810000" cy="342000"/>
                          </a:xfrm>
                          <a:prstGeom prst="rect">
                            <a:avLst/>
                          </a:prstGeom>
                          <a:noFill/>
                          <a:ln>
                            <a:noFill/>
                          </a:ln>
                        </wps:spPr>
                        <wps:txbx>
                          <w:txbxContent>
                            <w:p w14:paraId="73F956D1" w14:textId="77777777" w:rsidR="00A4475B" w:rsidRDefault="00A4475B" w:rsidP="00A4475B">
                              <w:pPr>
                                <w:jc w:val="center"/>
                              </w:pPr>
                              <w:r>
                                <w:rPr>
                                  <w:sz w:val="20"/>
                                  <w:szCs w:val="20"/>
                                </w:rPr>
                                <w:t>Cửa sổ 3</w:t>
                              </w:r>
                            </w:p>
                          </w:txbxContent>
                        </wps:txbx>
                        <wps:bodyPr rot="0" vert="horz" wrap="square" lIns="54000" tIns="36000" rIns="54000" bIns="36000" anchor="ctr" anchorCtr="0">
                          <a:noAutofit/>
                        </wps:bodyPr>
                      </wps:wsp>
                      <wps:wsp>
                        <wps:cNvPr id="954311584" name="Shape 8"/>
                        <wps:cNvSpPr/>
                        <wps:spPr>
                          <a:xfrm>
                            <a:off x="2124000" y="935999"/>
                            <a:ext cx="2520000" cy="342000"/>
                          </a:xfrm>
                          <a:prstGeom prst="rect">
                            <a:avLst/>
                          </a:prstGeom>
                          <a:solidFill>
                            <a:srgbClr val="FFFFFF"/>
                          </a:solidFill>
                          <a:ln w="9525">
                            <a:solidFill>
                              <a:srgbClr val="000000"/>
                            </a:solidFill>
                          </a:ln>
                        </wps:spPr>
                        <wps:txbx>
                          <w:txbxContent>
                            <w:p w14:paraId="3F848676" w14:textId="77777777" w:rsidR="00A4475B" w:rsidRDefault="00A4475B" w:rsidP="00A4475B">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514144491" name="Shape 9"/>
                        <wps:cNvSpPr/>
                        <wps:spPr>
                          <a:xfrm>
                            <a:off x="4644000" y="935999"/>
                            <a:ext cx="630000" cy="342000"/>
                          </a:xfrm>
                          <a:prstGeom prst="rect">
                            <a:avLst/>
                          </a:prstGeom>
                          <a:solidFill>
                            <a:srgbClr val="FFFFFF"/>
                          </a:solidFill>
                          <a:ln w="9525">
                            <a:solidFill>
                              <a:srgbClr val="000000"/>
                            </a:solidFill>
                          </a:ln>
                        </wps:spPr>
                        <wps:txbx>
                          <w:txbxContent>
                            <w:p w14:paraId="5A274458" w14:textId="77777777" w:rsidR="00A4475B" w:rsidRDefault="00A4475B" w:rsidP="00A4475B">
                              <w:pPr>
                                <w:jc w:val="center"/>
                              </w:pPr>
                              <w:r>
                                <w:rPr>
                                  <w:color w:val="000000"/>
                                  <w:sz w:val="16"/>
                                  <w:szCs w:val="16"/>
                                </w:rPr>
                                <w:t>Đánh giá:</w:t>
                              </w:r>
                            </w:p>
                            <w:p w14:paraId="2F75B7E4" w14:textId="77777777" w:rsidR="00A4475B" w:rsidRDefault="00A4475B" w:rsidP="00A4475B">
                              <w:pPr>
                                <w:jc w:val="center"/>
                              </w:pPr>
                              <w:r>
                                <w:rPr>
                                  <w:color w:val="000000"/>
                                  <w:sz w:val="16"/>
                                  <w:szCs w:val="16"/>
                                </w:rPr>
                                <w:t>3 tháng</w:t>
                              </w:r>
                            </w:p>
                          </w:txbxContent>
                        </wps:txbx>
                        <wps:bodyPr rot="0" vert="horz" wrap="square" lIns="54000" tIns="36000" rIns="54000" bIns="36000" anchor="ctr" anchorCtr="0">
                          <a:noAutofit/>
                        </wps:bodyPr>
                      </wps:wsp>
                      <wps:wsp>
                        <wps:cNvPr id="1939563071" name="Connector 10"/>
                        <wps:cNvCnPr/>
                        <wps:spPr>
                          <a:xfrm>
                            <a:off x="864000" y="1458000"/>
                            <a:ext cx="4644000" cy="0"/>
                          </a:xfrm>
                          <a:prstGeom prst="straightConnector1">
                            <a:avLst/>
                          </a:prstGeom>
                          <a:ln w="12700">
                            <a:solidFill>
                              <a:srgbClr val="000000"/>
                            </a:solidFill>
                            <a:tailEnd type="triangle"/>
                          </a:ln>
                        </wps:spPr>
                        <wps:bodyPr/>
                      </wps:wsp>
                      <wps:wsp>
                        <wps:cNvPr id="871884153" name="Shape 11"/>
                        <wps:cNvSpPr/>
                        <wps:spPr>
                          <a:xfrm>
                            <a:off x="4788000" y="1475999"/>
                            <a:ext cx="720000" cy="180000"/>
                          </a:xfrm>
                          <a:prstGeom prst="rect">
                            <a:avLst/>
                          </a:prstGeom>
                          <a:noFill/>
                          <a:ln>
                            <a:noFill/>
                          </a:ln>
                        </wps:spPr>
                        <wps:txbx>
                          <w:txbxContent>
                            <w:p w14:paraId="521C6A16" w14:textId="77777777" w:rsidR="00A4475B" w:rsidRDefault="00A4475B" w:rsidP="00A4475B">
                              <w:pPr>
                                <w:jc w:val="center"/>
                              </w:pPr>
                              <w:r>
                                <w:rPr>
                                  <w:sz w:val="18"/>
                                  <w:szCs w:val="18"/>
                                </w:rPr>
                                <w:t>thời gian</w:t>
                              </w:r>
                            </w:p>
                          </w:txbxContent>
                        </wps:txbx>
                        <wps:bodyPr rot="0" vert="horz" wrap="square" lIns="54000" tIns="36000" rIns="54000" bIns="36000" anchor="ctr" anchorCtr="0">
                          <a:noAutofit/>
                        </wps:bodyPr>
                      </wps:wsp>
                      <wps:wsp>
                        <wps:cNvPr id="1511652954" name="Connector 12"/>
                        <wps:cNvCnPr/>
                        <wps:spPr>
                          <a:xfrm flipV="1">
                            <a:off x="3384000" y="1475999"/>
                            <a:ext cx="0" cy="234000"/>
                          </a:xfrm>
                          <a:prstGeom prst="straightConnector1">
                            <a:avLst/>
                          </a:prstGeom>
                          <a:ln w="12700">
                            <a:solidFill>
                              <a:srgbClr val="000000"/>
                            </a:solidFill>
                            <a:tailEnd type="triangle"/>
                          </a:ln>
                        </wps:spPr>
                        <wps:bodyPr/>
                      </wps:wsp>
                      <wps:wsp>
                        <wps:cNvPr id="1282719128" name="Connector 13"/>
                        <wps:cNvCnPr/>
                        <wps:spPr>
                          <a:xfrm flipV="1">
                            <a:off x="4014000" y="1475999"/>
                            <a:ext cx="0" cy="234000"/>
                          </a:xfrm>
                          <a:prstGeom prst="straightConnector1">
                            <a:avLst/>
                          </a:prstGeom>
                          <a:ln w="12700">
                            <a:solidFill>
                              <a:srgbClr val="000000"/>
                            </a:solidFill>
                            <a:tailEnd type="triangle"/>
                          </a:ln>
                        </wps:spPr>
                        <wps:bodyPr/>
                      </wps:wsp>
                      <wps:wsp>
                        <wps:cNvPr id="18356553" name="Connector 14"/>
                        <wps:cNvCnPr/>
                        <wps:spPr>
                          <a:xfrm flipV="1">
                            <a:off x="4644000" y="1475999"/>
                            <a:ext cx="0" cy="234000"/>
                          </a:xfrm>
                          <a:prstGeom prst="straightConnector1">
                            <a:avLst/>
                          </a:prstGeom>
                          <a:ln w="12700">
                            <a:solidFill>
                              <a:srgbClr val="000000"/>
                            </a:solidFill>
                            <a:tailEnd type="triangle"/>
                          </a:ln>
                        </wps:spPr>
                        <wps:bodyPr/>
                      </wps:wsp>
                      <wps:wsp>
                        <wps:cNvPr id="1904933452" name="Shape 15"/>
                        <wps:cNvSpPr/>
                        <wps:spPr>
                          <a:xfrm>
                            <a:off x="1044000" y="1728000"/>
                            <a:ext cx="3960000" cy="450000"/>
                          </a:xfrm>
                          <a:prstGeom prst="rect">
                            <a:avLst/>
                          </a:prstGeom>
                          <a:noFill/>
                          <a:ln>
                            <a:noFill/>
                          </a:ln>
                        </wps:spPr>
                        <wps:txbx>
                          <w:txbxContent>
                            <w:p w14:paraId="271EBA0A" w14:textId="77777777" w:rsidR="00A4475B" w:rsidRDefault="00A4475B" w:rsidP="00A4475B">
                              <w:pPr>
                                <w:jc w:val="center"/>
                              </w:pPr>
                            </w:p>
                            <w:p w14:paraId="60D3E89F" w14:textId="77777777" w:rsidR="00A4475B" w:rsidRDefault="00A4475B" w:rsidP="00A4475B">
                              <w:pPr>
                                <w:jc w:val="center"/>
                              </w:pPr>
                            </w:p>
                          </w:txbxContent>
                        </wps:txbx>
                        <wps:bodyPr rot="0" vert="horz" wrap="square" lIns="54000" tIns="36000" rIns="54000" bIns="36000" anchor="ctr" anchorCtr="0">
                          <a:noAutofit/>
                        </wps:bodyPr>
                      </wps:wsp>
                    </wpg:wgp>
                  </a:graphicData>
                </a:graphic>
              </wp:inline>
            </w:drawing>
          </mc:Choice>
          <mc:Fallback>
            <w:pict>
              <v:group w14:anchorId="7EE40C07" id="Hình 2. Thiết kế cửa sổ" o:spid="_x0000_s1039" style="width:436.55pt;height:175.75pt;mso-position-horizontal-relative:char;mso-position-vertical-relative:line" coordsize="55440,223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">
                <v:rect id="Shape 1" o:spid="_x0000_s1040" style="position:absolute;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" filled="f" stroked="f">
                  <v:textbox inset="1.5mm,1mm,1.5mm,1mm">
                    <w:txbxContent>
                      <w:p w14:paraId="78666BD8" w14:textId="77777777" w:rsidR="00A4475B" w:rsidRDefault="00A4475B" w:rsidP="00A4475B">
                        <w:pPr>
                          <w:jc w:val="center"/>
                        </w:pPr>
                        <w:r>
                          <w:rPr>
                            <w:sz w:val="20"/>
                            <w:szCs w:val="20"/>
                          </w:rPr>
                          <w:t>Cửa sổ 1</w:t>
                        </w:r>
                      </w:p>
                    </w:txbxContent>
                  </v:textbox>
                </v:rect>
                <v:rect id="Shape 2" o:spid="_x0000_s1041" style="position:absolute;left:8640;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">
                  <v:textbox inset="1.5mm,1mm,1.5mm,1mm">
                    <w:txbxContent>
                      <w:p w14:paraId="0C4431D6" w14:textId="77777777" w:rsidR="00A4475B" w:rsidRDefault="00A4475B" w:rsidP="00A4475B">
                        <w:pPr>
                          <w:jc w:val="center"/>
                        </w:pPr>
                        <w:r>
                          <w:rPr>
                            <w:color w:val="000000"/>
                            <w:sz w:val="20"/>
                            <w:szCs w:val="20"/>
                          </w:rPr>
                          <w:t>Ước lượng: 104 tuần</w:t>
                        </w:r>
                      </w:p>
                    </w:txbxContent>
                  </v:textbox>
                </v:rect>
                <v:rect id="Shape 3" o:spid="_x0000_s1042" style="position:absolute;left:33840;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">
                  <v:textbox inset="1.5mm,1mm,1.5mm,1mm">
                    <w:txbxContent>
                      <w:p w14:paraId="2F3895AA" w14:textId="77777777" w:rsidR="00A4475B" w:rsidRDefault="00A4475B" w:rsidP="00A4475B">
                        <w:pPr>
                          <w:jc w:val="center"/>
                        </w:pPr>
                        <w:r>
                          <w:rPr>
                            <w:color w:val="000000"/>
                            <w:sz w:val="16"/>
                            <w:szCs w:val="16"/>
                          </w:rPr>
                          <w:t>Đánh giá:</w:t>
                        </w:r>
                      </w:p>
                      <w:p w14:paraId="28D27A11" w14:textId="77777777" w:rsidR="00A4475B" w:rsidRDefault="00A4475B" w:rsidP="00A4475B">
                        <w:pPr>
                          <w:jc w:val="center"/>
                        </w:pPr>
                        <w:r>
                          <w:rPr>
                            <w:color w:val="000000"/>
                            <w:sz w:val="16"/>
                            <w:szCs w:val="16"/>
                          </w:rPr>
                          <w:t>3 tháng</w:t>
                        </w:r>
                      </w:p>
                    </w:txbxContent>
                  </v:textbox>
                </v:rect>
                <v:rect id="Shape 4" o:spid="_x0000_s1043" style="position:absolute;top:4679;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" filled="f" stroked="f">
                  <v:textbox inset="1.5mm,1mm,1.5mm,1mm">
                    <w:txbxContent>
                      <w:p w14:paraId="2DA1B9D1" w14:textId="77777777" w:rsidR="00A4475B" w:rsidRDefault="00A4475B" w:rsidP="00A4475B">
                        <w:pPr>
                          <w:jc w:val="center"/>
                        </w:pPr>
                        <w:r>
                          <w:rPr>
                            <w:sz w:val="20"/>
                            <w:szCs w:val="20"/>
                          </w:rPr>
                          <w:t>Cửa sổ 2</w:t>
                        </w:r>
                      </w:p>
                    </w:txbxContent>
                  </v:textbox>
                </v:rect>
                <v:rect id="Shape 5" o:spid="_x0000_s1044" style="position:absolute;left:14940;top:4679;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">
                  <v:textbox inset="1.5mm,1mm,1.5mm,1mm">
                    <w:txbxContent>
                      <w:p w14:paraId="30624006" w14:textId="77777777" w:rsidR="00A4475B" w:rsidRDefault="00A4475B" w:rsidP="00A4475B">
                        <w:pPr>
                          <w:jc w:val="center"/>
                        </w:pPr>
                        <w:r>
                          <w:rPr>
                            <w:color w:val="000000"/>
                            <w:sz w:val="20"/>
                            <w:szCs w:val="20"/>
                          </w:rPr>
                          <w:t>Ước lượng: 104 tuần</w:t>
                        </w:r>
                      </w:p>
                    </w:txbxContent>
                  </v:textbox>
                </v:rect>
                <v:rect id="Shape 6" o:spid="_x0000_s1045" style="position:absolute;left:40140;top:4679;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">
                  <v:textbox inset="1.5mm,1mm,1.5mm,1mm">
                    <w:txbxContent>
                      <w:p w14:paraId="443EE964" w14:textId="77777777" w:rsidR="00A4475B" w:rsidRDefault="00A4475B" w:rsidP="00A4475B">
                        <w:pPr>
                          <w:jc w:val="center"/>
                        </w:pPr>
                        <w:r>
                          <w:rPr>
                            <w:color w:val="000000"/>
                            <w:sz w:val="16"/>
                            <w:szCs w:val="16"/>
                          </w:rPr>
                          <w:t>Đánh giá:</w:t>
                        </w:r>
                      </w:p>
                      <w:p w14:paraId="3C8C788C" w14:textId="77777777" w:rsidR="00A4475B" w:rsidRDefault="00A4475B" w:rsidP="00A4475B">
                        <w:pPr>
                          <w:jc w:val="center"/>
                        </w:pPr>
                        <w:r>
                          <w:rPr>
                            <w:color w:val="000000"/>
                            <w:sz w:val="16"/>
                            <w:szCs w:val="16"/>
                          </w:rPr>
                          <w:t>3 tháng</w:t>
                        </w:r>
                      </w:p>
                    </w:txbxContent>
                  </v:textbox>
                </v:rect>
                <v:rect id="Shape 7" o:spid="_x0000_s1046" style="position:absolute;top:9359;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" filled="f" stroked="f">
                  <v:textbox inset="1.5mm,1mm,1.5mm,1mm">
                    <w:txbxContent>
                      <w:p w14:paraId="73F956D1" w14:textId="77777777" w:rsidR="00A4475B" w:rsidRDefault="00A4475B" w:rsidP="00A4475B">
                        <w:pPr>
                          <w:jc w:val="center"/>
                        </w:pPr>
                        <w:r>
                          <w:rPr>
                            <w:sz w:val="20"/>
                            <w:szCs w:val="20"/>
                          </w:rPr>
                          <w:t>Cửa sổ 3</w:t>
                        </w:r>
                      </w:p>
                    </w:txbxContent>
                  </v:textbox>
                </v:rect>
                <v:rect id="Shape 8" o:spid="_x0000_s1047" style="position:absolute;left:21240;top:9359;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">
                  <v:textbox inset="1.5mm,1mm,1.5mm,1mm">
                    <w:txbxContent>
                      <w:p w14:paraId="3F848676" w14:textId="77777777" w:rsidR="00A4475B" w:rsidRDefault="00A4475B" w:rsidP="00A4475B">
                        <w:pPr>
                          <w:jc w:val="center"/>
                        </w:pPr>
                        <w:r>
                          <w:rPr>
                            <w:color w:val="000000"/>
                            <w:sz w:val="20"/>
                            <w:szCs w:val="20"/>
                          </w:rPr>
                          <w:t>Ước lượng: 104 tuần</w:t>
                        </w:r>
                      </w:p>
                    </w:txbxContent>
                  </v:textbox>
                </v:rect>
                <v:rect id="Shape 9" o:spid="_x0000_s1048" style="position:absolute;left:46440;top:9359;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">
                  <v:textbox inset="1.5mm,1mm,1.5mm,1mm">
                    <w:txbxContent>
                      <w:p w14:paraId="5A274458" w14:textId="77777777" w:rsidR="00A4475B" w:rsidRDefault="00A4475B" w:rsidP="00A4475B">
                        <w:pPr>
                          <w:jc w:val="center"/>
                        </w:pPr>
                        <w:r>
                          <w:rPr>
                            <w:color w:val="000000"/>
                            <w:sz w:val="16"/>
                            <w:szCs w:val="16"/>
                          </w:rPr>
                          <w:t>Đánh giá:</w:t>
                        </w:r>
                      </w:p>
                      <w:p w14:paraId="2F75B7E4" w14:textId="77777777" w:rsidR="00A4475B" w:rsidRDefault="00A4475B" w:rsidP="00A4475B">
                        <w:pPr>
                          <w:jc w:val="center"/>
                        </w:pPr>
                        <w:r>
                          <w:rPr>
                            <w:color w:val="000000"/>
                            <w:sz w:val="16"/>
                            <w:szCs w:val="16"/>
                          </w:rPr>
                          <w:t>3 tháng</w:t>
                        </w:r>
                      </w:p>
                    </w:txbxContent>
                  </v:textbox>
                </v:rect>
                <v:shape id="Connector 10" o:spid="_x0000_s1049" type="#_x0000_t32" style="position:absolute;left:8640;top:14580;width:4644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" strokeweight="1pt">
                  <v:stroke endarrow="block"/>
                </v:shape>
                <v:rect id="Shape 11" o:spid="_x0000_s1050" style="position:absolute;left:47880;top:14759;width:7200;height:18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" filled="f" stroked="f">
                  <v:textbox inset="1.5mm,1mm,1.5mm,1mm">
                    <w:txbxContent>
                      <w:p w14:paraId="521C6A16" w14:textId="77777777" w:rsidR="00A4475B" w:rsidRDefault="00A4475B" w:rsidP="00A4475B">
                        <w:pPr>
                          <w:jc w:val="center"/>
                        </w:pPr>
                        <w:r>
                          <w:rPr>
                            <w:sz w:val="18"/>
                            <w:szCs w:val="18"/>
                          </w:rPr>
                          <w:t>thời gian</w:t>
                        </w:r>
                      </w:p>
                    </w:txbxContent>
                  </v:textbox>
                </v:rect>
                <v:shape id="Connector 12" o:spid="_x0000_s1051" type="#_x0000_t32" style="position:absolute;left:338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" strokeweight="1pt">
                  <v:stroke endarrow="block"/>
                </v:shape>
                <v:shape id="Connector 13" o:spid="_x0000_s1052" type="#_x0000_t32" style="position:absolute;left:401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" strokeweight="1pt">
                  <v:stroke endarrow="block"/>
                </v:shape>
                <v:shape id="Connector 14" o:spid="_x0000_s1053" type="#_x0000_t32" style="position:absolute;left:464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" strokeweight="1pt">
                  <v:stroke endarrow="block"/>
                </v:shape>
                <v:rect id="Shape 15" o:spid="_x0000_s1054" style="position:absolute;left:10440;top:17280;width:39600;height:45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" filled="f" stroked="f">
                  <v:textbox inset="1.5mm,1mm,1.5mm,1mm">
                    <w:txbxContent>
                      <w:p w14:paraId="271EBA0A" w14:textId="77777777" w:rsidR="00A4475B" w:rsidRDefault="00A4475B" w:rsidP="00A4475B">
                        <w:pPr>
                          <w:jc w:val="center"/>
                        </w:pPr>
                      </w:p>
                      <w:p w14:paraId="60D3E89F" w14:textId="77777777" w:rsidR="00A4475B" w:rsidRDefault="00A4475B" w:rsidP="00A4475B">
                        <w:pPr>
                          <w:jc w:val="center"/>
                        </w:pPr>
                      </w:p>
                    </w:txbxContent>
                  </v:textbox>
                </v:rect>
                <w10:anchorlock/>
              </v:group>
            </w:pict>
          </mc:Fallback>
        </mc:AlternateContent>
      </w:r>
    </w:p>
    <w:p w14:paraId="3E99CA0B" w14:textId="77777777" w:rsidR="005D3DB2" w:rsidRPr="005C17A3" w:rsidRDefault="00000000">
      <w:pPr>
        <w:pStyle w:val="FigureCaption"/>
      </w:pPr>
      <w:bookmarkStart w:id="21" w:name="_Toc242353164"/>
      <w:r w:rsidRPr="005C17A3">
        <w:t xml:space="preserve">Hình </w:t>
      </w:r>
      <w:fldSimple w:instr=" SEQ Hình \* ARABIC ">
        <w:r w:rsidR="005D3DB2" w:rsidRPr="005C17A3">
          <w:rPr>
            <w:noProof/>
          </w:rPr>
          <w:t>2</w:t>
        </w:r>
      </w:fldSimple>
      <w:r w:rsidRPr="005C17A3">
        <w:t>. Cửa sổ ước lượng, cửa sổ đánh giá và cách tính khoảng cách khả năng đầu tư</w:t>
      </w:r>
      <w:bookmarkEnd w:id="21"/>
    </w:p>
    <w:p w14:paraId="2CE8DF37" w14:textId="77777777" w:rsidR="005D3DB2" w:rsidRPr="005C17A3" w:rsidRDefault="00000000">
      <w:pPr>
        <w:pStyle w:val="SourceNote"/>
        <w:rPr>
          <w:sz w:val="26"/>
          <w:szCs w:val="26"/>
        </w:rPr>
      </w:pPr>
      <w:r w:rsidRPr="005C17A3">
        <w:rPr>
          <w:sz w:val="26"/>
          <w:szCs w:val="26"/>
        </w:rPr>
        <w:t>Nguồn: Thí sinh đề xuất. Ghi chú: ở mỗi cửa sổ đánh giá, đề tài tính lợi suất tương đương chắc chắn của bảy mô hình trên rổ CS và rổ H, rồi tính khoảng cách G</w:t>
      </w:r>
      <w:r w:rsidRPr="005C17A3">
        <w:rPr>
          <w:sz w:val="26"/>
          <w:szCs w:val="26"/>
          <w:vertAlign w:val="subscript"/>
        </w:rPr>
        <w:t>m</w:t>
      </w:r>
      <w:r w:rsidRPr="005C17A3">
        <w:rPr>
          <w:sz w:val="26"/>
          <w:szCs w:val="26"/>
        </w:rPr>
        <w:t>.</w:t>
      </w:r>
    </w:p>
    <w:p w14:paraId="7CC804F0" w14:textId="77777777" w:rsidR="005D3DB2" w:rsidRPr="005C17A3" w:rsidRDefault="00000000">
      <w:pPr>
        <w:pStyle w:val="Heading3"/>
      </w:pPr>
      <w:bookmarkStart w:id="22" w:name="_Toc243136581"/>
      <w:bookmarkStart w:id="23" w:name="kiểm-định-giả-thuyết"/>
      <w:bookmarkEnd w:id="20"/>
      <w:r w:rsidRPr="005C17A3">
        <w:t>4.3.7. Kiểm định giả thuyết</w:t>
      </w:r>
      <w:bookmarkEnd w:id="22"/>
    </w:p>
    <w:p w14:paraId="207261BA" w14:textId="77777777" w:rsidR="000F5DDC" w:rsidRPr="005C17A3" w:rsidRDefault="00000000">
      <w:pPr>
        <w:pStyle w:val="FirstParagraph"/>
      </w:pPr>
      <w:r w:rsidRPr="005C17A3">
        <w:t>Đề tài ước lượng tác động của việc chuyển sàn bằng khác biệt kép trên dữ liệu bảng cổ phiếu-tháng (H</w:t>
      </w:r>
      <w:r w:rsidRPr="005C17A3">
        <w:rPr>
          <w:vertAlign w:val="subscript"/>
        </w:rPr>
        <w:t>3</w:t>
      </w:r>
      <w:r w:rsidRPr="005C17A3">
        <w:t>). Với cổ phiếu i và tháng t, phương trình khác biệt kép là:</w:t>
      </w:r>
    </w:p>
    <w:p w14:paraId="5F1BDDAE" w14:textId="77777777" w:rsidR="000F5DDC" w:rsidRPr="005C17A3" w:rsidRDefault="00000000">
      <w:pPr>
        <w:pStyle w:val="Equation"/>
      </w:pPr>
      <w:r w:rsidRPr="005C17A3">
        <w:tab/>
      </w:r>
      <m:oMath>
        <m:sSub>
          <m:sSubPr>
            <m:ctrlPr>
              <w:rPr>
                <w:rFonts w:ascii="Cambria Math" w:hAnsi="Cambria Math"/>
              </w:rPr>
            </m:ctrlPr>
          </m:sSubPr>
          <m:e>
            <m:r>
              <w:rPr>
                <w:rFonts w:ascii="Cambria Math" w:hAnsi="Cambria Math"/>
              </w:rPr>
              <m:t>A</m:t>
            </m:r>
          </m:e>
          <m:sub>
            <m:r>
              <w:rPr>
                <w:rFonts w:ascii="Cambria Math" w:hAnsi="Cambria Math"/>
              </w:rPr>
              <m:t>it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m:t>
        </m:r>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m:rPr>
                <m:sty m:val="p"/>
              </m:rPr>
              <w:rPr>
                <w:rFonts w:ascii="Cambria Math" w:hAnsi="Cambria Math"/>
              </w:rPr>
              <m:t>Post</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ε</m:t>
            </m:r>
          </m:e>
          <m:sub>
            <m:r>
              <w:rPr>
                <w:rFonts w:ascii="Cambria Math" w:hAnsi="Cambria Math"/>
              </w:rPr>
              <m:t>it</m:t>
            </m:r>
          </m:sub>
        </m:sSub>
      </m:oMath>
      <w:r w:rsidRPr="005C17A3">
        <w:t xml:space="preserve"> </w:t>
      </w:r>
      <w:r w:rsidRPr="005C17A3">
        <w:tab/>
        <w:t>(5)</w:t>
      </w:r>
    </w:p>
    <w:p w14:paraId="4B14567E" w14:textId="77777777" w:rsidR="000F5DDC" w:rsidRPr="005C17A3" w:rsidRDefault="00000000">
      <w:pPr>
        <w:pStyle w:val="FirstParagraph"/>
      </w:pPr>
      <w:r w:rsidRPr="005C17A3">
        <w:t xml:space="preserve">trong đó </w:t>
      </w:r>
      <w:r w:rsidRPr="005C17A3">
        <w:rPr>
          <w:i/>
          <w:iCs/>
        </w:rPr>
        <w:t>A</w:t>
      </w:r>
      <w:r w:rsidRPr="005C17A3">
        <w:rPr>
          <w:vertAlign w:val="subscript"/>
        </w:rPr>
        <w:t>it</w:t>
      </w:r>
      <w:r w:rsidRPr="005C17A3">
        <w:t xml:space="preserve"> là logarit của độ phi thanh khoản Amihud của cổ phiếu i trong tháng t, tính trên các ngày có lợi suất tuyệt đối dưới ngưỡng chung và không liền sau một ngày có lợi suất tuyệt đối từ ngưỡng này trở lên (mục 4.3.2); </w:t>
      </w:r>
      <w:r w:rsidRPr="005C17A3">
        <w:rPr>
          <w:i/>
          <w:iCs/>
        </w:rPr>
        <w:t>D</w:t>
      </w:r>
      <w:r w:rsidRPr="005C17A3">
        <w:rPr>
          <w:vertAlign w:val="subscript"/>
        </w:rPr>
        <w:t>i</w:t>
      </w:r>
      <w:r w:rsidRPr="005C17A3">
        <w:t xml:space="preserve"> bằng 1 nếu cổ phiếu chuyển sàn, tức mọi cổ phiếu niêm yết tại HNX được chuyển sang HOSE theo lịch của VNX, không chỉ các mã của rổ CS; Post</w:t>
      </w:r>
      <w:r w:rsidRPr="005C17A3">
        <w:rPr>
          <w:vertAlign w:val="subscript"/>
        </w:rPr>
        <w:t>t</w:t>
      </w:r>
      <w:r w:rsidRPr="005C17A3">
        <w:t xml:space="preserve"> bằng 1 từ tháng 1/2027; </w:t>
      </w:r>
      <w:r w:rsidRPr="005C17A3">
        <w:rPr>
          <w:i/>
          <w:iCs/>
        </w:rPr>
        <w:t>α</w:t>
      </w:r>
      <w:r w:rsidRPr="005C17A3">
        <w:rPr>
          <w:vertAlign w:val="subscript"/>
        </w:rPr>
        <w:t>i</w:t>
      </w:r>
      <w:r w:rsidRPr="005C17A3">
        <w:t xml:space="preserve"> và </w:t>
      </w:r>
      <w:r w:rsidRPr="005C17A3">
        <w:rPr>
          <w:i/>
          <w:iCs/>
        </w:rPr>
        <w:t>τ</w:t>
      </w:r>
      <w:r w:rsidRPr="005C17A3">
        <w:rPr>
          <w:vertAlign w:val="subscript"/>
        </w:rPr>
        <w:t>t</w:t>
      </w:r>
      <w:r w:rsidRPr="005C17A3">
        <w:t xml:space="preserve"> là hiệu </w:t>
      </w:r>
      <w:r w:rsidRPr="005C17A3">
        <w:lastRenderedPageBreak/>
        <w:t xml:space="preserve">ứng cố định theo cổ phiếu và theo tháng; </w:t>
      </w:r>
      <w:r w:rsidRPr="005C17A3">
        <w:rPr>
          <w:i/>
          <w:iCs/>
        </w:rPr>
        <w:t>δ</w:t>
      </w:r>
      <w:r w:rsidRPr="005C17A3">
        <w:t xml:space="preserve"> là tác động của việc chuyển sàn; </w:t>
      </w:r>
      <w:r w:rsidRPr="005C17A3">
        <w:rPr>
          <w:i/>
          <w:iCs/>
        </w:rPr>
        <w:t>ε</w:t>
      </w:r>
      <w:r w:rsidRPr="005C17A3">
        <w:rPr>
          <w:vertAlign w:val="subscript"/>
        </w:rPr>
        <w:t>it</w:t>
      </w:r>
      <w:r w:rsidRPr="005C17A3">
        <w:t xml:space="preserve"> là sai số.</w:t>
      </w:r>
    </w:p>
    <w:p w14:paraId="66470A65" w14:textId="77777777" w:rsidR="000F5DDC" w:rsidRPr="005C17A3" w:rsidRDefault="00000000">
      <w:pPr>
        <w:pStyle w:val="BodyText"/>
      </w:pPr>
      <w:r w:rsidRPr="005C17A3">
        <w:t>Phương trình (5) được ước lượng trên giai đoạn tham chiếu (đến tháng 6/2025) và giai đoạn sau sự kiện (từ tháng 1/2027); các tháng từ 7/2025 đến 12/2026, gồm tháng chuyển sàn, chỉ được đưa vào phương trình (6). Vì giai đoạn tham chiếu dài 16 năm, cửa sổ trước của ước lượng chính bắt đầu sau điểm gãy cấu trúc cuối cùng của chuỗi chênh lệch theo tháng định nghĩa ở đoạn sau (Bai &amp; Perron, 1998), và ước lượng với cửa sổ trước 24 tháng (7/2023–6/2025) được báo cáo kèm.</w:t>
      </w:r>
    </w:p>
    <w:p w14:paraId="4E66B0BD" w14:textId="77777777" w:rsidR="000F5DDC" w:rsidRPr="005C17A3" w:rsidRDefault="00000000">
      <w:pPr>
        <w:pStyle w:val="FirstParagraph"/>
      </w:pPr>
      <w:r w:rsidRPr="005C17A3">
        <w:t>Nhóm đối chứng chính gồm cổ phiếu HOSE ghép láng giềng gần nhất theo vốn hóa, ngành và độ phi thanh khoản tại ngày 30/6/2025, có hoàn lại, trong vùng hỗ trợ chung. Vì ghép theo độ phi thanh khoản có thể tạo hồi quy về trung bình, kết quả khi chỉ ghép theo vốn hóa và ngành được báo cáo thêm (Daw &amp; Hatfield, 2018). Nhóm đối chứng phụ gồm cổ phiếu UPCoM trong thời gian thị trường này còn do HNX vận hành.</w:t>
      </w:r>
    </w:p>
    <w:p w14:paraId="549719A7" w14:textId="77777777" w:rsidR="000F5DDC" w:rsidRPr="005C17A3" w:rsidRDefault="00000000">
      <w:pPr>
        <w:pStyle w:val="FirstParagraph"/>
      </w:pPr>
      <w:r w:rsidRPr="005C17A3">
        <w:t>Vì mọi cổ phiếu chuyển sàn cùng một ngày, suy luận chính dựa trên chuỗi d</w:t>
      </w:r>
      <w:r w:rsidRPr="005C17A3">
        <w:rPr>
          <w:vertAlign w:val="subscript"/>
        </w:rPr>
        <w:t>t</w:t>
      </w:r>
      <w:r w:rsidRPr="005C17A3">
        <w:t>, là chênh lệch trung bình logarit Amihud giữa cổ phiếu chuyển sàn và cổ phiếu đối chứng ghép cặp trong tháng t. Thống kê kiểm định là trung bình của d</w:t>
      </w:r>
      <w:r w:rsidRPr="005C17A3">
        <w:rPr>
          <w:vertAlign w:val="subscript"/>
        </w:rPr>
        <w:t>t</w:t>
      </w:r>
      <w:r w:rsidRPr="005C17A3">
        <w:t xml:space="preserve"> sau sự kiện trừ trung bình trong cửa sổ trước. Giá trị p chính được tính bằng bootstrap tự hồi quy trên d</w:t>
      </w:r>
      <w:r w:rsidRPr="005C17A3">
        <w:rPr>
          <w:vertAlign w:val="subscript"/>
        </w:rPr>
        <w:t>t</w:t>
      </w:r>
      <w:r w:rsidRPr="005C17A3">
        <w:t>, với mô hình tự hồi quy ước lượng trên giai đoạn tham chiếu, hệ số được hiệu chỉnh độ chệch, và kích thước kiểm định được kiểm tra bằng mô phỏng trước ngày đăng ký.</w:t>
      </w:r>
    </w:p>
    <w:p w14:paraId="43BFF116" w14:textId="77777777" w:rsidR="000F5DDC" w:rsidRPr="005C17A3" w:rsidRDefault="00000000">
      <w:pPr>
        <w:pStyle w:val="FirstParagraph"/>
      </w:pPr>
      <w:r w:rsidRPr="005C17A3">
        <w:t>Suy luận trên các ngày sự kiện giả định trong giai đoạn tham chiếu, theo tinh thần của Conley và Taber (2011), chỉ là kiểm tra bổ sung: các cửa sổ giả chồng lấn nhau, chỉ tạo khoảng sáu cửa sổ độc lập, và mô phỏng sơ bộ của thí sinh cho thấy kiểm định này bác bỏ giả thuyết gốc với tần suất cao hơn đáng kể so với mức danh nghĩa. H</w:t>
      </w:r>
      <w:r w:rsidRPr="005C17A3">
        <w:rPr>
          <w:vertAlign w:val="subscript"/>
        </w:rPr>
        <w:t>3</w:t>
      </w:r>
      <w:r w:rsidRPr="005C17A3">
        <w:t xml:space="preserve"> được ủng hộ khi δ âm và giá trị p bootstrap tự hồi quy nhỏ hơn ngưỡng Holm tương ứng.</w:t>
      </w:r>
    </w:p>
    <w:p w14:paraId="3590B588" w14:textId="77777777" w:rsidR="000F5DDC" w:rsidRPr="005C17A3" w:rsidRDefault="00000000">
      <w:pPr>
        <w:pStyle w:val="BodyText"/>
      </w:pPr>
      <w:r w:rsidRPr="005C17A3">
        <w:t>Phiên bản nghiên cứu sự kiện kiểm tra xu hướng song song và phản ứng trong giai đoạn chuyển tiếp:</w:t>
      </w:r>
    </w:p>
    <w:p w14:paraId="0B90E266" w14:textId="77777777" w:rsidR="000F5DDC" w:rsidRPr="005C17A3" w:rsidRDefault="00000000">
      <w:pPr>
        <w:pStyle w:val="Equation"/>
      </w:pPr>
      <w:r w:rsidRPr="005C17A3">
        <w:tab/>
      </w:r>
      <m:oMath>
        <m:sSub>
          <m:sSubPr>
            <m:ctrlPr>
              <w:rPr>
                <w:rFonts w:ascii="Cambria Math" w:hAnsi="Cambria Math"/>
              </w:rPr>
            </m:ctrlPr>
          </m:sSubPr>
          <m:e>
            <m:r>
              <w:rPr>
                <w:rFonts w:ascii="Cambria Math" w:hAnsi="Cambria Math"/>
              </w:rPr>
              <m:t>A</m:t>
            </m:r>
          </m:e>
          <m:sub>
            <m:r>
              <w:rPr>
                <w:rFonts w:ascii="Cambria Math" w:hAnsi="Cambria Math"/>
              </w:rPr>
              <m:t>it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δ</m:t>
                </m:r>
              </m:e>
              <m:sub>
                <m:r>
                  <w:rPr>
                    <w:rFonts w:ascii="Cambria Math" w:hAnsi="Cambria Math"/>
                  </w:rPr>
                  <m:t>k</m:t>
                </m:r>
              </m:sub>
            </m:sSub>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kt</m:t>
                </m:r>
              </m:sub>
            </m:sSub>
          </m:e>
        </m:nary>
        <m:r>
          <m:rPr>
            <m:sty m:val="p"/>
          </m:rPr>
          <w:rPr>
            <w:rFonts w:ascii="Cambria Math" w:hAnsi="Cambria Math"/>
          </w:rPr>
          <m:t xml:space="preserve"> + </m:t>
        </m:r>
        <m:sSub>
          <m:sSubPr>
            <m:ctrlPr>
              <w:rPr>
                <w:rFonts w:ascii="Cambria Math" w:hAnsi="Cambria Math"/>
              </w:rPr>
            </m:ctrlPr>
          </m:sSubPr>
          <m:e>
            <m:r>
              <w:rPr>
                <w:rFonts w:ascii="Cambria Math" w:hAnsi="Cambria Math"/>
              </w:rPr>
              <m:t>ε</m:t>
            </m:r>
          </m:e>
          <m:sub>
            <m:r>
              <w:rPr>
                <w:rFonts w:ascii="Cambria Math" w:hAnsi="Cambria Math"/>
              </w:rPr>
              <m:t>it</m:t>
            </m:r>
          </m:sub>
        </m:sSub>
      </m:oMath>
      <w:r w:rsidRPr="005C17A3">
        <w:t xml:space="preserve"> </w:t>
      </w:r>
      <w:r w:rsidRPr="005C17A3">
        <w:tab/>
        <w:t>(6)</w:t>
      </w:r>
    </w:p>
    <w:p w14:paraId="504A1B2D" w14:textId="77777777" w:rsidR="000F5DDC" w:rsidRPr="005C17A3" w:rsidRDefault="00000000">
      <w:pPr>
        <w:pStyle w:val="FirstParagraph"/>
      </w:pPr>
      <w:r w:rsidRPr="005C17A3">
        <w:t xml:space="preserve">trong đó </w:t>
      </w:r>
      <w:r w:rsidRPr="005C17A3">
        <w:rPr>
          <w:i/>
          <w:iCs/>
        </w:rPr>
        <w:t>T</w:t>
      </w:r>
      <w:r w:rsidRPr="005C17A3">
        <w:rPr>
          <w:vertAlign w:val="subscript"/>
        </w:rPr>
        <w:t>kt</w:t>
      </w:r>
      <w:r w:rsidRPr="005C17A3">
        <w:t xml:space="preserve"> bằng 1 nếu tháng t là tháng k, với k chạy từ tháng 1/2024 đến tháng 12/2028 và bỏ tháng 6/2025 làm tháng gốc; các tháng trước 1/2024 được gộp thành </w:t>
      </w:r>
      <w:r w:rsidRPr="005C17A3">
        <w:lastRenderedPageBreak/>
        <w:t xml:space="preserve">một nhóm. Các hệ số </w:t>
      </w:r>
      <w:r w:rsidRPr="005C17A3">
        <w:rPr>
          <w:i/>
          <w:iCs/>
        </w:rPr>
        <w:t>δ</w:t>
      </w:r>
      <w:r w:rsidRPr="005C17A3">
        <w:rPr>
          <w:vertAlign w:val="subscript"/>
        </w:rPr>
        <w:t>k</w:t>
      </w:r>
      <w:r w:rsidRPr="005C17A3">
        <w:t xml:space="preserve"> trong giai đoạn chuyển tiếp cho biết phản ứng trước sự kiện. Đề tài kiểm định đồng thời giả thuyết các hệ số </w:t>
      </w:r>
      <w:r w:rsidRPr="005C17A3">
        <w:rPr>
          <w:i/>
          <w:iCs/>
        </w:rPr>
        <w:t>δ</w:t>
      </w:r>
      <w:r w:rsidRPr="005C17A3">
        <w:rPr>
          <w:vertAlign w:val="subscript"/>
        </w:rPr>
        <w:t>k</w:t>
      </w:r>
      <w:r w:rsidRPr="005C17A3">
        <w:t xml:space="preserve"> từ tháng 1/2024 đến tháng 5/2025 bằng 0. Độ nhạy của kết luận trước các vi phạm xu hướng song song được đánh giá theo Rambachan và Roth (2023). Vì giữa tháng gốc và giai đoạn sau có 18 tháng chuyển tiếp, khoảng tin cậy theo cách này có thể rất rộng.</w:t>
      </w:r>
    </w:p>
    <w:p w14:paraId="4601690F" w14:textId="77777777" w:rsidR="000F5DDC" w:rsidRPr="005C17A3" w:rsidRDefault="00000000">
      <w:pPr>
        <w:pStyle w:val="FirstParagraph"/>
      </w:pPr>
      <w:r w:rsidRPr="005C17A3">
        <w:t>Việc chuyển sàn đổi nhiều quy tắc cùng lúc, trong đó ba quy tắc tác động mạnh yếu khác nhau tùy cổ phiếu: biên độ hẹp lại chỉ ràng buộc mã thường có lợi suất ngày lớn; bước giá nhỏ đi chủ yếu ở mã giá thấp; việc vào VN-Index và các chỉ số khác của HOSE tạo áp lực cầu lớn hơn ở mã có vốn hóa lớn so với giá trị giao dịch (mục 4.3.8).</w:t>
      </w:r>
    </w:p>
    <w:p w14:paraId="3F284AE0" w14:textId="77777777" w:rsidR="000F5DDC" w:rsidRPr="005C17A3" w:rsidRDefault="00000000">
      <w:pPr>
        <w:pStyle w:val="BodyText"/>
      </w:pPr>
      <w:r w:rsidRPr="005C17A3">
        <w:t>Ba mức chịu cú sốc tương ứng được đo bằng dữ liệu đến ngày 30/6/2025: tỷ lệ ngày có lợi suất tuyệt đối từ 7% đến dưới 10%; nghịch đảo của giá đóng cửa bình quân; và tỷ số giữa vốn hóa toàn phần và giá trị giao dịch bình quân ngày, vì VN-Index không điều chỉnh tỷ lệ tự do chuyển nhượng (Sở Giao dịch Chứng khoán Thành phố Hồ Chí Minh, 2026).</w:t>
      </w:r>
    </w:p>
    <w:p w14:paraId="07CD58D5" w14:textId="77777777" w:rsidR="000F5DDC" w:rsidRPr="005C17A3" w:rsidRDefault="00000000">
      <w:pPr>
        <w:pStyle w:val="FirstParagraph"/>
      </w:pPr>
      <w:r w:rsidRPr="005C17A3">
        <w:t>Bộ quy tắc của FTSE Russell coi cả HOSE và HNX là sàn đủ điều kiện ở Việt Nam (FTSE Russell, 2026a), nên việc đổi sàn tự nó không thay đổi tư cách được sàng lọc của một mã và không được coi là một kênh tác động qua chỉ số FTSE. Danh sách cổ phiếu đủ điều kiện, lập với dữ liệu đến ngày 30/6/2026, chỉ gồm mã niêm yết tại HOSE (FTSE Russell, 2026b) và được dùng để loại mã khỏi nhóm đối chứng; nếu mã chuyển sàn nào được đưa vào chỉ số ở các kỳ sau, δ được ước lượng thêm khi loại các mã này.</w:t>
      </w:r>
    </w:p>
    <w:p w14:paraId="6BD5949B" w14:textId="77777777" w:rsidR="000F5DDC" w:rsidRPr="005C17A3" w:rsidRDefault="00000000">
      <w:pPr>
        <w:pStyle w:val="FirstParagraph"/>
      </w:pPr>
      <w:r w:rsidRPr="005C17A3">
        <w:t xml:space="preserve">Phương trình (5) được mở rộng bằng các số hạng </w:t>
      </w:r>
      <w:r w:rsidRPr="005C17A3">
        <w:rPr>
          <w:i/>
          <w:iCs/>
        </w:rPr>
        <w:t>D</w:t>
      </w:r>
      <w:r w:rsidRPr="005C17A3">
        <w:rPr>
          <w:vertAlign w:val="subscript"/>
        </w:rPr>
        <w:t>i</w:t>
      </w:r>
      <w:r w:rsidRPr="005C17A3">
        <w:t>Post</w:t>
      </w:r>
      <w:r w:rsidRPr="005C17A3">
        <w:rPr>
          <w:vertAlign w:val="subscript"/>
        </w:rPr>
        <w:t>t</w:t>
      </w:r>
      <w:r w:rsidRPr="005C17A3">
        <w:rPr>
          <w:i/>
          <w:iCs/>
        </w:rPr>
        <w:t>E</w:t>
      </w:r>
      <w:r w:rsidRPr="005C17A3">
        <w:rPr>
          <w:vertAlign w:val="subscript"/>
        </w:rPr>
        <w:t>si</w:t>
      </w:r>
      <w:r w:rsidRPr="005C17A3">
        <w:t xml:space="preserve">, trong đó </w:t>
      </w:r>
      <w:r w:rsidRPr="005C17A3">
        <w:rPr>
          <w:i/>
          <w:iCs/>
        </w:rPr>
        <w:t>E</w:t>
      </w:r>
      <w:r w:rsidRPr="005C17A3">
        <w:rPr>
          <w:vertAlign w:val="subscript"/>
        </w:rPr>
        <w:t>si</w:t>
      </w:r>
      <w:r w:rsidRPr="005C17A3">
        <w:t xml:space="preserve"> là mức chịu cú sốc s của cổ phiếu i, trừ trung bình và chia cho độ lệch chuẩn giữa các mã chuyển sàn, nên </w:t>
      </w:r>
      <w:r w:rsidRPr="005C17A3">
        <w:rPr>
          <w:i/>
          <w:iCs/>
        </w:rPr>
        <w:t>δ</w:t>
      </w:r>
      <w:r w:rsidRPr="005C17A3">
        <w:t xml:space="preserve"> là tác động tại mức chịu cú sốc trung bình. Các số hạng </w:t>
      </w:r>
      <w:r w:rsidRPr="005C17A3">
        <w:rPr>
          <w:i/>
          <w:iCs/>
        </w:rPr>
        <w:t>E</w:t>
      </w:r>
      <w:r w:rsidRPr="005C17A3">
        <w:rPr>
          <w:vertAlign w:val="subscript"/>
        </w:rPr>
        <w:t>si</w:t>
      </w:r>
      <w:r w:rsidRPr="005C17A3">
        <w:rPr>
          <w:i/>
          <w:iCs/>
        </w:rPr>
        <w:t>τ</w:t>
      </w:r>
      <w:r w:rsidRPr="005C17A3">
        <w:rPr>
          <w:vertAlign w:val="subscript"/>
        </w:rPr>
        <w:t>t</w:t>
      </w:r>
      <w:r w:rsidRPr="005C17A3">
        <w:t xml:space="preserve"> cho mỗi mức chịu cú sốc một hiệu ứng theo tháng riêng, ước lượng trên mã đối chứng đo được cùng thước đo: mã UPCoM với biên độ, mã HOSE với bước giá và chỉ số. Nếu cổ phiếu UPCoM chuyển sang HOSE trước hoặc trong cửa sổ sau (mục 4.3.10), mức chịu cú sốc biên độ của mọi mã được đo bằng tỷ lệ ngày có lợi suất tuyệt đối từ ngưỡng chung trở lên và hiệu ứng theo tháng tương ứng được ước lượng trên mã HOSE đối chứng; thước đo này chỉ đại diện gần đúng cho mức chịu ràng buộc của biên độ.</w:t>
      </w:r>
    </w:p>
    <w:p w14:paraId="7BB2E51B" w14:textId="77777777" w:rsidR="000F5DDC" w:rsidRPr="005C17A3" w:rsidRDefault="00000000">
      <w:pPr>
        <w:pStyle w:val="BodyText"/>
      </w:pPr>
      <w:r w:rsidRPr="005C17A3">
        <w:lastRenderedPageBreak/>
        <w:t>Giả định nhận dạng là: nếu không chuyển sàn, chênh lệch thanh khoản giữa mã chịu cú sốc mạnh và mã chịu cú sốc yếu trong nhóm chuyển sàn sẽ biến động như ở nhóm đối chứng; giả định này được kiểm tra bằng các hệ số trước sự kiện. Vì các mức chịu cú sốc có thể tương quan với nhau và với quy mô, hệ số tương tác không đo riêng tác động của từng quy tắc; mô hình có thêm tương tác với quy mô và với logarit Amihud ban đầu.</w:t>
      </w:r>
    </w:p>
    <w:p w14:paraId="190C451B" w14:textId="77777777" w:rsidR="000F5DDC" w:rsidRPr="005C17A3" w:rsidRDefault="00000000">
      <w:pPr>
        <w:pStyle w:val="FirstParagraph"/>
      </w:pPr>
      <w:r w:rsidRPr="005C17A3">
        <w:t>Mỗi hệ số tương tác được suy luận như δ, vì sai số chuẩn phân cụm theo cổ phiếu bác bỏ quá thường xuyên khi cú sốc chung theo tháng tác động mạnh hơn lên mã chịu cú sốc mạnh: với từng tháng, đề tài lấy hệ số góc của logarit Amihud theo mức chịu cú sốc ở mã chuyển sàn trừ hệ số góc ở mã đối chứng, rồi áp dụng bootstrap tự hồi quy cho chuỗi này. Các hệ số tương tác, kể cả theo trụ sở, là phân tích phụ đăng ký trước, không đưa vào thủ tục Holm.</w:t>
      </w:r>
    </w:p>
    <w:p w14:paraId="06C3DFE0" w14:textId="77777777" w:rsidR="000F5DDC" w:rsidRPr="005C17A3" w:rsidRDefault="00000000">
      <w:pPr>
        <w:pStyle w:val="FirstParagraph"/>
      </w:pPr>
      <w:r w:rsidRPr="005C17A3">
        <w:t>Phân tích theo trụ sở kiểm tra xem việc chuyển sàn có tác động khác nhau đến doanh nghiệp có trụ sở tại Hà Nội và doanh nghiệp ở nơi khác hay không. Văn liệu cho thấy nhà quản lý quỹ ưa nắm giữ cổ phiếu của doanh nghiệp có trụ sở gần mình (Coval &amp; Moskowitz, 1999) và thanh khoản của cổ phiếu phụ thuộc vào vị trí trụ sở (Loughran &amp; Schultz, 2005), nhưng hai bài này nói về khoảng cách giữa nhà đầu tư và doanh nghiệp, không nói về vị trí của sàn. Kênh mà đề tài kiểm tra là sự chú ý và thông tin gắn với nơi đặt sàn: nếu kênh này có thật, cổ phiếu của doanh nghiệp có trụ sở tại Hà Nội được lợi ít hơn khi chuyển sang HOSE.</w:t>
      </w:r>
    </w:p>
    <w:p w14:paraId="2370374B" w14:textId="77777777" w:rsidR="000F5DDC" w:rsidRPr="005C17A3" w:rsidRDefault="00000000">
      <w:pPr>
        <w:pStyle w:val="FirstParagraph"/>
      </w:pPr>
      <w:r w:rsidRPr="005C17A3">
        <w:t xml:space="preserve">Chênh lệch này được ước lượng bằng tương tác giữa </w:t>
      </w:r>
      <w:r w:rsidRPr="005C17A3">
        <w:rPr>
          <w:i/>
          <w:iCs/>
        </w:rPr>
        <w:t>D</w:t>
      </w:r>
      <w:r w:rsidRPr="005C17A3">
        <w:rPr>
          <w:vertAlign w:val="subscript"/>
        </w:rPr>
        <w:t>i</w:t>
      </w:r>
      <w:r w:rsidRPr="005C17A3">
        <w:t>Post</w:t>
      </w:r>
      <w:r w:rsidRPr="005C17A3">
        <w:rPr>
          <w:vertAlign w:val="subscript"/>
        </w:rPr>
        <w:t>t</w:t>
      </w:r>
      <w:r w:rsidRPr="005C17A3">
        <w:t xml:space="preserve"> và biến giả trụ sở tại Hà Nội, xác định theo địa chỉ đăng ký tại ngày 30/6/2025, kèm tích của biến giả này với hiệu ứng cố định theo tháng (ước lượng trên các mã HOSE đối chứng có trụ sở tại Hà Nội) và tương tác với quy mô và ngành.</w:t>
      </w:r>
    </w:p>
    <w:p w14:paraId="23060473" w14:textId="77777777" w:rsidR="000F5DDC" w:rsidRPr="005C17A3" w:rsidRDefault="00000000">
      <w:pPr>
        <w:pStyle w:val="FirstParagraph"/>
      </w:pPr>
      <w:r w:rsidRPr="005C17A3">
        <w:t>Chênh lệch theo trụ sở là ước lượng khác biệt của tác động trong cùng một thiết kế, không phải tác động nhân quả của vị trí trụ sở, và không đo lượng thanh khoản mà thị trường vốn Hà Nội mất, vì mọi mã đều chuyển sang HOSE. Khoảng tin cậy hẹp quanh 0 sẽ không ủng hộ vai trò của vị trí sàn khi giao dịch đã điện tử hóa toàn quốc.</w:t>
      </w:r>
    </w:p>
    <w:p w14:paraId="38E57F34" w14:textId="77777777" w:rsidR="000F5DDC" w:rsidRPr="005C17A3" w:rsidRDefault="00000000">
      <w:pPr>
        <w:pStyle w:val="FirstParagraph"/>
      </w:pPr>
      <w:r w:rsidRPr="005C17A3">
        <w:t>H</w:t>
      </w:r>
      <w:r w:rsidRPr="005C17A3">
        <w:rPr>
          <w:vertAlign w:val="subscript"/>
        </w:rPr>
        <w:t>4</w:t>
      </w:r>
      <w:r w:rsidRPr="005C17A3">
        <w:t xml:space="preserve"> được báo cáo bằng chênh lệch của chỉ số khả năng đầu tư bình quân giữa giai đoạn sau sự kiện và giai đoạn tham chiếu, kèm khoảng tin cậy bootstrap khối dừng trên chuỗi lợi suất tuần của hai rổ, được lấy mẫu lại đồng thời, và số mô hình </w:t>
      </w:r>
      <w:r w:rsidRPr="005C17A3">
        <w:lastRenderedPageBreak/>
        <w:t>có cùng dấu. Chênh lệch tỷ số Sharpe, một thước đo phụ, được kiểm định theo Ledoit và Wolf (2008).</w:t>
      </w:r>
    </w:p>
    <w:p w14:paraId="574DB60C" w14:textId="77777777" w:rsidR="000F5DDC" w:rsidRPr="005C17A3" w:rsidRDefault="00000000">
      <w:pPr>
        <w:pStyle w:val="FirstParagraph"/>
      </w:pPr>
      <w:r w:rsidRPr="005C17A3">
        <w:t>Đề tài kiểm định H</w:t>
      </w:r>
      <w:r w:rsidRPr="005C17A3">
        <w:rPr>
          <w:vertAlign w:val="subscript"/>
        </w:rPr>
        <w:t>1</w:t>
      </w:r>
      <w:r w:rsidRPr="005C17A3">
        <w:t xml:space="preserve"> trên dữ liệu bảng của các trung tâm tài chính, dựa trên cách tiếp cận dữ liệu bảng của Naeem (2023), nhưng dùng điểm GFCI chuẩn hóa theo kỳ thay cho thứ hạng. Với trung tâm i và kỳ công bố t, phương trình ước lượng là:</w:t>
      </w:r>
    </w:p>
    <w:p w14:paraId="5B4DC120" w14:textId="77777777" w:rsidR="000F5DDC" w:rsidRPr="005C17A3" w:rsidRDefault="00000000">
      <w:pPr>
        <w:pStyle w:val="Equation"/>
      </w:pPr>
      <w:r w:rsidRPr="005C17A3">
        <w:tab/>
      </w:r>
      <m:oMath>
        <m:sSub>
          <m:sSubPr>
            <m:ctrlPr>
              <w:rPr>
                <w:rFonts w:ascii="Cambria Math" w:hAnsi="Cambria Math"/>
              </w:rPr>
            </m:ctrlPr>
          </m:sSubPr>
          <m:e>
            <m:r>
              <w:rPr>
                <w:rFonts w:ascii="Cambria Math" w:hAnsi="Cambria Math"/>
              </w:rPr>
              <m:t>Z</m:t>
            </m:r>
          </m:e>
          <m:sub>
            <m:r>
              <w:rPr>
                <w:rFonts w:ascii="Cambria Math" w:hAnsi="Cambria Math"/>
              </w:rPr>
              <m:t>it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m:t>
        </m:r>
        <m:r>
          <w:rPr>
            <w:rFonts w:ascii="Cambria Math" w:hAnsi="Cambria Math"/>
          </w:rPr>
          <m:t>β</m:t>
        </m:r>
        <m:sSub>
          <m:sSubPr>
            <m:ctrlPr>
              <w:rPr>
                <w:rFonts w:ascii="Cambria Math" w:hAnsi="Cambria Math"/>
              </w:rPr>
            </m:ctrlPr>
          </m:sSubPr>
          <m:e>
            <m:r>
              <m:rPr>
                <m:sty m:val="p"/>
              </m:rPr>
              <w:rPr>
                <w:rFonts w:ascii="Cambria Math" w:hAnsi="Cambria Math"/>
              </w:rPr>
              <m:t>SMD</m:t>
            </m:r>
          </m:e>
          <m:sub>
            <m:r>
              <w:rPr>
                <w:rFonts w:ascii="Cambria Math" w:hAnsi="Cambria Math"/>
              </w:rPr>
              <m:t>it</m:t>
            </m:r>
          </m:sub>
        </m:sSub>
        <m:r>
          <m:rPr>
            <m:sty m:val="p"/>
          </m:rPr>
          <w:rPr>
            <w:rFonts w:ascii="Cambria Math" w:hAnsi="Cambria Math"/>
          </w:rPr>
          <m:t xml:space="preserve"> + </m:t>
        </m:r>
        <m:r>
          <w:rPr>
            <w:rFonts w:ascii="Cambria Math" w:hAnsi="Cambria Math"/>
          </w:rPr>
          <m:t>λ</m:t>
        </m:r>
        <m:sSub>
          <m:sSubPr>
            <m:ctrlPr>
              <w:rPr>
                <w:rFonts w:ascii="Cambria Math" w:hAnsi="Cambria Math"/>
              </w:rPr>
            </m:ctrlPr>
          </m:sSubPr>
          <m:e>
            <m:r>
              <w:rPr>
                <w:rFonts w:ascii="Cambria Math" w:hAnsi="Cambria Math"/>
              </w:rPr>
              <m:t>W</m:t>
            </m:r>
          </m:e>
          <m:sub>
            <m:r>
              <w:rPr>
                <w:rFonts w:ascii="Cambria Math" w:hAnsi="Cambria Math"/>
              </w:rPr>
              <m:t>it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ε</m:t>
            </m:r>
          </m:e>
          <m:sub>
            <m:r>
              <w:rPr>
                <w:rFonts w:ascii="Cambria Math" w:hAnsi="Cambria Math"/>
              </w:rPr>
              <m:t>it</m:t>
            </m:r>
          </m:sub>
        </m:sSub>
      </m:oMath>
      <w:r w:rsidRPr="005C17A3">
        <w:t xml:space="preserve"> </w:t>
      </w:r>
      <w:r w:rsidRPr="005C17A3">
        <w:tab/>
        <w:t>(7)</w:t>
      </w:r>
    </w:p>
    <w:p w14:paraId="50F6CF80" w14:textId="77777777" w:rsidR="000F5DDC" w:rsidRPr="005C17A3" w:rsidRDefault="00000000">
      <w:pPr>
        <w:pStyle w:val="FirstParagraph"/>
      </w:pPr>
      <w:r w:rsidRPr="005C17A3">
        <w:t xml:space="preserve">trong đó </w:t>
      </w:r>
      <w:r w:rsidRPr="005C17A3">
        <w:rPr>
          <w:i/>
          <w:iCs/>
        </w:rPr>
        <w:t>Z</w:t>
      </w:r>
      <w:r w:rsidRPr="005C17A3">
        <w:rPr>
          <w:vertAlign w:val="subscript"/>
        </w:rPr>
        <w:t>it</w:t>
      </w:r>
      <w:r w:rsidRPr="005C17A3">
        <w:t xml:space="preserve"> là điểm GFCI của trung tâm i ở kỳ t, chuẩn hóa thành điểm z trong từng kỳ vì điểm GFCI được ước lượng lại mỗi kỳ và số trung tâm thay đổi giữa các kỳ. SMD</w:t>
      </w:r>
      <w:r w:rsidRPr="005C17A3">
        <w:rPr>
          <w:vertAlign w:val="subscript"/>
        </w:rPr>
        <w:t>it</w:t>
      </w:r>
      <w:r w:rsidRPr="005C17A3">
        <w:t xml:space="preserve"> là chỉ báo phát triển thị trường cổ phiếu, gộp từ tỷ lệ vòng quay và vốn hóa trên GDP (Čihák và cộng sự, 2012), còn </w:t>
      </w:r>
      <w:r w:rsidRPr="005C17A3">
        <w:rPr>
          <w:i/>
          <w:iCs/>
        </w:rPr>
        <w:t>W</w:t>
      </w:r>
      <w:r w:rsidRPr="005C17A3">
        <w:rPr>
          <w:vertAlign w:val="subscript"/>
        </w:rPr>
        <w:t>it</w:t>
      </w:r>
      <w:r w:rsidRPr="005C17A3">
        <w:t xml:space="preserve"> gồm thu nhập bình quân đầu người và chỉ số quản trị nhà nước (Kaufmann và cộng sự, 2011); cả hai được đo ở quốc gia chứa trung tâm i, trong năm liền trước kỳ t. </w:t>
      </w:r>
      <w:r w:rsidRPr="005C17A3">
        <w:rPr>
          <w:i/>
          <w:iCs/>
        </w:rPr>
        <w:t>λ</w:t>
      </w:r>
      <w:r w:rsidRPr="005C17A3">
        <w:t xml:space="preserve"> là véc-tơ hệ số của </w:t>
      </w:r>
      <w:r w:rsidRPr="005C17A3">
        <w:rPr>
          <w:i/>
          <w:iCs/>
        </w:rPr>
        <w:t>W</w:t>
      </w:r>
      <w:r w:rsidRPr="005C17A3">
        <w:rPr>
          <w:vertAlign w:val="subscript"/>
        </w:rPr>
        <w:t>it</w:t>
      </w:r>
      <w:r w:rsidRPr="005C17A3">
        <w:t xml:space="preserve">; </w:t>
      </w:r>
      <w:r w:rsidRPr="005C17A3">
        <w:rPr>
          <w:i/>
          <w:iCs/>
        </w:rPr>
        <w:t>α</w:t>
      </w:r>
      <w:r w:rsidRPr="005C17A3">
        <w:rPr>
          <w:vertAlign w:val="subscript"/>
        </w:rPr>
        <w:t>i</w:t>
      </w:r>
      <w:r w:rsidRPr="005C17A3">
        <w:t xml:space="preserve"> và </w:t>
      </w:r>
      <w:r w:rsidRPr="005C17A3">
        <w:rPr>
          <w:i/>
          <w:iCs/>
        </w:rPr>
        <w:t>τ</w:t>
      </w:r>
      <w:r w:rsidRPr="005C17A3">
        <w:rPr>
          <w:vertAlign w:val="subscript"/>
        </w:rPr>
        <w:t>t</w:t>
      </w:r>
      <w:r w:rsidRPr="005C17A3">
        <w:t xml:space="preserve"> là hiệu ứng cố định theo trung tâm và theo kỳ; </w:t>
      </w:r>
      <w:r w:rsidRPr="005C17A3">
        <w:rPr>
          <w:i/>
          <w:iCs/>
        </w:rPr>
        <w:t>ε</w:t>
      </w:r>
      <w:r w:rsidRPr="005C17A3">
        <w:rPr>
          <w:vertAlign w:val="subscript"/>
        </w:rPr>
        <w:t>it</w:t>
      </w:r>
      <w:r w:rsidRPr="005C17A3">
        <w:t xml:space="preserve"> là sai số. Nếu Cơ sở dữ liệu Phát triển Tài chính Toàn cầu không phủ các năm sau 2021, đề tài dùng số liệu của Liên đoàn các Sở Giao dịch Thế giới, sau khi kiểm tra độ phủ và điều khoản sử dụng.</w:t>
      </w:r>
    </w:p>
    <w:p w14:paraId="27834A67" w14:textId="77777777" w:rsidR="000F5DDC" w:rsidRPr="005C17A3" w:rsidRDefault="00000000">
      <w:pPr>
        <w:pStyle w:val="FirstParagraph"/>
      </w:pPr>
      <w:r w:rsidRPr="005C17A3">
        <w:t xml:space="preserve">Sai số chuẩn được phân cụm theo quốc gia. Vì mô hình có hiệu ứng cố định theo trung tâm, </w:t>
      </w:r>
      <w:r w:rsidRPr="005C17A3">
        <w:rPr>
          <w:i/>
          <w:iCs/>
        </w:rPr>
        <w:t>β</w:t>
      </w:r>
      <w:r w:rsidRPr="005C17A3">
        <w:t xml:space="preserve"> được xác định từ biến thiên theo thời gian trong từng quốc gia, và biến thiên này nhỏ vì SMD thay đổi chậm; đề tài báo cáo thêm ước lượng không có hiệu ứng cố định theo trung tâm. Điểm GFCI đã chứa vốn hóa, giá trị và khối lượng giao dịch cổ phiếu từ Liên đoàn các Sở Giao dịch Thế giới (3 trong 144 nhân tố của kỳ GFCI 40; Wardle &amp; Mainelli, 2026), và trung tâm mạnh có thể kéo theo giao dịch cổ phiếu, nên </w:t>
      </w:r>
      <w:r w:rsidRPr="005C17A3">
        <w:rPr>
          <w:i/>
          <w:iCs/>
        </w:rPr>
        <w:t>β</w:t>
      </w:r>
      <w:r w:rsidRPr="005C17A3">
        <w:t xml:space="preserve"> được gọi là liên hệ có điều kiện. H</w:t>
      </w:r>
      <w:r w:rsidRPr="005C17A3">
        <w:rPr>
          <w:vertAlign w:val="subscript"/>
        </w:rPr>
        <w:t>1</w:t>
      </w:r>
      <w:r w:rsidRPr="005C17A3">
        <w:t xml:space="preserve"> được ủng hộ khi </w:t>
      </w:r>
      <w:r w:rsidRPr="005C17A3">
        <w:rPr>
          <w:i/>
          <w:iCs/>
        </w:rPr>
        <w:t>β</w:t>
      </w:r>
      <w:r w:rsidRPr="005C17A3">
        <w:t xml:space="preserve"> dương với giá trị p nhỏ hơn ngưỡng Holm tương ứng.</w:t>
      </w:r>
    </w:p>
    <w:p w14:paraId="72CA1048" w14:textId="77777777" w:rsidR="005D3DB2" w:rsidRPr="005C17A3" w:rsidRDefault="00000000">
      <w:pPr>
        <w:pStyle w:val="Heading3"/>
      </w:pPr>
      <w:bookmarkStart w:id="24" w:name="_Toc243136582"/>
      <w:bookmarkStart w:id="25" w:name="cơ-chế-giảm-thiểu"/>
      <w:bookmarkEnd w:id="23"/>
      <w:r w:rsidRPr="005C17A3">
        <w:t>4.3.8. Thiết kế khác biệt kép quanh ngày chuyển sàn</w:t>
      </w:r>
      <w:bookmarkEnd w:id="24"/>
    </w:p>
    <w:p w14:paraId="4CDF8335" w14:textId="77777777" w:rsidR="005D3DB2" w:rsidRPr="005C17A3" w:rsidRDefault="00000000">
      <w:pPr>
        <w:pStyle w:val="FirstParagraph"/>
      </w:pPr>
      <w:r w:rsidRPr="005C17A3">
        <w:t>Đề tài kiểm tra ba giả định của thiết kế khác biệt kép. Thứ nhất là xu hướng song song, được kiểm tra bằng các hệ số trước sự kiện của phương trình (6).</w:t>
      </w:r>
    </w:p>
    <w:p w14:paraId="35B9550E" w14:textId="77777777" w:rsidR="005D3DB2" w:rsidRPr="005C17A3" w:rsidRDefault="00000000">
      <w:pPr>
        <w:pStyle w:val="FirstParagraph"/>
      </w:pPr>
      <w:r w:rsidRPr="005C17A3">
        <w:t>Thứ hai, nhóm đối chứng không chịu tác động của sự kiện. Nhóm đối chứng HOSE chịu ba thay đổi trùng thời gian: FTSE Russell đưa cổ phiếu Việt Nam vào chỉ số theo bốn đợt từ tháng 9/2026 đến tháng 9/2027 (FTSE Russell, 2026b); HOSE dự kiến công bố phân loại cổ phiếu vào Bảng Chính và Bảng Tiêu chuẩn lần đầu ngày 28/12/2026, theo dự thảo quy chế đang lấy ý kiến (Tuổi Trẻ Online, 2026a); và VN-</w:t>
      </w:r>
      <w:r w:rsidRPr="005C17A3">
        <w:lastRenderedPageBreak/>
        <w:t>Index, vốn tự động cập nhật danh mục sau ngày giao dịch đầu tiên của cổ phiếu niêm yết mới (Sở Giao dịch Chứng khoán Thành phố Hồ Chí Minh, 2026), nhiều khả năng nhận các mã chuyển sàn từ phiên thứ hai trên HOSE. Ngày vào chỉ số thực tế của từng mã và quy chế phân bảng chính thức, khi được ban hành, được ghi lại từ công bố của HOSE và đưa vào ước lượng.</w:t>
      </w:r>
    </w:p>
    <w:p w14:paraId="2200DAE5" w14:textId="77777777" w:rsidR="005D3DB2" w:rsidRPr="005C17A3" w:rsidRDefault="00000000">
      <w:pPr>
        <w:pStyle w:val="FirstParagraph"/>
      </w:pPr>
      <w:r w:rsidRPr="005C17A3">
        <w:t>Vì vậy, nhóm đối chứng HOSE loại các mã thuộc danh sách đủ điều kiện của FTSE Russell, δ được ước lượng thêm với biến giả nhóm bảng phân loại, và thanh khoản của từng nhóm đối chứng được so với xu hướng trước của chính nhóm đó.</w:t>
      </w:r>
    </w:p>
    <w:p w14:paraId="15DA50BF" w14:textId="77777777" w:rsidR="005D3DB2" w:rsidRPr="005C17A3" w:rsidRDefault="00000000">
      <w:pPr>
        <w:pStyle w:val="FirstParagraph"/>
      </w:pPr>
      <w:r w:rsidRPr="005C17A3">
        <w:t>Ủy ban Chứng khoán Nhà nước cũng đang nghiên cứu nới biên độ và giao dịch xuyên trưa (Thời báo Tài chính Việt Nam, 2026). Nếu các thay đổi này được áp dụng trong cửa sổ sau, ngày áp dụng được ghi là một cú sốc trùng thời gian và ước lượng được báo cáo thêm với cửa sổ sau cắt tại ngày đó.</w:t>
      </w:r>
    </w:p>
    <w:p w14:paraId="735862C9" w14:textId="77777777" w:rsidR="005D3DB2" w:rsidRPr="005C17A3" w:rsidRDefault="00000000">
      <w:pPr>
        <w:pStyle w:val="FirstParagraph"/>
      </w:pPr>
      <w:r w:rsidRPr="005C17A3">
        <w:t>Nếu nhóm đối chứng HOSE mất thanh khoản do dòng lệnh chuyển sang cổ phiếu chuyển sàn, δ phóng đại tác động, và ước lượng với nhóm đối chứng UPCoM, nếu nhóm này còn dữ liệu sau sự kiện, là một cận khác. Ngược lại, nếu thanh khoản lan tỏa dương sang nhóm đối chứng HOSE, như đã ghi nhận ở Tel Aviv (Amihud và cộng sự, 1997) và quanh đợt hợp nhất Tokyo–Osaka (Hisada, 2018), δ đánh giá thấp tác động.</w:t>
      </w:r>
    </w:p>
    <w:p w14:paraId="20D2AA17" w14:textId="77777777" w:rsidR="005D3DB2" w:rsidRPr="005C17A3" w:rsidRDefault="00000000">
      <w:pPr>
        <w:pStyle w:val="FirstParagraph"/>
      </w:pPr>
      <w:r w:rsidRPr="005C17A3">
        <w:t>Thứ ba, việc rời mẫu không liên quan đến sự kiện; đề tài báo cáo tỷ lệ mã hủy niêm yết ở từng nhóm và ước lượng lại trên bảng cân bằng. Vì việc chuyển sàn đổi cùng lúc biên độ, bước giá, hệ thống giao dịch và tư cách thành phần chỉ số, δ đo tác động gộp của sàn, không đo riêng từng quy tắc.</w:t>
      </w:r>
    </w:p>
    <w:p w14:paraId="4CD3EB94" w14:textId="77777777" w:rsidR="005D3DB2" w:rsidRPr="005C17A3" w:rsidRDefault="00000000">
      <w:pPr>
        <w:pStyle w:val="BodyText"/>
      </w:pPr>
      <w:r w:rsidRPr="005C17A3">
        <w:rPr>
          <w:b/>
          <w:bCs/>
        </w:rPr>
        <w:t>Từ bằng chứng đến định hướng cho Hà Nội.</w:t>
      </w:r>
      <w:r w:rsidRPr="005C17A3">
        <w:t xml:space="preserve"> Kết quả H</w:t>
      </w:r>
      <w:r w:rsidRPr="005C17A3">
        <w:rPr>
          <w:vertAlign w:val="subscript"/>
        </w:rPr>
        <w:t>1</w:t>
      </w:r>
      <w:r w:rsidRPr="005C17A3">
        <w:t>–H</w:t>
      </w:r>
      <w:r w:rsidRPr="005C17A3">
        <w:rPr>
          <w:vertAlign w:val="subscript"/>
        </w:rPr>
        <w:t>4</w:t>
      </w:r>
      <w:r w:rsidRPr="005C17A3">
        <w:t xml:space="preserve"> được tổng hợp cùng phép so sánh vai trò của Hà Nội với Bắc Kinh và Thượng Hải (Lai, 2012; Wang và cộng sự, 2007) và với Thành phố Hồ Chí Minh, dựa trên văn bản chính sách và dữ liệu công khai, thành định hướng chuyên môn hóa cho các thị trường mà HNX tiếp tục vận hành. Phần này là tổng hợp định tính, không kiểm định giả thuyết.</w:t>
      </w:r>
    </w:p>
    <w:p w14:paraId="79016195" w14:textId="77777777" w:rsidR="005D3DB2" w:rsidRPr="005C17A3" w:rsidRDefault="00000000">
      <w:pPr>
        <w:pStyle w:val="Heading3"/>
      </w:pPr>
      <w:bookmarkStart w:id="26" w:name="_Toc243136583"/>
      <w:bookmarkStart w:id="27" w:name="quy-trình-nghiên-cứu"/>
      <w:bookmarkEnd w:id="25"/>
      <w:r w:rsidRPr="005C17A3">
        <w:t>4.3.9. Quy trình nghiên cứu</w:t>
      </w:r>
      <w:bookmarkEnd w:id="26"/>
    </w:p>
    <w:p w14:paraId="450982A5" w14:textId="77777777" w:rsidR="005D3DB2" w:rsidRPr="005C17A3" w:rsidRDefault="00000000">
      <w:pPr>
        <w:pStyle w:val="FirstParagraph"/>
      </w:pPr>
      <w:r w:rsidRPr="005C17A3">
        <w:t>Hình 3 tóm tắt năm bước của quy trình: thu thập dữ liệu quốc tế và dữ liệu ba sàn; xây dựng Chỉ số chất lượng thị trường vốn và kiểm định H</w:t>
      </w:r>
      <w:r w:rsidRPr="005C17A3">
        <w:rPr>
          <w:vertAlign w:val="subscript"/>
        </w:rPr>
        <w:t>2</w:t>
      </w:r>
      <w:r w:rsidRPr="005C17A3">
        <w:t>; kiểm định H</w:t>
      </w:r>
      <w:r w:rsidRPr="005C17A3">
        <w:rPr>
          <w:vertAlign w:val="subscript"/>
        </w:rPr>
        <w:t>1</w:t>
      </w:r>
      <w:r w:rsidRPr="005C17A3">
        <w:t xml:space="preserve"> trên dữ liệu bảng quốc tế; ước lượng tác động của sự kiện chuyển sàn lên thanh khoản </w:t>
      </w:r>
      <w:r w:rsidRPr="005C17A3">
        <w:lastRenderedPageBreak/>
        <w:t>(H</w:t>
      </w:r>
      <w:r w:rsidRPr="005C17A3">
        <w:rPr>
          <w:vertAlign w:val="subscript"/>
        </w:rPr>
        <w:t>3</w:t>
      </w:r>
      <w:r w:rsidRPr="005C17A3">
        <w:t>) và khả năng đầu tư (H</w:t>
      </w:r>
      <w:r w:rsidRPr="005C17A3">
        <w:rPr>
          <w:vertAlign w:val="subscript"/>
        </w:rPr>
        <w:t>4</w:t>
      </w:r>
      <w:r w:rsidRPr="005C17A3">
        <w:t>); tổng hợp định hướng chuyên môn hóa cho thị trường vốn Hà Nội. Thí sinh đăng ký trước kế hoạch phân tích trước ngày 28/12/2026.</w:t>
      </w:r>
    </w:p>
    <w:p w14:paraId="18E5D4FA" w14:textId="77777777" w:rsidR="005D3DB2" w:rsidRPr="005C17A3" w:rsidRDefault="00000000">
      <w:pPr>
        <w:pStyle w:val="FigureBox"/>
      </w:pPr>
      <w:r w:rsidRPr="005C17A3">
        <w:rPr>
          <w:noProof/>
        </w:rPr>
        <w:drawing>
          <wp:inline distT="0" distB="0" distL="0" distR="0" wp14:anchorId="0A2AD25B" wp14:editId="1CA3DE65">
            <wp:extent cx="5544000" cy="3600000"/>
            <wp:effectExtent l="12700" t="0" r="6350" b="6985"/>
            <wp:docPr id="503" name="Hình 3. Quy trình (SmartArt)"/>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442836EA" w14:textId="77777777" w:rsidR="005D3DB2" w:rsidRPr="005C17A3" w:rsidRDefault="00000000">
      <w:pPr>
        <w:pStyle w:val="FigureCaption"/>
      </w:pPr>
      <w:bookmarkStart w:id="28" w:name="_Toc242353165"/>
      <w:r w:rsidRPr="005C17A3">
        <w:t xml:space="preserve">Hình </w:t>
      </w:r>
      <w:fldSimple w:instr=" SEQ Hình \* ARABIC ">
        <w:r w:rsidR="005D3DB2" w:rsidRPr="005C17A3">
          <w:rPr>
            <w:noProof/>
          </w:rPr>
          <w:t>3</w:t>
        </w:r>
      </w:fldSimple>
      <w:r w:rsidRPr="005C17A3">
        <w:t>. Quy trình nghiên cứu</w:t>
      </w:r>
      <w:bookmarkEnd w:id="28"/>
    </w:p>
    <w:p w14:paraId="55CF7C68" w14:textId="77777777" w:rsidR="005D3DB2" w:rsidRPr="005C17A3" w:rsidRDefault="00000000">
      <w:pPr>
        <w:pStyle w:val="SourceNote"/>
        <w:rPr>
          <w:sz w:val="26"/>
          <w:szCs w:val="26"/>
        </w:rPr>
      </w:pPr>
      <w:r w:rsidRPr="005C17A3">
        <w:rPr>
          <w:sz w:val="26"/>
          <w:szCs w:val="26"/>
        </w:rPr>
        <w:t>Nguồn: Thí sinh đề xuất</w:t>
      </w:r>
    </w:p>
    <w:p w14:paraId="13E493FA" w14:textId="77777777" w:rsidR="005D3DB2" w:rsidRPr="005C17A3" w:rsidRDefault="00000000">
      <w:pPr>
        <w:pStyle w:val="Heading3"/>
      </w:pPr>
      <w:bookmarkStart w:id="29" w:name="_Toc243136584"/>
      <w:bookmarkStart w:id="30" w:name="X81817220d6d5bbf0df11c749e7dd390a45a905f"/>
      <w:bookmarkEnd w:id="27"/>
      <w:r w:rsidRPr="005C17A3">
        <w:t>4.3.10. Độ tin cậy, giới hạn và khả năng thực hiện</w:t>
      </w:r>
      <w:bookmarkEnd w:id="29"/>
    </w:p>
    <w:p w14:paraId="430D8A67" w14:textId="77777777" w:rsidR="005D3DB2" w:rsidRPr="005C17A3" w:rsidRDefault="00000000">
      <w:pPr>
        <w:pStyle w:val="FirstParagraph"/>
      </w:pPr>
      <w:r w:rsidRPr="005C17A3">
        <w:t>Lực kiểm định của H</w:t>
      </w:r>
      <w:r w:rsidRPr="005C17A3">
        <w:rPr>
          <w:vertAlign w:val="subscript"/>
        </w:rPr>
        <w:t>3</w:t>
      </w:r>
      <w:r w:rsidRPr="005C17A3">
        <w:t xml:space="preserve"> phụ thuộc chủ yếu vào số tháng trước và sau sự kiện, phương sai và mức tự tương quan của chuỗi chênh lệch theo tháng, và chỉ phụ thuộc yếu vào số cổ phiếu.</w:t>
      </w:r>
    </w:p>
    <w:p w14:paraId="79836E2D" w14:textId="77777777" w:rsidR="005D3DB2" w:rsidRPr="005C17A3" w:rsidRDefault="00000000">
      <w:pPr>
        <w:pStyle w:val="FirstParagraph"/>
      </w:pPr>
      <w:r w:rsidRPr="005C17A3">
        <w:t>Với giả định chuỗi chênh lệch theo tháng là một quá trình tự hồi quy bậc một có hệ số φ và độ lệch chuẩn không điều kiện σ, cửa sổ trước dài 193 tháng (6/2009–6/2025), 18 tháng chuyển tiếp bị loại và giai đoạn sau dài 24 tháng, hiệu ứng nhỏ nhất phát hiện được của δ ở lực kiểm định 80% và mức ý nghĩa một phía 0,05/3 xấp xỉ 0,64σ khi φ = 0, 1,24σ khi φ = 0,6 và 1,76σ khi φ = 0,8. Nếu cửa sổ trước được rút ngắn do điểm gãy cấu trúc, hiệu ứng nhỏ nhất phát hiện được tăng lên, khoảng 1,3 lần khi cửa sổ trước chỉ còn 24 tháng.</w:t>
      </w:r>
    </w:p>
    <w:p w14:paraId="4226AF9B" w14:textId="77777777" w:rsidR="005D3DB2" w:rsidRPr="005C17A3" w:rsidRDefault="00000000">
      <w:pPr>
        <w:pStyle w:val="FirstParagraph"/>
      </w:pPr>
      <w:r w:rsidRPr="005C17A3">
        <w:t>Chẳng hạn, với σ = 0,2 và φ = 0,6, đề tài chỉ phát hiện được mức giảm logarit Amihud từ khoảng 0,25, tương đương độ phi thanh khoản giảm khoảng 22%. Đây là giả định minh họa; σ, φ và hiệu ứng nhỏ nhất phát hiện được sẽ được ước lượng lại từ giai đoạn tham chiếu và ghi vào tệp đăng ký.</w:t>
      </w:r>
    </w:p>
    <w:p w14:paraId="612B9F81" w14:textId="77777777" w:rsidR="005D3DB2" w:rsidRPr="005C17A3" w:rsidRDefault="00000000">
      <w:pPr>
        <w:pStyle w:val="FirstParagraph"/>
      </w:pPr>
      <w:r w:rsidRPr="005C17A3">
        <w:lastRenderedPageBreak/>
        <w:t>H</w:t>
      </w:r>
      <w:r w:rsidRPr="005C17A3">
        <w:rPr>
          <w:vertAlign w:val="subscript"/>
        </w:rPr>
        <w:t>4</w:t>
      </w:r>
      <w:r w:rsidRPr="005C17A3">
        <w:t xml:space="preserve"> có ít cửa sổ nên chỉ được báo cáo ở dạng ước lượng, và so sánh theo hai giai đoạn căng thẳng chỉ ở dạng mô tả. Giá trị p đưa vào thủ tục Holm (1979) ở mức 5% là giá trị p một phía: phân cụm theo quốc gia cho H</w:t>
      </w:r>
      <w:r w:rsidRPr="005C17A3">
        <w:rPr>
          <w:vertAlign w:val="subscript"/>
        </w:rPr>
        <w:t>1</w:t>
      </w:r>
      <w:r w:rsidRPr="005C17A3">
        <w:t>, bootstrap khối dừng cho H</w:t>
      </w:r>
      <w:r w:rsidRPr="005C17A3">
        <w:rPr>
          <w:vertAlign w:val="subscript"/>
        </w:rPr>
        <w:t>2</w:t>
      </w:r>
      <w:r w:rsidRPr="005C17A3">
        <w:t xml:space="preserve"> và bootstrap tự hồi quy cho H</w:t>
      </w:r>
      <w:r w:rsidRPr="005C17A3">
        <w:rPr>
          <w:vertAlign w:val="subscript"/>
        </w:rPr>
        <w:t>3</w:t>
      </w:r>
      <w:r w:rsidRPr="005C17A3">
        <w:t>.</w:t>
      </w:r>
    </w:p>
    <w:p w14:paraId="6192FBAB" w14:textId="77777777" w:rsidR="005D3DB2" w:rsidRPr="005C17A3" w:rsidRDefault="00000000">
      <w:pPr>
        <w:pStyle w:val="FirstParagraph"/>
      </w:pPr>
      <w:r w:rsidRPr="005C17A3">
        <w:t>Ở H</w:t>
      </w:r>
      <w:r w:rsidRPr="005C17A3">
        <w:rPr>
          <w:vertAlign w:val="subscript"/>
        </w:rPr>
        <w:t>1</w:t>
      </w:r>
      <w:r w:rsidRPr="005C17A3">
        <w:t>, đề tài kiểm tra độ vững trên mẫu các trung tâm có ít nhất năm kỳ và trên mẫu cân bằng. Vì kỳ GFCI 40 đã có nhân tố trùng với SMD (Wardle &amp; Mainelli, 2026), H</w:t>
      </w:r>
      <w:r w:rsidRPr="005C17A3">
        <w:rPr>
          <w:vertAlign w:val="subscript"/>
        </w:rPr>
        <w:t>1</w:t>
      </w:r>
      <w:r w:rsidRPr="005C17A3">
        <w:t xml:space="preserve"> được ước lượng lại trên các kỳ không trùng lặp nếu đủ số kỳ.</w:t>
      </w:r>
    </w:p>
    <w:p w14:paraId="5ECDA6DC" w14:textId="77777777" w:rsidR="005D3DB2" w:rsidRPr="005C17A3" w:rsidRDefault="00000000">
      <w:pPr>
        <w:pStyle w:val="FirstParagraph"/>
      </w:pPr>
      <w:r w:rsidRPr="005C17A3">
        <w:t>Nếu dữ liệu không ủng hộ giả thuyết, đề tài vẫn trả lời được câu hỏi nghiên cứu bằng kích thước hiệu ứng và khoảng tin cậy; khi khoảng tin cậy chứa cả 0 lẫn những tác động lớn hơn hiệu ứng nhỏ nhất phát hiện được, kết quả được gọi là chưa đủ cơ sở kết luận, không phải bằng chứng về việc không có tác động.</w:t>
      </w:r>
    </w:p>
    <w:p w14:paraId="12873AAA" w14:textId="77777777" w:rsidR="005D3DB2" w:rsidRPr="005C17A3" w:rsidRDefault="00000000">
      <w:pPr>
        <w:pStyle w:val="BodyText"/>
      </w:pPr>
      <w:r w:rsidRPr="005C17A3">
        <w:t>Kế hoạch có năm phương án dự phòng. Nếu không số hóa được hoặc không được phép dùng điểm GFCI theo kỳ, câu hỏi 1 được trả lời ở dạng mô tả và H</w:t>
      </w:r>
      <w:r w:rsidRPr="005C17A3">
        <w:rPr>
          <w:vertAlign w:val="subscript"/>
        </w:rPr>
        <w:t>1</w:t>
      </w:r>
      <w:r w:rsidRPr="005C17A3">
        <w:t xml:space="preserve"> không được kiểm định. Nếu việc chuyển sàn bị lùi hoặc thực hiện theo nhiều đợt, đề tài dùng ngày thực tế của từng nhóm và bộ ước lượng khác biệt kép cho xử lý so le (Callaway &amp; Sant’Anna, 2021); nếu sự kiện không diễn ra, đề tài trả lời câu hỏi 3 bằng các mã đã tự chuyển từ HNX sang HOSE trước năm 2026.</w:t>
      </w:r>
    </w:p>
    <w:p w14:paraId="68E23F15" w14:textId="77777777" w:rsidR="005D3DB2" w:rsidRPr="005C17A3" w:rsidRDefault="00000000">
      <w:pPr>
        <w:pStyle w:val="BodyText"/>
      </w:pPr>
      <w:r w:rsidRPr="005C17A3">
        <w:t>Thông báo của VNX chỉ áp dụng cho cổ phiếu niêm yết, nên đợt chuyển ngày 28/12/2026 không gồm UPCoM (Báo Đầu tư Chứng khoán, 2026; Sở Giao dịch Chứng khoán Việt Nam, 2026), nhưng hạn chuyển cổ phiếu UPCoM sang HOSE vẫn là hết ngày 31/12/2026 (Bộ Tài chính, 2023), nên UPCoM có thể chuyển sàn theo một đợt riêng trước hết ngày 31/12/2026, tức trước cửa sổ sau, hoặc trong cửa sổ sau nếu mốc này được lùi. Khi đó, nhóm đối chứng UPCoM và chỉ số của UPCoM chỉ được dùng đến tháng liền trước ngày chuyển, ước lượng chính dựa vào nhóm đối chứng HOSE, và tương tác theo biên độ dùng thước đo thay thế ở mục 4.3.7.</w:t>
      </w:r>
    </w:p>
    <w:p w14:paraId="4A9AF2BA" w14:textId="77777777" w:rsidR="005D3DB2" w:rsidRPr="005C17A3" w:rsidRDefault="00000000">
      <w:pPr>
        <w:pStyle w:val="BodyText"/>
      </w:pPr>
      <w:r w:rsidRPr="005C17A3">
        <w:t>Nếu cả hai nhóm đối chứng không đạt kiểm tra xu hướng song song, đề tài dùng nhóm đối chứng tổng hợp từ các mã HOSE ngoài danh sách FTSE Russell và mã UPCoM. Nếu dữ liệu sau sự kiện ngắn hơn 24 tháng hoặc rổ CS có ít hơn 30 cổ phiếu đủ thanh khoản, đề tài dùng, tương ứng, toàn bộ tháng có sẵn hoặc rổ 20 cổ phiếu.</w:t>
      </w:r>
    </w:p>
    <w:p w14:paraId="355EAB34" w14:textId="77777777" w:rsidR="005D3DB2" w:rsidRPr="005C17A3" w:rsidRDefault="00000000">
      <w:pPr>
        <w:pStyle w:val="Heading2"/>
      </w:pPr>
      <w:bookmarkStart w:id="31" w:name="_Toc243136585"/>
      <w:bookmarkStart w:id="32" w:name="đối-tượng-và-phạm-vi-nghiên-cứu"/>
      <w:bookmarkEnd w:id="8"/>
      <w:bookmarkEnd w:id="30"/>
      <w:r w:rsidRPr="005C17A3">
        <w:lastRenderedPageBreak/>
        <w:t>4.4. Đối tượng và phạm vi nghiên cứu</w:t>
      </w:r>
      <w:bookmarkEnd w:id="31"/>
    </w:p>
    <w:p w14:paraId="0BDAB75F" w14:textId="77777777" w:rsidR="005D3DB2" w:rsidRPr="005C17A3" w:rsidRDefault="00000000">
      <w:pPr>
        <w:pStyle w:val="FirstParagraph"/>
      </w:pPr>
      <w:r w:rsidRPr="005C17A3">
        <w:t>Đối tượng nghiên cứu là khác biệt chất lượng thị trường giữa các sàn và tác động của việc đổi sàn lên thanh khoản và khả năng đầu tư, quan sát qua đợt hợp nhất cổ phiếu niêm yết của HNX vào HOSE, đặt trong khung năng lực cạnh tranh của trung tâm tài chính.</w:t>
      </w:r>
    </w:p>
    <w:p w14:paraId="60B963F1" w14:textId="77777777" w:rsidR="005D3DB2" w:rsidRPr="005C17A3" w:rsidRDefault="00000000">
      <w:pPr>
        <w:pStyle w:val="BodyText"/>
      </w:pPr>
      <w:r w:rsidRPr="005C17A3">
        <w:rPr>
          <w:i/>
          <w:iCs/>
        </w:rPr>
        <w:t>Phạm vi nghiên cứu (dự kiến):</w:t>
      </w:r>
    </w:p>
    <w:p w14:paraId="433C09BD" w14:textId="77777777" w:rsidR="005D3DB2" w:rsidRPr="005C17A3" w:rsidRDefault="00000000">
      <w:pPr>
        <w:pStyle w:val="BodyText"/>
      </w:pPr>
      <w:r w:rsidRPr="005C17A3">
        <w:t>+ Phạm vi không gian: các trung tâm tài chính có điểm GFCI là mẫu của câu hỏi 1; sàn niêm yết HNX, UPCoM và HOSE là mẫu của câu hỏi 2; các cổ phiếu chuyển từ HNX sang HOSE ngày 28/12/2026 và các nhóm đối chứng là mẫu của câu hỏi 3.</w:t>
      </w:r>
    </w:p>
    <w:p w14:paraId="714E74CB" w14:textId="77777777" w:rsidR="005D3DB2" w:rsidRPr="005C17A3" w:rsidRDefault="00000000">
      <w:pPr>
        <w:pStyle w:val="BodyText"/>
      </w:pPr>
      <w:r w:rsidRPr="005C17A3">
        <w:t>+ Phạm vi thời gian: dữ liệu thị trường từ tháng 6/2009 đến hết 24 tháng sau sự kiện; dữ liệu GFCI từ kỳ 1 đến kỳ mới nhất tại thời điểm phân tích.</w:t>
      </w:r>
    </w:p>
    <w:p w14:paraId="69E3877B" w14:textId="77777777" w:rsidR="005D3DB2" w:rsidRPr="005C17A3" w:rsidRDefault="00000000">
      <w:pPr>
        <w:pStyle w:val="BodyText"/>
      </w:pPr>
      <w:r w:rsidRPr="005C17A3">
        <w:t>+ Phạm vi nội dung: danh mục chỉ mua là cấu hình cơ sở của bảy mô hình phân bổ. Thị trường trái phiếu và phái sinh chỉ được xét trong phần định hướng chuyên môn hóa. Đề tài không đánh giá chính sách nào khác ngoài đợt chuyển sàn và không khảo sát nhà đầu tư.</w:t>
      </w:r>
    </w:p>
    <w:p w14:paraId="58D15D90" w14:textId="77777777" w:rsidR="005D3DB2" w:rsidRPr="005C17A3" w:rsidRDefault="00000000">
      <w:pPr>
        <w:pStyle w:val="BodyText"/>
      </w:pPr>
      <w:r w:rsidRPr="005C17A3">
        <w:t>+ Giới hạn khác: kết luận về H</w:t>
      </w:r>
      <w:r w:rsidRPr="005C17A3">
        <w:rPr>
          <w:vertAlign w:val="subscript"/>
        </w:rPr>
        <w:t>1</w:t>
      </w:r>
      <w:r w:rsidRPr="005C17A3">
        <w:t xml:space="preserve"> là liên hệ có điều kiện; kết luận về H</w:t>
      </w:r>
      <w:r w:rsidRPr="005C17A3">
        <w:rPr>
          <w:vertAlign w:val="subscript"/>
        </w:rPr>
        <w:t>3</w:t>
      </w:r>
      <w:r w:rsidRPr="005C17A3">
        <w:t xml:space="preserve"> là tác động gộp của sàn trong một sự kiện, khi các giả định ở mục 4.3.8 được thỏa mãn; kết luận về H</w:t>
      </w:r>
      <w:r w:rsidRPr="005C17A3">
        <w:rPr>
          <w:vertAlign w:val="subscript"/>
        </w:rPr>
        <w:t>4</w:t>
      </w:r>
      <w:r w:rsidRPr="005C17A3">
        <w:t xml:space="preserve"> chỉ áp dụng cho rổ CS.</w:t>
      </w:r>
    </w:p>
    <w:p w14:paraId="72FF3C05" w14:textId="77777777" w:rsidR="000F5DDC" w:rsidRPr="005C17A3" w:rsidRDefault="00000000">
      <w:pPr>
        <w:pStyle w:val="BodyText"/>
      </w:pPr>
      <w:r w:rsidRPr="005C17A3">
        <w:t>Đề tài không giải quyết trọn bài toán số 19: câu hỏi số 2 và số 4 (về công nghệ tài chính và dịch vụ tài chính thế hệ mới) nằm ngoài phạm vi, và với câu hỏi số 3, đề tài chỉ cung cấp thước đo nền. Người dùng dự kiến của kết quả gồm Sở Khoa học và Công nghệ Hà Nội, cơ quan đầu mối theo dõi và đánh giá kết quả thực hiện Danh mục các bài toán lớn (Ủy ban nhân dân thành phố Hà Nội, 2026, Điều 3), Ủy ban nhân dân thành phố Hà Nội, Ủy ban Chứng khoán Nhà nước, HNX, HOSE và các tổ chức đầu tư.</w:t>
      </w:r>
    </w:p>
    <w:p w14:paraId="44AE7C6F" w14:textId="77777777" w:rsidR="000F5DDC" w:rsidRPr="005C17A3" w:rsidRDefault="00000000">
      <w:pPr>
        <w:pStyle w:val="BodyText"/>
      </w:pPr>
      <w:r w:rsidRPr="005C17A3">
        <w:t>Trước khi nộp hồ sơ đề nghị hỗ trợ, thí sinh sẽ xin văn bản xác nhận hoặc cam kết sử dụng kết quả của ít nhất một đơn vị trong số này, ưu tiên HNX; văn bản này cũng là căn cứ của chỉ tiêu (6).</w:t>
      </w:r>
    </w:p>
    <w:p w14:paraId="74E88876" w14:textId="4641C44B" w:rsidR="005D3DB2" w:rsidRPr="005C17A3" w:rsidRDefault="00000000">
      <w:pPr>
        <w:pStyle w:val="Heading2"/>
      </w:pPr>
      <w:bookmarkStart w:id="33" w:name="_Toc243136586"/>
      <w:bookmarkStart w:id="34" w:name="Xccd2dd38cec6218b5ae5c9b5b16db1f940f2d5f"/>
      <w:bookmarkEnd w:id="32"/>
      <w:r w:rsidRPr="005C17A3">
        <w:lastRenderedPageBreak/>
        <w:t>4.5. Dự kiến bố cục các chương</w:t>
      </w:r>
      <w:bookmarkEnd w:id="33"/>
      <w:r w:rsidRPr="005C17A3">
        <w:t xml:space="preserve"> </w:t>
      </w:r>
    </w:p>
    <w:p w14:paraId="17C8046A" w14:textId="77777777" w:rsidR="005D3DB2" w:rsidRPr="005C17A3" w:rsidRDefault="00000000">
      <w:pPr>
        <w:pStyle w:val="FirstParagraph"/>
      </w:pPr>
      <w:r w:rsidRPr="005C17A3">
        <w:t>Ngoài phần kết luận, danh mục tài liệu tham khảo và phụ lục, luận án dự kiến gồm sáu chương (Bảng 4).</w:t>
      </w:r>
    </w:p>
    <w:p w14:paraId="6F5E1F69" w14:textId="77777777" w:rsidR="005D3DB2" w:rsidRPr="005C17A3" w:rsidRDefault="00000000">
      <w:pPr>
        <w:pStyle w:val="TableCaption"/>
      </w:pPr>
      <w:bookmarkStart w:id="35" w:name="_Toc242353159"/>
      <w:r w:rsidRPr="005C17A3">
        <w:t xml:space="preserve">Bảng </w:t>
      </w:r>
      <w:fldSimple w:instr=" SEQ Bảng \* ARABIC ">
        <w:r w:rsidR="005D3DB2" w:rsidRPr="005C17A3">
          <w:rPr>
            <w:noProof/>
          </w:rPr>
          <w:t>4</w:t>
        </w:r>
      </w:fldSimple>
      <w:r w:rsidRPr="005C17A3">
        <w:t>. Dự kiến bố cục các chương và tiểu mục của luận án</w:t>
      </w:r>
      <w:bookmarkEnd w:id="35"/>
    </w:p>
    <w:tbl>
      <w:tblPr>
        <w:tblStyle w:val="GridTable1Light"/>
        <w:tblW w:w="5000" w:type="pct"/>
        <w:tblLook w:val="0020" w:firstRow="1" w:lastRow="0" w:firstColumn="0" w:lastColumn="0" w:noHBand="0" w:noVBand="0"/>
      </w:tblPr>
      <w:tblGrid>
        <w:gridCol w:w="1190"/>
        <w:gridCol w:w="2809"/>
        <w:gridCol w:w="4779"/>
      </w:tblGrid>
      <w:tr w:rsidR="005D3DB2" w:rsidRPr="005C17A3" w14:paraId="274F74F7" w14:textId="77777777" w:rsidTr="00056778">
        <w:trPr>
          <w:cnfStyle w:val="100000000000" w:firstRow="1" w:lastRow="0" w:firstColumn="0" w:lastColumn="0" w:oddVBand="0" w:evenVBand="0" w:oddHBand="0" w:evenHBand="0" w:firstRowFirstColumn="0" w:firstRowLastColumn="0" w:lastRowFirstColumn="0" w:lastRowLastColumn="0"/>
        </w:trPr>
        <w:tc>
          <w:tcPr>
            <w:tcW w:w="678" w:type="pct"/>
          </w:tcPr>
          <w:p w14:paraId="08E7F53C" w14:textId="77777777" w:rsidR="005D3DB2" w:rsidRPr="005C17A3" w:rsidRDefault="00000000">
            <w:pPr>
              <w:pStyle w:val="Compact"/>
              <w:jc w:val="center"/>
              <w:rPr>
                <w:sz w:val="26"/>
                <w:szCs w:val="26"/>
              </w:rPr>
            </w:pPr>
            <w:r w:rsidRPr="005C17A3">
              <w:rPr>
                <w:sz w:val="26"/>
                <w:szCs w:val="26"/>
              </w:rPr>
              <w:t>Chương</w:t>
            </w:r>
          </w:p>
        </w:tc>
        <w:tc>
          <w:tcPr>
            <w:tcW w:w="1600" w:type="pct"/>
          </w:tcPr>
          <w:p w14:paraId="45B7BC76" w14:textId="77777777" w:rsidR="005D3DB2" w:rsidRPr="005C17A3" w:rsidRDefault="00000000">
            <w:pPr>
              <w:pStyle w:val="Compact"/>
              <w:jc w:val="center"/>
              <w:rPr>
                <w:sz w:val="26"/>
                <w:szCs w:val="26"/>
              </w:rPr>
            </w:pPr>
            <w:r w:rsidRPr="005C17A3">
              <w:rPr>
                <w:sz w:val="26"/>
                <w:szCs w:val="26"/>
              </w:rPr>
              <w:t>Tên chương</w:t>
            </w:r>
          </w:p>
        </w:tc>
        <w:tc>
          <w:tcPr>
            <w:tcW w:w="2722" w:type="pct"/>
          </w:tcPr>
          <w:p w14:paraId="34C5E784" w14:textId="055C7D82" w:rsidR="005D3DB2" w:rsidRPr="005C17A3" w:rsidRDefault="00000000">
            <w:pPr>
              <w:pStyle w:val="Compact"/>
              <w:jc w:val="center"/>
              <w:rPr>
                <w:sz w:val="26"/>
                <w:szCs w:val="26"/>
              </w:rPr>
            </w:pPr>
            <w:r w:rsidRPr="005C17A3">
              <w:rPr>
                <w:sz w:val="26"/>
                <w:szCs w:val="26"/>
              </w:rPr>
              <w:t xml:space="preserve">Các tiểu mục chính </w:t>
            </w:r>
          </w:p>
        </w:tc>
      </w:tr>
      <w:tr w:rsidR="00385F79" w:rsidRPr="005C17A3" w14:paraId="05006617" w14:textId="77777777" w:rsidTr="00056778">
        <w:tc>
          <w:tcPr>
            <w:tcW w:w="678" w:type="pct"/>
          </w:tcPr>
          <w:p w14:paraId="2E47028C" w14:textId="17A746FA" w:rsidR="00385F79" w:rsidRPr="005C17A3" w:rsidRDefault="00385F79" w:rsidP="00385F79">
            <w:pPr>
              <w:pStyle w:val="Compact"/>
              <w:rPr>
                <w:sz w:val="26"/>
                <w:szCs w:val="26"/>
              </w:rPr>
            </w:pPr>
            <w:r w:rsidRPr="005C17A3">
              <w:rPr>
                <w:sz w:val="26"/>
                <w:szCs w:val="26"/>
              </w:rPr>
              <w:t>Mở đầu</w:t>
            </w:r>
          </w:p>
        </w:tc>
        <w:tc>
          <w:tcPr>
            <w:tcW w:w="1600" w:type="pct"/>
          </w:tcPr>
          <w:p w14:paraId="75396E07" w14:textId="18643894" w:rsidR="00385F79" w:rsidRPr="005C17A3" w:rsidRDefault="00385F79" w:rsidP="00385F79">
            <w:pPr>
              <w:pStyle w:val="Compact"/>
              <w:rPr>
                <w:sz w:val="26"/>
                <w:szCs w:val="26"/>
              </w:rPr>
            </w:pPr>
          </w:p>
        </w:tc>
        <w:tc>
          <w:tcPr>
            <w:tcW w:w="2722" w:type="pct"/>
          </w:tcPr>
          <w:p w14:paraId="2F00EAA6" w14:textId="28A5F4B3" w:rsidR="00385F79" w:rsidRPr="005C17A3" w:rsidRDefault="00385F79" w:rsidP="00385F79">
            <w:pPr>
              <w:pStyle w:val="Compact"/>
              <w:numPr>
                <w:ilvl w:val="0"/>
                <w:numId w:val="6"/>
              </w:numPr>
              <w:rPr>
                <w:sz w:val="26"/>
                <w:szCs w:val="26"/>
              </w:rPr>
            </w:pPr>
            <w:r w:rsidRPr="005C17A3">
              <w:rPr>
                <w:sz w:val="26"/>
                <w:szCs w:val="26"/>
              </w:rPr>
              <w:t>Tính cấp thiết của đề tài</w:t>
            </w:r>
          </w:p>
          <w:p w14:paraId="49366DF9" w14:textId="7DEF2D20" w:rsidR="00385F79" w:rsidRPr="005C17A3" w:rsidRDefault="00385F79" w:rsidP="00385F79">
            <w:pPr>
              <w:pStyle w:val="Compact"/>
              <w:numPr>
                <w:ilvl w:val="0"/>
                <w:numId w:val="6"/>
              </w:numPr>
              <w:rPr>
                <w:sz w:val="26"/>
                <w:szCs w:val="26"/>
              </w:rPr>
            </w:pPr>
            <w:r w:rsidRPr="005C17A3">
              <w:rPr>
                <w:sz w:val="26"/>
                <w:szCs w:val="26"/>
              </w:rPr>
              <w:t xml:space="preserve">Vấn đề nghiên cứu </w:t>
            </w:r>
          </w:p>
          <w:p w14:paraId="00446E3B" w14:textId="028FF0D9" w:rsidR="00385F79" w:rsidRPr="005C17A3" w:rsidRDefault="00385F79" w:rsidP="00385F79">
            <w:pPr>
              <w:pStyle w:val="Compact"/>
              <w:numPr>
                <w:ilvl w:val="0"/>
                <w:numId w:val="6"/>
              </w:numPr>
              <w:rPr>
                <w:sz w:val="26"/>
                <w:szCs w:val="26"/>
              </w:rPr>
            </w:pPr>
            <w:r w:rsidRPr="005C17A3">
              <w:rPr>
                <w:sz w:val="26"/>
                <w:szCs w:val="26"/>
              </w:rPr>
              <w:t>Mục tiêu và câu hỏi nghiên cứu</w:t>
            </w:r>
          </w:p>
          <w:p w14:paraId="3F5B3C17" w14:textId="76E98B6F" w:rsidR="00385F79" w:rsidRPr="005C17A3" w:rsidRDefault="00385F79" w:rsidP="00385F79">
            <w:pPr>
              <w:pStyle w:val="Compact"/>
              <w:numPr>
                <w:ilvl w:val="0"/>
                <w:numId w:val="6"/>
              </w:numPr>
              <w:rPr>
                <w:sz w:val="26"/>
                <w:szCs w:val="26"/>
              </w:rPr>
            </w:pPr>
            <w:r w:rsidRPr="005C17A3">
              <w:rPr>
                <w:sz w:val="26"/>
                <w:szCs w:val="26"/>
              </w:rPr>
              <w:t xml:space="preserve">Đối tượng, phạm vi nghiên cứu </w:t>
            </w:r>
          </w:p>
          <w:p w14:paraId="2BBE2522" w14:textId="0BD3A9A9" w:rsidR="00385F79" w:rsidRPr="005C17A3" w:rsidRDefault="00385F79" w:rsidP="00385F79">
            <w:pPr>
              <w:pStyle w:val="Compact"/>
              <w:numPr>
                <w:ilvl w:val="0"/>
                <w:numId w:val="6"/>
              </w:numPr>
              <w:rPr>
                <w:sz w:val="26"/>
                <w:szCs w:val="26"/>
              </w:rPr>
            </w:pPr>
            <w:r w:rsidRPr="005C17A3">
              <w:rPr>
                <w:sz w:val="26"/>
                <w:szCs w:val="26"/>
              </w:rPr>
              <w:t xml:space="preserve">Đóng góp của nghiên cứu </w:t>
            </w:r>
          </w:p>
          <w:p w14:paraId="373EF316" w14:textId="3E317EFD" w:rsidR="00385F79" w:rsidRPr="005C17A3" w:rsidRDefault="00385F79" w:rsidP="00385F79">
            <w:pPr>
              <w:pStyle w:val="Compact"/>
              <w:numPr>
                <w:ilvl w:val="0"/>
                <w:numId w:val="6"/>
              </w:numPr>
              <w:rPr>
                <w:sz w:val="26"/>
                <w:szCs w:val="26"/>
              </w:rPr>
            </w:pPr>
            <w:r w:rsidRPr="005C17A3">
              <w:rPr>
                <w:sz w:val="26"/>
                <w:szCs w:val="26"/>
              </w:rPr>
              <w:t>Kết cấu nghiên cứu</w:t>
            </w:r>
          </w:p>
        </w:tc>
      </w:tr>
      <w:tr w:rsidR="00385F79" w:rsidRPr="005C17A3" w14:paraId="0A0E0442" w14:textId="77777777" w:rsidTr="00056778">
        <w:tc>
          <w:tcPr>
            <w:tcW w:w="678" w:type="pct"/>
          </w:tcPr>
          <w:p w14:paraId="7B5944B0" w14:textId="4E391F53" w:rsidR="00385F79" w:rsidRPr="005C17A3" w:rsidRDefault="00385F79" w:rsidP="00385F79">
            <w:pPr>
              <w:pStyle w:val="Compact"/>
              <w:rPr>
                <w:sz w:val="26"/>
                <w:szCs w:val="26"/>
              </w:rPr>
            </w:pPr>
            <w:r w:rsidRPr="005C17A3">
              <w:rPr>
                <w:sz w:val="26"/>
                <w:szCs w:val="26"/>
              </w:rPr>
              <w:t>Chương 1</w:t>
            </w:r>
          </w:p>
        </w:tc>
        <w:tc>
          <w:tcPr>
            <w:tcW w:w="1600" w:type="pct"/>
          </w:tcPr>
          <w:p w14:paraId="2AAD06F4" w14:textId="4232B868" w:rsidR="00385F79" w:rsidRPr="005C17A3" w:rsidRDefault="00385F79" w:rsidP="00385F79">
            <w:pPr>
              <w:pStyle w:val="Compact"/>
              <w:rPr>
                <w:sz w:val="26"/>
                <w:szCs w:val="26"/>
              </w:rPr>
            </w:pPr>
            <w:r w:rsidRPr="005C17A3">
              <w:rPr>
                <w:sz w:val="26"/>
                <w:szCs w:val="26"/>
              </w:rPr>
              <w:t>Cơ sở lý thuyết và tổng quan nghiên cứu</w:t>
            </w:r>
          </w:p>
        </w:tc>
        <w:tc>
          <w:tcPr>
            <w:tcW w:w="2722" w:type="pct"/>
          </w:tcPr>
          <w:p w14:paraId="720C0AD6" w14:textId="5308A4CF" w:rsidR="00385F79" w:rsidRPr="005C17A3" w:rsidRDefault="00385F79" w:rsidP="00385F79">
            <w:pPr>
              <w:pStyle w:val="Compact"/>
              <w:numPr>
                <w:ilvl w:val="1"/>
                <w:numId w:val="5"/>
              </w:numPr>
              <w:rPr>
                <w:sz w:val="26"/>
                <w:szCs w:val="26"/>
              </w:rPr>
            </w:pPr>
            <w:r w:rsidRPr="005C17A3">
              <w:rPr>
                <w:sz w:val="26"/>
                <w:szCs w:val="26"/>
              </w:rPr>
              <w:t>Cơ sở lý thuyết</w:t>
            </w:r>
          </w:p>
          <w:p w14:paraId="1EBB7202" w14:textId="27FB4F61" w:rsidR="00385F79" w:rsidRPr="005C17A3" w:rsidRDefault="00385F79" w:rsidP="00385F79">
            <w:pPr>
              <w:pStyle w:val="Compact"/>
              <w:rPr>
                <w:sz w:val="26"/>
                <w:szCs w:val="26"/>
              </w:rPr>
            </w:pPr>
            <w:r w:rsidRPr="005C17A3">
              <w:rPr>
                <w:sz w:val="26"/>
                <w:szCs w:val="26"/>
              </w:rPr>
              <w:t>1.1.1 Lý thuyết trung tâm tài chính</w:t>
            </w:r>
          </w:p>
          <w:p w14:paraId="3B0ECC1C" w14:textId="4752A680" w:rsidR="00385F79" w:rsidRPr="005C17A3" w:rsidRDefault="00385F79" w:rsidP="00385F79">
            <w:pPr>
              <w:pStyle w:val="Compact"/>
              <w:rPr>
                <w:sz w:val="26"/>
                <w:szCs w:val="26"/>
              </w:rPr>
            </w:pPr>
            <w:r w:rsidRPr="005C17A3">
              <w:rPr>
                <w:sz w:val="26"/>
                <w:szCs w:val="26"/>
              </w:rPr>
              <w:t>1.1.2 Lý thuyết chất lượng thị trường vốn</w:t>
            </w:r>
          </w:p>
          <w:p w14:paraId="14B0C3D4" w14:textId="77777777" w:rsidR="00385F79" w:rsidRPr="005C17A3" w:rsidRDefault="00385F79" w:rsidP="00385F79">
            <w:pPr>
              <w:pStyle w:val="Compact"/>
              <w:rPr>
                <w:sz w:val="26"/>
                <w:szCs w:val="26"/>
              </w:rPr>
            </w:pPr>
            <w:r w:rsidRPr="005C17A3">
              <w:rPr>
                <w:sz w:val="26"/>
                <w:szCs w:val="26"/>
              </w:rPr>
              <w:t>1.1.3 Lý thuyết đổi sàn và hợp nhất sàn</w:t>
            </w:r>
          </w:p>
          <w:p w14:paraId="48172BAD" w14:textId="77777777" w:rsidR="00385F79" w:rsidRPr="005C17A3" w:rsidRDefault="00385F79" w:rsidP="00385F79">
            <w:pPr>
              <w:pStyle w:val="Compact"/>
              <w:rPr>
                <w:sz w:val="26"/>
                <w:szCs w:val="26"/>
              </w:rPr>
            </w:pPr>
            <w:r w:rsidRPr="005C17A3">
              <w:rPr>
                <w:sz w:val="26"/>
                <w:szCs w:val="26"/>
              </w:rPr>
              <w:t>1.1.4 Lý thuyết danh mục đầu tư</w:t>
            </w:r>
          </w:p>
          <w:p w14:paraId="0DED7AAF" w14:textId="77777777" w:rsidR="00385F79" w:rsidRPr="005C17A3" w:rsidRDefault="00385F79" w:rsidP="00385F79">
            <w:pPr>
              <w:pStyle w:val="Compact"/>
              <w:rPr>
                <w:sz w:val="26"/>
                <w:szCs w:val="26"/>
              </w:rPr>
            </w:pPr>
            <w:r w:rsidRPr="005C17A3">
              <w:rPr>
                <w:sz w:val="26"/>
                <w:szCs w:val="26"/>
              </w:rPr>
              <w:t>1.2 Tổng quan nghiên cứu</w:t>
            </w:r>
          </w:p>
          <w:p w14:paraId="19023D0E" w14:textId="3568114A" w:rsidR="00385F79" w:rsidRPr="005C17A3" w:rsidRDefault="00385F79" w:rsidP="00385F79">
            <w:pPr>
              <w:pStyle w:val="Compact"/>
              <w:rPr>
                <w:sz w:val="26"/>
                <w:szCs w:val="26"/>
              </w:rPr>
            </w:pPr>
            <w:r w:rsidRPr="005C17A3">
              <w:rPr>
                <w:sz w:val="26"/>
                <w:szCs w:val="26"/>
              </w:rPr>
              <w:t>1.2.1 Nghiên cứu quốc tế</w:t>
            </w:r>
          </w:p>
          <w:p w14:paraId="24949F55" w14:textId="77777777" w:rsidR="00385F79" w:rsidRPr="005C17A3" w:rsidRDefault="00385F79" w:rsidP="00385F79">
            <w:pPr>
              <w:pStyle w:val="Compact"/>
              <w:rPr>
                <w:sz w:val="26"/>
                <w:szCs w:val="26"/>
              </w:rPr>
            </w:pPr>
            <w:r w:rsidRPr="005C17A3">
              <w:rPr>
                <w:sz w:val="26"/>
                <w:szCs w:val="26"/>
              </w:rPr>
              <w:t>1.2.2 Nghiên cứu tại Việt Nam</w:t>
            </w:r>
          </w:p>
          <w:p w14:paraId="4AF09196" w14:textId="7E96F851" w:rsidR="00385F79" w:rsidRPr="005C17A3" w:rsidRDefault="00385F79" w:rsidP="00385F79">
            <w:pPr>
              <w:pStyle w:val="Compact"/>
              <w:rPr>
                <w:sz w:val="26"/>
                <w:szCs w:val="26"/>
              </w:rPr>
            </w:pPr>
            <w:r w:rsidRPr="005C17A3">
              <w:rPr>
                <w:sz w:val="26"/>
                <w:szCs w:val="26"/>
              </w:rPr>
              <w:t>1.2.3 Khoảng trống nghiên cứu</w:t>
            </w:r>
          </w:p>
        </w:tc>
      </w:tr>
      <w:tr w:rsidR="00385F79" w:rsidRPr="005C17A3" w14:paraId="47ED677C" w14:textId="77777777" w:rsidTr="00056778">
        <w:tc>
          <w:tcPr>
            <w:tcW w:w="678" w:type="pct"/>
          </w:tcPr>
          <w:p w14:paraId="56C60682" w14:textId="52CF7702" w:rsidR="00385F79" w:rsidRPr="005C17A3" w:rsidRDefault="00385F79" w:rsidP="00385F79">
            <w:pPr>
              <w:pStyle w:val="Compact"/>
              <w:rPr>
                <w:sz w:val="26"/>
                <w:szCs w:val="26"/>
              </w:rPr>
            </w:pPr>
            <w:r w:rsidRPr="005C17A3">
              <w:rPr>
                <w:sz w:val="26"/>
                <w:szCs w:val="26"/>
              </w:rPr>
              <w:t>Chương 2</w:t>
            </w:r>
          </w:p>
        </w:tc>
        <w:tc>
          <w:tcPr>
            <w:tcW w:w="1600" w:type="pct"/>
          </w:tcPr>
          <w:p w14:paraId="05F47B5A" w14:textId="00C128D3" w:rsidR="00385F79" w:rsidRPr="005C17A3" w:rsidRDefault="00385F79" w:rsidP="00385F79">
            <w:pPr>
              <w:pStyle w:val="Compact"/>
              <w:rPr>
                <w:sz w:val="26"/>
                <w:szCs w:val="26"/>
              </w:rPr>
            </w:pPr>
            <w:r w:rsidRPr="005C17A3">
              <w:rPr>
                <w:sz w:val="26"/>
                <w:szCs w:val="26"/>
              </w:rPr>
              <w:t>Dữ liệu và phương pháp nghiên cứu</w:t>
            </w:r>
          </w:p>
        </w:tc>
        <w:tc>
          <w:tcPr>
            <w:tcW w:w="2722" w:type="pct"/>
          </w:tcPr>
          <w:p w14:paraId="06EBCC6E" w14:textId="77777777" w:rsidR="00385F79" w:rsidRPr="005C17A3" w:rsidRDefault="00385F79" w:rsidP="00385F79">
            <w:pPr>
              <w:pStyle w:val="Compact"/>
              <w:rPr>
                <w:sz w:val="26"/>
                <w:szCs w:val="26"/>
              </w:rPr>
            </w:pPr>
            <w:r w:rsidRPr="005C17A3">
              <w:rPr>
                <w:sz w:val="26"/>
                <w:szCs w:val="26"/>
              </w:rPr>
              <w:t>2.1 Dữ liệu nghiên cứu</w:t>
            </w:r>
          </w:p>
          <w:p w14:paraId="1F0E5568" w14:textId="0EAF6D25" w:rsidR="00385F79" w:rsidRPr="005C17A3" w:rsidRDefault="00385F79" w:rsidP="00385F79">
            <w:pPr>
              <w:pStyle w:val="Compact"/>
              <w:rPr>
                <w:sz w:val="26"/>
                <w:szCs w:val="26"/>
              </w:rPr>
            </w:pPr>
            <w:r w:rsidRPr="005C17A3">
              <w:rPr>
                <w:sz w:val="26"/>
                <w:szCs w:val="26"/>
              </w:rPr>
              <w:t>2.1.1 Dữ liệu quốc tế</w:t>
            </w:r>
          </w:p>
          <w:p w14:paraId="03EF282A" w14:textId="34C54331" w:rsidR="00385F79" w:rsidRPr="005C17A3" w:rsidRDefault="00385F79" w:rsidP="00385F79">
            <w:pPr>
              <w:pStyle w:val="Compact"/>
              <w:rPr>
                <w:sz w:val="26"/>
                <w:szCs w:val="26"/>
              </w:rPr>
            </w:pPr>
            <w:r w:rsidRPr="005C17A3">
              <w:rPr>
                <w:sz w:val="26"/>
                <w:szCs w:val="26"/>
              </w:rPr>
              <w:t>2.1.2 Dữ liệu HNX, UPCoM, HOSE</w:t>
            </w:r>
          </w:p>
          <w:p w14:paraId="255F6C7E" w14:textId="37AAA1D1" w:rsidR="00385F79" w:rsidRPr="005C17A3" w:rsidRDefault="00385F79" w:rsidP="00385F79">
            <w:pPr>
              <w:pStyle w:val="Compact"/>
              <w:rPr>
                <w:sz w:val="26"/>
                <w:szCs w:val="26"/>
              </w:rPr>
            </w:pPr>
            <w:r w:rsidRPr="005C17A3">
              <w:rPr>
                <w:sz w:val="26"/>
                <w:szCs w:val="26"/>
              </w:rPr>
              <w:t>2.2. Phương pháp nghiên cứu</w:t>
            </w:r>
          </w:p>
          <w:p w14:paraId="3DF88469" w14:textId="77777777" w:rsidR="00385F79" w:rsidRPr="005C17A3" w:rsidRDefault="00385F79" w:rsidP="00385F79">
            <w:pPr>
              <w:pStyle w:val="Compact"/>
              <w:rPr>
                <w:sz w:val="26"/>
                <w:szCs w:val="26"/>
              </w:rPr>
            </w:pPr>
            <w:r w:rsidRPr="005C17A3">
              <w:rPr>
                <w:sz w:val="26"/>
                <w:szCs w:val="26"/>
              </w:rPr>
              <w:t>2.2.1 Đo lường chất lượng thị trường</w:t>
            </w:r>
          </w:p>
          <w:p w14:paraId="7CA4B455" w14:textId="4402D3BC" w:rsidR="00385F79" w:rsidRPr="005C17A3" w:rsidRDefault="00385F79" w:rsidP="00385F79">
            <w:pPr>
              <w:pStyle w:val="Compact"/>
              <w:rPr>
                <w:sz w:val="26"/>
                <w:szCs w:val="26"/>
              </w:rPr>
            </w:pPr>
            <w:r w:rsidRPr="005C17A3">
              <w:rPr>
                <w:sz w:val="26"/>
                <w:szCs w:val="26"/>
              </w:rPr>
              <w:t>2.2.2 Đo lường khả năng đầu tư</w:t>
            </w:r>
          </w:p>
          <w:p w14:paraId="79EFDCF8" w14:textId="52320C55" w:rsidR="00385F79" w:rsidRPr="005C17A3" w:rsidRDefault="00385F79" w:rsidP="00385F79">
            <w:pPr>
              <w:pStyle w:val="Compact"/>
              <w:rPr>
                <w:sz w:val="26"/>
                <w:szCs w:val="26"/>
              </w:rPr>
            </w:pPr>
            <w:r w:rsidRPr="005C17A3">
              <w:rPr>
                <w:sz w:val="26"/>
                <w:szCs w:val="26"/>
              </w:rPr>
              <w:t xml:space="preserve">2.2.3 </w:t>
            </w:r>
            <w:r w:rsidR="00C60C2F" w:rsidRPr="005C17A3">
              <w:rPr>
                <w:sz w:val="26"/>
                <w:szCs w:val="26"/>
              </w:rPr>
              <w:t>Đo lường tác động của hợp nhất sàn</w:t>
            </w:r>
          </w:p>
          <w:p w14:paraId="0F2CE22C" w14:textId="5CD4F906" w:rsidR="00385F79" w:rsidRPr="005C17A3" w:rsidRDefault="00385F79" w:rsidP="00385F79">
            <w:pPr>
              <w:pStyle w:val="Compact"/>
              <w:rPr>
                <w:sz w:val="26"/>
                <w:szCs w:val="26"/>
              </w:rPr>
            </w:pPr>
            <w:r w:rsidRPr="005C17A3">
              <w:rPr>
                <w:sz w:val="26"/>
                <w:szCs w:val="26"/>
              </w:rPr>
              <w:t>2.2.4 Đăng ký trước</w:t>
            </w:r>
            <w:r w:rsidR="00D76363" w:rsidRPr="005C17A3">
              <w:rPr>
                <w:sz w:val="26"/>
                <w:szCs w:val="26"/>
              </w:rPr>
              <w:t xml:space="preserve"> và kiểm định độ vững</w:t>
            </w:r>
          </w:p>
        </w:tc>
      </w:tr>
      <w:tr w:rsidR="00385F79" w:rsidRPr="005C17A3" w14:paraId="09AD5500" w14:textId="77777777" w:rsidTr="00056778">
        <w:tc>
          <w:tcPr>
            <w:tcW w:w="678" w:type="pct"/>
          </w:tcPr>
          <w:p w14:paraId="79A7CE0B" w14:textId="1120AF22" w:rsidR="00385F79" w:rsidRPr="005C17A3" w:rsidRDefault="00385F79" w:rsidP="00385F79">
            <w:pPr>
              <w:pStyle w:val="Compact"/>
              <w:rPr>
                <w:sz w:val="26"/>
                <w:szCs w:val="26"/>
              </w:rPr>
            </w:pPr>
            <w:r w:rsidRPr="005C17A3">
              <w:rPr>
                <w:sz w:val="26"/>
                <w:szCs w:val="26"/>
              </w:rPr>
              <w:t>Chương 3</w:t>
            </w:r>
          </w:p>
        </w:tc>
        <w:tc>
          <w:tcPr>
            <w:tcW w:w="1600" w:type="pct"/>
          </w:tcPr>
          <w:p w14:paraId="35987F92" w14:textId="7A77C5A8" w:rsidR="00385F79" w:rsidRPr="005C17A3" w:rsidRDefault="00385F79" w:rsidP="00385F79">
            <w:pPr>
              <w:pStyle w:val="Compact"/>
              <w:rPr>
                <w:sz w:val="26"/>
                <w:szCs w:val="26"/>
              </w:rPr>
            </w:pPr>
            <w:r w:rsidRPr="005C17A3">
              <w:rPr>
                <w:sz w:val="26"/>
                <w:szCs w:val="26"/>
              </w:rPr>
              <w:t>Kết quả nghiên cứu</w:t>
            </w:r>
          </w:p>
        </w:tc>
        <w:tc>
          <w:tcPr>
            <w:tcW w:w="2722" w:type="pct"/>
          </w:tcPr>
          <w:p w14:paraId="3662DC61" w14:textId="4E6FC771" w:rsidR="00385F79" w:rsidRPr="005C17A3" w:rsidRDefault="00642C13" w:rsidP="00385F79">
            <w:pPr>
              <w:pStyle w:val="Compact"/>
              <w:rPr>
                <w:sz w:val="26"/>
                <w:szCs w:val="26"/>
              </w:rPr>
            </w:pPr>
            <w:r w:rsidRPr="005C17A3">
              <w:rPr>
                <w:sz w:val="26"/>
                <w:szCs w:val="26"/>
              </w:rPr>
              <w:t>3.1 Thống kê mô tả</w:t>
            </w:r>
            <w:r w:rsidRPr="005C17A3">
              <w:rPr>
                <w:sz w:val="26"/>
                <w:szCs w:val="26"/>
              </w:rPr>
              <w:br/>
              <w:t>3.1.1 Điểm GFCI và vị thế các trung tâm tài chính</w:t>
            </w:r>
            <w:r w:rsidRPr="005C17A3">
              <w:rPr>
                <w:sz w:val="26"/>
                <w:szCs w:val="26"/>
              </w:rPr>
              <w:br/>
              <w:t>3.1.2 Đặc điểm mẫu HNX, UPCoM, HOSE và các giai đoạn căng thẳng</w:t>
            </w:r>
            <w:r w:rsidRPr="005C17A3">
              <w:rPr>
                <w:sz w:val="26"/>
                <w:szCs w:val="26"/>
              </w:rPr>
              <w:br/>
              <w:t>3.2 Kết quả kiểm định</w:t>
            </w:r>
            <w:r w:rsidRPr="005C17A3">
              <w:rPr>
                <w:sz w:val="26"/>
                <w:szCs w:val="26"/>
              </w:rPr>
              <w:br/>
              <w:t>3.2.1 Chất lượng thị trường trước hợp nhất</w:t>
            </w:r>
            <w:r w:rsidRPr="005C17A3">
              <w:rPr>
                <w:sz w:val="26"/>
                <w:szCs w:val="26"/>
              </w:rPr>
              <w:br/>
              <w:t>3.2.2 Khả năng đầu tư trước và sau sự kiện</w:t>
            </w:r>
            <w:r w:rsidRPr="005C17A3">
              <w:rPr>
                <w:sz w:val="26"/>
                <w:szCs w:val="26"/>
              </w:rPr>
              <w:br/>
              <w:t>3.2.3 Tác động của hợp nhất sàn</w:t>
            </w:r>
            <w:r w:rsidRPr="005C17A3">
              <w:rPr>
                <w:sz w:val="26"/>
                <w:szCs w:val="26"/>
              </w:rPr>
              <w:br/>
              <w:t>3.2.4 Kết quả kiểm định độ vững</w:t>
            </w:r>
            <w:r w:rsidR="00385F79" w:rsidRPr="005C17A3">
              <w:rPr>
                <w:sz w:val="26"/>
                <w:szCs w:val="26"/>
              </w:rPr>
              <w:t xml:space="preserve"> </w:t>
            </w:r>
          </w:p>
        </w:tc>
      </w:tr>
      <w:tr w:rsidR="00385F79" w:rsidRPr="005C17A3" w14:paraId="19C5602E" w14:textId="77777777" w:rsidTr="00056778">
        <w:tc>
          <w:tcPr>
            <w:tcW w:w="678" w:type="pct"/>
          </w:tcPr>
          <w:p w14:paraId="59A299B8" w14:textId="3067E934" w:rsidR="00385F79" w:rsidRPr="005C17A3" w:rsidRDefault="00385F79" w:rsidP="00385F79">
            <w:pPr>
              <w:pStyle w:val="Compact"/>
              <w:rPr>
                <w:sz w:val="26"/>
                <w:szCs w:val="26"/>
              </w:rPr>
            </w:pPr>
            <w:r w:rsidRPr="005C17A3">
              <w:rPr>
                <w:sz w:val="26"/>
                <w:szCs w:val="26"/>
              </w:rPr>
              <w:lastRenderedPageBreak/>
              <w:t>Chương 4</w:t>
            </w:r>
          </w:p>
        </w:tc>
        <w:tc>
          <w:tcPr>
            <w:tcW w:w="1600" w:type="pct"/>
          </w:tcPr>
          <w:p w14:paraId="4DF014F0" w14:textId="24841785" w:rsidR="00385F79" w:rsidRPr="005C17A3" w:rsidRDefault="00385F79" w:rsidP="00385F79">
            <w:pPr>
              <w:pStyle w:val="Compact"/>
              <w:rPr>
                <w:sz w:val="26"/>
                <w:szCs w:val="26"/>
              </w:rPr>
            </w:pPr>
            <w:r w:rsidRPr="005C17A3">
              <w:rPr>
                <w:sz w:val="26"/>
                <w:szCs w:val="26"/>
              </w:rPr>
              <w:t>Kết luận và khuyến nghị</w:t>
            </w:r>
          </w:p>
        </w:tc>
        <w:tc>
          <w:tcPr>
            <w:tcW w:w="2722" w:type="pct"/>
          </w:tcPr>
          <w:p w14:paraId="0E602703" w14:textId="6F5DF6F4" w:rsidR="00385F79" w:rsidRPr="005C17A3" w:rsidRDefault="00AA03D5" w:rsidP="00385F79">
            <w:pPr>
              <w:pStyle w:val="Compact"/>
              <w:rPr>
                <w:sz w:val="26"/>
                <w:szCs w:val="26"/>
              </w:rPr>
            </w:pPr>
            <w:r w:rsidRPr="005C17A3">
              <w:rPr>
                <w:sz w:val="26"/>
                <w:szCs w:val="26"/>
              </w:rPr>
              <w:t>4.1 Thảo luận kết quả nghiên cứu</w:t>
            </w:r>
            <w:r w:rsidRPr="005C17A3">
              <w:rPr>
                <w:sz w:val="26"/>
                <w:szCs w:val="26"/>
              </w:rPr>
              <w:br/>
              <w:t>4.1.1 Thảo luận về vị thế các trung tâm tài chính</w:t>
            </w:r>
            <w:r w:rsidRPr="005C17A3">
              <w:rPr>
                <w:sz w:val="26"/>
                <w:szCs w:val="26"/>
              </w:rPr>
              <w:br/>
              <w:t>4.1.2 Thảo luận về chất lượng thị trường</w:t>
            </w:r>
            <w:r w:rsidRPr="005C17A3">
              <w:rPr>
                <w:sz w:val="26"/>
                <w:szCs w:val="26"/>
              </w:rPr>
              <w:br/>
              <w:t>4.1.3 Thảo luận về khả năng đầu tư</w:t>
            </w:r>
            <w:r w:rsidRPr="005C17A3">
              <w:rPr>
                <w:sz w:val="26"/>
                <w:szCs w:val="26"/>
              </w:rPr>
              <w:br/>
              <w:t>4.1.4 Thảo luận về tác động của hợp nhất sàn</w:t>
            </w:r>
            <w:r w:rsidRPr="005C17A3">
              <w:rPr>
                <w:sz w:val="26"/>
                <w:szCs w:val="26"/>
              </w:rPr>
              <w:br/>
              <w:t>4.2 Khuyến nghị</w:t>
            </w:r>
            <w:r w:rsidRPr="005C17A3">
              <w:rPr>
                <w:sz w:val="26"/>
                <w:szCs w:val="26"/>
              </w:rPr>
              <w:br/>
              <w:t>4.2.1 Định hướng chuyên môn hóa cho thị trường vốn Hà Nội</w:t>
            </w:r>
            <w:r w:rsidRPr="005C17A3">
              <w:rPr>
                <w:sz w:val="26"/>
                <w:szCs w:val="26"/>
              </w:rPr>
              <w:br/>
              <w:t>4.2.2 Đề xuất chính sách, hạ tầng và dữ liệu</w:t>
            </w:r>
          </w:p>
        </w:tc>
      </w:tr>
      <w:tr w:rsidR="00385F79" w:rsidRPr="005C17A3" w14:paraId="1FC24A90" w14:textId="77777777" w:rsidTr="00056778">
        <w:tc>
          <w:tcPr>
            <w:tcW w:w="678" w:type="pct"/>
          </w:tcPr>
          <w:p w14:paraId="0864CAE0" w14:textId="77777777" w:rsidR="00385F79" w:rsidRPr="005C17A3" w:rsidRDefault="00385F79" w:rsidP="00385F79">
            <w:pPr>
              <w:pStyle w:val="Compact"/>
              <w:rPr>
                <w:sz w:val="26"/>
                <w:szCs w:val="26"/>
              </w:rPr>
            </w:pPr>
            <w:r w:rsidRPr="005C17A3">
              <w:rPr>
                <w:sz w:val="26"/>
                <w:szCs w:val="26"/>
              </w:rPr>
              <w:t>Kết luận</w:t>
            </w:r>
          </w:p>
        </w:tc>
        <w:tc>
          <w:tcPr>
            <w:tcW w:w="1600" w:type="pct"/>
          </w:tcPr>
          <w:p w14:paraId="1DC7976B" w14:textId="77777777" w:rsidR="00385F79" w:rsidRPr="005C17A3" w:rsidRDefault="00385F79" w:rsidP="00385F79">
            <w:pPr>
              <w:pStyle w:val="Compact"/>
              <w:rPr>
                <w:sz w:val="26"/>
                <w:szCs w:val="26"/>
              </w:rPr>
            </w:pPr>
          </w:p>
        </w:tc>
        <w:tc>
          <w:tcPr>
            <w:tcW w:w="2722" w:type="pct"/>
          </w:tcPr>
          <w:p w14:paraId="6E887B71" w14:textId="77777777" w:rsidR="00385F79" w:rsidRPr="005C17A3" w:rsidRDefault="00A61CE5" w:rsidP="000550FE">
            <w:pPr>
              <w:pStyle w:val="Compact"/>
              <w:numPr>
                <w:ilvl w:val="0"/>
                <w:numId w:val="9"/>
              </w:numPr>
              <w:rPr>
                <w:sz w:val="26"/>
                <w:szCs w:val="26"/>
              </w:rPr>
            </w:pPr>
            <w:r w:rsidRPr="005C17A3">
              <w:rPr>
                <w:sz w:val="26"/>
                <w:szCs w:val="26"/>
              </w:rPr>
              <w:t>Tóm tắt kết quả nghiên cứu và trả lời câu hỏi nghiên cứu</w:t>
            </w:r>
          </w:p>
          <w:p w14:paraId="11916F69" w14:textId="77777777" w:rsidR="00A61CE5" w:rsidRPr="005C17A3" w:rsidRDefault="00A61CE5" w:rsidP="000550FE">
            <w:pPr>
              <w:pStyle w:val="Compact"/>
              <w:numPr>
                <w:ilvl w:val="0"/>
                <w:numId w:val="9"/>
              </w:numPr>
              <w:rPr>
                <w:sz w:val="26"/>
                <w:szCs w:val="26"/>
              </w:rPr>
            </w:pPr>
            <w:r w:rsidRPr="005C17A3">
              <w:rPr>
                <w:sz w:val="26"/>
                <w:szCs w:val="26"/>
              </w:rPr>
              <w:t>Đóng góp của nghiên cứu</w:t>
            </w:r>
          </w:p>
          <w:p w14:paraId="0D08A583" w14:textId="5B20A6C9" w:rsidR="00A61CE5" w:rsidRPr="005C17A3" w:rsidRDefault="00A61CE5" w:rsidP="000550FE">
            <w:pPr>
              <w:pStyle w:val="Compact"/>
              <w:numPr>
                <w:ilvl w:val="0"/>
                <w:numId w:val="9"/>
              </w:numPr>
              <w:rPr>
                <w:sz w:val="26"/>
                <w:szCs w:val="26"/>
              </w:rPr>
            </w:pPr>
            <w:r w:rsidRPr="005C17A3">
              <w:rPr>
                <w:sz w:val="26"/>
                <w:szCs w:val="26"/>
              </w:rPr>
              <w:t>Hạn chế và hướng nghiên cứu tiếp theo</w:t>
            </w:r>
          </w:p>
        </w:tc>
      </w:tr>
    </w:tbl>
    <w:p w14:paraId="7BB34416" w14:textId="77777777" w:rsidR="005D3DB2" w:rsidRPr="005C17A3" w:rsidRDefault="00000000">
      <w:pPr>
        <w:pStyle w:val="SourceNote"/>
        <w:rPr>
          <w:sz w:val="26"/>
          <w:szCs w:val="26"/>
        </w:rPr>
      </w:pPr>
      <w:r w:rsidRPr="005C17A3">
        <w:rPr>
          <w:sz w:val="26"/>
          <w:szCs w:val="26"/>
        </w:rPr>
        <w:t>Nguồn: Thí sinh đề xuất</w:t>
      </w:r>
    </w:p>
    <w:p w14:paraId="2747EEAA" w14:textId="77777777" w:rsidR="005D3DB2" w:rsidRPr="005C17A3" w:rsidRDefault="00000000">
      <w:pPr>
        <w:pStyle w:val="Heading1"/>
      </w:pPr>
      <w:bookmarkStart w:id="36" w:name="_Toc243136587"/>
      <w:bookmarkStart w:id="37" w:name="lý-do-chọn-cơ-sở-nghiên-cứu"/>
      <w:bookmarkEnd w:id="1"/>
      <w:bookmarkEnd w:id="34"/>
      <w:r w:rsidRPr="005C17A3">
        <w:t>5. Lý do chọn cơ sở nghiên cứu</w:t>
      </w:r>
      <w:bookmarkEnd w:id="36"/>
    </w:p>
    <w:p w14:paraId="0D9BAE2D" w14:textId="77777777" w:rsidR="005D3DB2" w:rsidRPr="005C17A3" w:rsidRDefault="00000000">
      <w:pPr>
        <w:pStyle w:val="FirstParagraph"/>
      </w:pPr>
      <w:r w:rsidRPr="005C17A3">
        <w:t>Thí sinh chọn Trường Quốc tế, Đại học Quốc gia Hà Nội vì ba lý do. Thứ nhất, theo Thông báo tuyển sinh năm 2026, chương trình Tiến sĩ Kinh tế và Quản lý có tính liên ngành, tập trung vào kinh tế hành vi và quản lý trong lĩnh vực kinh tế; đề tài thuộc tài chính định lượng và giao thoa với quản lý ở phần định hướng chuyên môn hóa thị trường vốn Hà Nội.</w:t>
      </w:r>
    </w:p>
    <w:p w14:paraId="2875B397" w14:textId="77777777" w:rsidR="005D3DB2" w:rsidRPr="005C17A3" w:rsidRDefault="00000000">
      <w:pPr>
        <w:pStyle w:val="BodyText"/>
      </w:pPr>
      <w:r w:rsidRPr="005C17A3">
        <w:t>Thứ hai, chương trình giảng dạy bằng tiếng Anh hoặc tiếng Việt. Học bằng tiếng Anh thuận lợi cho công bố quốc tế, và thí sinh có chứng chỉ tiếng Anh Bậc 4 theo Khung năng lực ngoại ngữ 6 bậc dùng cho Việt Nam.</w:t>
      </w:r>
    </w:p>
    <w:p w14:paraId="46776705" w14:textId="77777777" w:rsidR="005D3DB2" w:rsidRPr="005C17A3" w:rsidRDefault="00000000">
      <w:pPr>
        <w:pStyle w:val="BodyText"/>
      </w:pPr>
      <w:r w:rsidRPr="005C17A3">
        <w:t>Thứ ba, thí sinh tốt nghiệp ngành Kinh tế, chuyên ngành Đầu tư; theo đối chiếu của thí sinh, ngành này thuộc Nhóm 1 (Kinh tế học) trong Phụ lục 1 của Thông báo, nên thí sinh cần học bổ sung 9 tín chỉ. Nhà trường sẽ xác định điều kiện cuối cùng.</w:t>
      </w:r>
    </w:p>
    <w:p w14:paraId="6DB80960" w14:textId="77777777" w:rsidR="005D3DB2" w:rsidRPr="005C17A3" w:rsidRDefault="00000000">
      <w:pPr>
        <w:pStyle w:val="Heading1"/>
      </w:pPr>
      <w:bookmarkStart w:id="38" w:name="_Toc243136588"/>
      <w:bookmarkStart w:id="39" w:name="Xf8e4ba5ea21963918e9abed853de8bb88860e44"/>
      <w:bookmarkEnd w:id="37"/>
      <w:r w:rsidRPr="005C17A3">
        <w:t>6. Mục tiêu và mong muốn đạt được khi đăng ký đi học nghiên cứu sinh</w:t>
      </w:r>
      <w:bookmarkEnd w:id="38"/>
    </w:p>
    <w:p w14:paraId="484C8A8E" w14:textId="77777777" w:rsidR="005D3DB2" w:rsidRPr="005C17A3" w:rsidRDefault="00000000">
      <w:pPr>
        <w:pStyle w:val="FirstParagraph"/>
      </w:pPr>
      <w:r w:rsidRPr="005C17A3">
        <w:t xml:space="preserve">Mục tiêu đầu tiên của thí sinh là đạt năng lực nghiên cứu độc lập ở trình độ tiến sĩ trong tài chính định lượng: thiết kế một nghiên cứu thực nghiệm có đăng ký trước, ước lượng tác động của một sự kiện duy nhất với suy luận phù hợp, và báo cáo trung thực cả những kết quả chưa đủ cơ sở kết luận. Thí sinh muốn rèn các kỹ năng này </w:t>
      </w:r>
      <w:r w:rsidRPr="005C17A3">
        <w:lastRenderedPageBreak/>
        <w:t>trong một môi trường có học phần phương pháp, hội thảo định kỳ và cơ chế phản biện nội bộ.</w:t>
      </w:r>
    </w:p>
    <w:p w14:paraId="3B6C4BF8" w14:textId="77777777" w:rsidR="005D3DB2" w:rsidRPr="005C17A3" w:rsidRDefault="00000000">
      <w:pPr>
        <w:pStyle w:val="BodyText"/>
      </w:pPr>
      <w:r w:rsidRPr="005C17A3">
        <w:t>Mục tiêu thứ hai là tạo ra bằng chứng có ích cho hai nhóm người dùng: nhà nghiên cứu về trung tâm tài chính và cấu trúc thị trường; và Ủy ban nhân dân thành phố Hà Nội, cơ quan quản lý thị trường chứng khoán, HNX và các tổ chức đầu tư. Thí sinh mong kết quả của luận án là một đóng góp nhỏ, có kiểm chứng, cho câu hỏi số 1 và số 3 của bài toán số 19 (mục 4.1), đúng vào thời điểm thị trường vốn Hà Nội thay đổi cấu trúc.</w:t>
      </w:r>
    </w:p>
    <w:p w14:paraId="44AB2F87" w14:textId="77777777" w:rsidR="005D3DB2" w:rsidRPr="005C17A3" w:rsidRDefault="00000000">
      <w:pPr>
        <w:pStyle w:val="Heading1"/>
      </w:pPr>
      <w:bookmarkStart w:id="40" w:name="_Toc243136589"/>
      <w:bookmarkStart w:id="41" w:name="X2296e1b9065b4769961ad6755f87c66660af063"/>
      <w:bookmarkEnd w:id="39"/>
      <w:r w:rsidRPr="005C17A3">
        <w:t>7. Những dự định và kế hoạch để đạt được những mục tiêu mong muốn</w:t>
      </w:r>
      <w:bookmarkEnd w:id="40"/>
    </w:p>
    <w:p w14:paraId="764B1DFD" w14:textId="77777777" w:rsidR="005D3DB2" w:rsidRPr="005C17A3" w:rsidRDefault="00000000">
      <w:pPr>
        <w:pStyle w:val="Heading2"/>
      </w:pPr>
      <w:bookmarkStart w:id="42" w:name="_Toc243136590"/>
      <w:bookmarkStart w:id="43" w:name="học-phần-đào-tạo-trình-độ-tiến-sĩ"/>
      <w:r w:rsidRPr="005C17A3">
        <w:t>7.1. Học phần đào tạo trình độ tiến sĩ</w:t>
      </w:r>
      <w:bookmarkEnd w:id="42"/>
    </w:p>
    <w:p w14:paraId="3ACA6BD8" w14:textId="77777777" w:rsidR="005D3DB2" w:rsidRPr="005C17A3" w:rsidRDefault="00000000">
      <w:pPr>
        <w:pStyle w:val="FirstParagraph"/>
      </w:pPr>
      <w:r w:rsidRPr="005C17A3">
        <w:t>Trong hai quý đầu năm thứ nhất, thí sinh hoàn thành 9 tín chỉ học bổ sung (học phần Hành vi tổ chức và Lãnh đạo cùng hai học phần tự chọn) và các học phần theo chương trình, ưu tiên học phần tự chọn về kinh tế lượng chuỗi thời gian và phương pháp nghiên cứu định lượng.</w:t>
      </w:r>
    </w:p>
    <w:p w14:paraId="02981DC1" w14:textId="77777777" w:rsidR="005D3DB2" w:rsidRPr="005C17A3" w:rsidRDefault="00000000">
      <w:pPr>
        <w:pStyle w:val="Heading2"/>
      </w:pPr>
      <w:bookmarkStart w:id="44" w:name="_Toc243136591"/>
      <w:bookmarkStart w:id="45" w:name="chuyên-đề-tiến-sĩ"/>
      <w:bookmarkEnd w:id="43"/>
      <w:r w:rsidRPr="005C17A3">
        <w:t>7.2. Chuyên đề tiến sĩ</w:t>
      </w:r>
      <w:bookmarkEnd w:id="44"/>
    </w:p>
    <w:p w14:paraId="20BA3840" w14:textId="77777777" w:rsidR="005D3DB2" w:rsidRPr="005C17A3" w:rsidRDefault="00000000">
      <w:pPr>
        <w:pStyle w:val="FirstParagraph"/>
      </w:pPr>
      <w:r w:rsidRPr="005C17A3">
        <w:t>Thí sinh dự kiến ba chuyên đề bám theo cấu trúc luận án: (i) tổng quan lý thuyết về trung tâm tài chính, cấu trúc sàn và hợp nhất sàn; (ii) chất lượng thị trường vốn của HNX, UPCoM và HOSE trước hợp nhất; (iii) tác động của hợp nhất sàn lên thanh khoản và khả năng đầu tư. Mỗi chuyên đề đứng độc lập được và làm nền cho một chương của luận án.</w:t>
      </w:r>
    </w:p>
    <w:p w14:paraId="230CBF81" w14:textId="77777777" w:rsidR="005D3DB2" w:rsidRPr="005C17A3" w:rsidRDefault="00000000">
      <w:pPr>
        <w:pStyle w:val="Heading2"/>
      </w:pPr>
      <w:bookmarkStart w:id="46" w:name="_Toc243136592"/>
      <w:bookmarkStart w:id="47" w:name="phần-nghiên-cứu-khoa-học"/>
      <w:bookmarkEnd w:id="45"/>
      <w:r w:rsidRPr="005C17A3">
        <w:t>7.3. Phần nghiên cứu khoa học</w:t>
      </w:r>
      <w:bookmarkEnd w:id="46"/>
    </w:p>
    <w:p w14:paraId="3B1B7096" w14:textId="77777777" w:rsidR="005D3DB2" w:rsidRPr="005C17A3" w:rsidRDefault="00000000">
      <w:pPr>
        <w:pStyle w:val="FirstParagraph"/>
      </w:pPr>
      <w:r w:rsidRPr="005C17A3">
        <w:t>Thí sinh dự kiến công bố ba bài báo trên tạp chí khoa học có phản biện và trình bày một đến hai báo cáo tại hội thảo khoa học. Bài báo 1 trình bày Chỉ số chất lượng thị trường vốn và so sánh HNX với HOSE (H</w:t>
      </w:r>
      <w:r w:rsidRPr="005C17A3">
        <w:rPr>
          <w:vertAlign w:val="subscript"/>
        </w:rPr>
        <w:t>2</w:t>
      </w:r>
      <w:r w:rsidRPr="005C17A3">
        <w:t>); bài báo 2 trình bày tác động của việc chuyển sàn lên thanh khoản và khả năng đầu tư (H</w:t>
      </w:r>
      <w:r w:rsidRPr="005C17A3">
        <w:rPr>
          <w:vertAlign w:val="subscript"/>
        </w:rPr>
        <w:t>3</w:t>
      </w:r>
      <w:r w:rsidRPr="005C17A3">
        <w:t>, H</w:t>
      </w:r>
      <w:r w:rsidRPr="005C17A3">
        <w:rPr>
          <w:vertAlign w:val="subscript"/>
        </w:rPr>
        <w:t>4</w:t>
      </w:r>
      <w:r w:rsidRPr="005C17A3">
        <w:t>); bài báo 3 trình bày bằng chứng quốc tế (H</w:t>
      </w:r>
      <w:r w:rsidRPr="005C17A3">
        <w:rPr>
          <w:vertAlign w:val="subscript"/>
        </w:rPr>
        <w:t>1</w:t>
      </w:r>
      <w:r w:rsidRPr="005C17A3">
        <w:t>) và so sánh vai trò của Hà Nội với các trung tâm trong khu vực. Mục tiêu là ít nhất một bài, do thí sinh là tác giả chính, thuộc cơ sở dữ liệu Web of Science hạng Q1 hoặc Q2.</w:t>
      </w:r>
    </w:p>
    <w:p w14:paraId="26BAF13A" w14:textId="77777777" w:rsidR="005D3DB2" w:rsidRPr="005C17A3" w:rsidRDefault="00000000">
      <w:pPr>
        <w:pStyle w:val="Heading2"/>
      </w:pPr>
      <w:bookmarkStart w:id="48" w:name="_Toc243136593"/>
      <w:bookmarkStart w:id="49" w:name="phần-thực-hiện-luận-án"/>
      <w:bookmarkEnd w:id="47"/>
      <w:r w:rsidRPr="005C17A3">
        <w:lastRenderedPageBreak/>
        <w:t>7.4. Phần thực hiện luận án</w:t>
      </w:r>
      <w:bookmarkEnd w:id="48"/>
    </w:p>
    <w:p w14:paraId="6CC50387" w14:textId="77777777" w:rsidR="005D3DB2" w:rsidRPr="005C17A3" w:rsidRDefault="00000000">
      <w:pPr>
        <w:pStyle w:val="FirstParagraph"/>
      </w:pPr>
      <w:r w:rsidRPr="005C17A3">
        <w:t>Thời gian đào tạo đối với người có bằng đại học là bốn năm, theo hình thức tập trung toàn thời gian; thời gian này không vượt quá 48 tháng, là thời gian hỗ trợ tối đa theo Điều 13 Nghị quyết số 57/2026/NQ-HĐND (Hội đồng nhân dân thành phố Hà Nội, 2026). Bảng 5 nêu kế hoạch và sản phẩm dự kiến của từng năm.</w:t>
      </w:r>
    </w:p>
    <w:p w14:paraId="5D253A7E" w14:textId="77777777" w:rsidR="005D3DB2" w:rsidRPr="005C17A3" w:rsidRDefault="00000000">
      <w:pPr>
        <w:pStyle w:val="TableCaption"/>
      </w:pPr>
      <w:bookmarkStart w:id="50" w:name="_Toc242353160"/>
      <w:r w:rsidRPr="005C17A3">
        <w:t xml:space="preserve">Bảng </w:t>
      </w:r>
      <w:fldSimple w:instr=" SEQ Bảng \* ARABIC ">
        <w:r w:rsidR="005D3DB2" w:rsidRPr="005C17A3">
          <w:rPr>
            <w:noProof/>
          </w:rPr>
          <w:t>5</w:t>
        </w:r>
      </w:fldSimple>
      <w:r w:rsidRPr="005C17A3">
        <w:t>. Kế hoạch thực hiện luận án theo bốn năm và sản phẩm dự kiến</w:t>
      </w:r>
      <w:bookmarkEnd w:id="50"/>
    </w:p>
    <w:tbl>
      <w:tblPr>
        <w:tblStyle w:val="GridTable1Light"/>
        <w:tblW w:w="5000" w:type="pct"/>
        <w:tblLook w:val="0020" w:firstRow="1" w:lastRow="0" w:firstColumn="0" w:lastColumn="0" w:noHBand="0" w:noVBand="0"/>
      </w:tblPr>
      <w:tblGrid>
        <w:gridCol w:w="999"/>
        <w:gridCol w:w="4895"/>
        <w:gridCol w:w="2884"/>
      </w:tblGrid>
      <w:tr w:rsidR="005D3DB2" w:rsidRPr="005C17A3" w14:paraId="4A191D29" w14:textId="77777777" w:rsidTr="00056778">
        <w:trPr>
          <w:cnfStyle w:val="100000000000" w:firstRow="1" w:lastRow="0" w:firstColumn="0" w:lastColumn="0" w:oddVBand="0" w:evenVBand="0" w:oddHBand="0" w:evenHBand="0" w:firstRowFirstColumn="0" w:firstRowLastColumn="0" w:lastRowFirstColumn="0" w:lastRowLastColumn="0"/>
        </w:trPr>
        <w:tc>
          <w:tcPr>
            <w:tcW w:w="569" w:type="pct"/>
          </w:tcPr>
          <w:p w14:paraId="7841D58D" w14:textId="77777777" w:rsidR="005D3DB2" w:rsidRPr="005C17A3" w:rsidRDefault="00000000">
            <w:pPr>
              <w:pStyle w:val="Compact"/>
              <w:jc w:val="center"/>
              <w:rPr>
                <w:sz w:val="26"/>
                <w:szCs w:val="26"/>
              </w:rPr>
            </w:pPr>
            <w:r w:rsidRPr="005C17A3">
              <w:rPr>
                <w:sz w:val="26"/>
                <w:szCs w:val="26"/>
              </w:rPr>
              <w:t>Năm</w:t>
            </w:r>
          </w:p>
        </w:tc>
        <w:tc>
          <w:tcPr>
            <w:tcW w:w="2788" w:type="pct"/>
          </w:tcPr>
          <w:p w14:paraId="10AA8400" w14:textId="77777777" w:rsidR="005D3DB2" w:rsidRPr="005C17A3" w:rsidRDefault="00000000">
            <w:pPr>
              <w:pStyle w:val="Compact"/>
              <w:jc w:val="center"/>
              <w:rPr>
                <w:sz w:val="26"/>
                <w:szCs w:val="26"/>
              </w:rPr>
            </w:pPr>
            <w:r w:rsidRPr="005C17A3">
              <w:rPr>
                <w:sz w:val="26"/>
                <w:szCs w:val="26"/>
              </w:rPr>
              <w:t>Nội dung</w:t>
            </w:r>
          </w:p>
        </w:tc>
        <w:tc>
          <w:tcPr>
            <w:tcW w:w="1643" w:type="pct"/>
          </w:tcPr>
          <w:p w14:paraId="7896BE8D" w14:textId="77777777" w:rsidR="005D3DB2" w:rsidRPr="005C17A3" w:rsidRDefault="00000000">
            <w:pPr>
              <w:pStyle w:val="Compact"/>
              <w:jc w:val="center"/>
              <w:rPr>
                <w:sz w:val="26"/>
                <w:szCs w:val="26"/>
              </w:rPr>
            </w:pPr>
            <w:r w:rsidRPr="005C17A3">
              <w:rPr>
                <w:sz w:val="26"/>
                <w:szCs w:val="26"/>
              </w:rPr>
              <w:t>Sản phẩm</w:t>
            </w:r>
          </w:p>
        </w:tc>
      </w:tr>
      <w:tr w:rsidR="005D3DB2" w:rsidRPr="005C17A3" w14:paraId="0DC71823" w14:textId="77777777" w:rsidTr="00056778">
        <w:tc>
          <w:tcPr>
            <w:tcW w:w="569" w:type="pct"/>
          </w:tcPr>
          <w:p w14:paraId="408083FD" w14:textId="77777777" w:rsidR="005D3DB2" w:rsidRPr="005C17A3" w:rsidRDefault="00000000">
            <w:pPr>
              <w:pStyle w:val="Compact"/>
              <w:rPr>
                <w:sz w:val="26"/>
                <w:szCs w:val="26"/>
              </w:rPr>
            </w:pPr>
            <w:r w:rsidRPr="005C17A3">
              <w:rPr>
                <w:sz w:val="26"/>
                <w:szCs w:val="26"/>
              </w:rPr>
              <w:t>Năm 1</w:t>
            </w:r>
          </w:p>
        </w:tc>
        <w:tc>
          <w:tcPr>
            <w:tcW w:w="2788" w:type="pct"/>
          </w:tcPr>
          <w:p w14:paraId="1D544F70" w14:textId="77777777" w:rsidR="005D3DB2" w:rsidRPr="005C17A3" w:rsidRDefault="00000000">
            <w:pPr>
              <w:pStyle w:val="Compact"/>
              <w:rPr>
                <w:sz w:val="26"/>
                <w:szCs w:val="26"/>
              </w:rPr>
            </w:pPr>
            <w:r w:rsidRPr="005C17A3">
              <w:rPr>
                <w:sz w:val="26"/>
                <w:szCs w:val="26"/>
              </w:rPr>
              <w:t>Trước khi nhập học: đăng ký trước kế hoạch phân tích (trước ngày 28/12/2026). Quý 1: xác nhận nguồn và giấy phép dữ liệu HNX, UPCoM, HOSE, dữ liệu công bố và báo cáo GFCI. Quý 1–2: học bổ sung 9 tín chỉ và các học phần theo chương trình. Quý 2–3: làm sạch dữ liệu 2009–2026, tính các chỉ báo thành phần, tính hiệu ứng nhỏ nhất phát hiện được. Quý 4: xây dựng Chỉ số chất lượng thị trường vốn, kiểm định H</w:t>
            </w:r>
            <w:r w:rsidRPr="005C17A3">
              <w:rPr>
                <w:sz w:val="26"/>
                <w:szCs w:val="26"/>
                <w:vertAlign w:val="subscript"/>
              </w:rPr>
              <w:t>2</w:t>
            </w:r>
          </w:p>
        </w:tc>
        <w:tc>
          <w:tcPr>
            <w:tcW w:w="1643" w:type="pct"/>
          </w:tcPr>
          <w:p w14:paraId="46783CF3" w14:textId="77777777" w:rsidR="005D3DB2" w:rsidRPr="005C17A3" w:rsidRDefault="00000000">
            <w:pPr>
              <w:pStyle w:val="Compact"/>
              <w:rPr>
                <w:sz w:val="26"/>
                <w:szCs w:val="26"/>
              </w:rPr>
            </w:pPr>
            <w:r w:rsidRPr="005C17A3">
              <w:rPr>
                <w:sz w:val="26"/>
                <w:szCs w:val="26"/>
              </w:rPr>
              <w:t>Tệp đăng ký trước; tổng quan nghiên cứu; chuyên đề 1; Chỉ số chất lượng thị trường vốn bản đầu</w:t>
            </w:r>
          </w:p>
        </w:tc>
      </w:tr>
      <w:tr w:rsidR="005D3DB2" w:rsidRPr="005C17A3" w14:paraId="1F4E8DAD" w14:textId="77777777" w:rsidTr="00056778">
        <w:tc>
          <w:tcPr>
            <w:tcW w:w="569" w:type="pct"/>
          </w:tcPr>
          <w:p w14:paraId="29F5B2BC" w14:textId="77777777" w:rsidR="005D3DB2" w:rsidRPr="005C17A3" w:rsidRDefault="00000000">
            <w:pPr>
              <w:pStyle w:val="Compact"/>
              <w:rPr>
                <w:sz w:val="26"/>
                <w:szCs w:val="26"/>
              </w:rPr>
            </w:pPr>
            <w:r w:rsidRPr="005C17A3">
              <w:rPr>
                <w:sz w:val="26"/>
                <w:szCs w:val="26"/>
              </w:rPr>
              <w:t>Năm 2</w:t>
            </w:r>
          </w:p>
        </w:tc>
        <w:tc>
          <w:tcPr>
            <w:tcW w:w="2788" w:type="pct"/>
          </w:tcPr>
          <w:p w14:paraId="51D69CBB" w14:textId="77777777" w:rsidR="005D3DB2" w:rsidRPr="005C17A3" w:rsidRDefault="00000000">
            <w:pPr>
              <w:pStyle w:val="Compact"/>
              <w:rPr>
                <w:sz w:val="26"/>
                <w:szCs w:val="26"/>
              </w:rPr>
            </w:pPr>
            <w:r w:rsidRPr="005C17A3">
              <w:rPr>
                <w:sz w:val="26"/>
                <w:szCs w:val="26"/>
              </w:rPr>
              <w:t>Quý 1–2: viết bài báo 1 (H</w:t>
            </w:r>
            <w:r w:rsidRPr="005C17A3">
              <w:rPr>
                <w:sz w:val="26"/>
                <w:szCs w:val="26"/>
                <w:vertAlign w:val="subscript"/>
              </w:rPr>
              <w:t>2</w:t>
            </w:r>
            <w:r w:rsidRPr="005C17A3">
              <w:rPr>
                <w:sz w:val="26"/>
                <w:szCs w:val="26"/>
              </w:rPr>
              <w:t>); số hóa điểm GFCI và kiểm định H</w:t>
            </w:r>
            <w:r w:rsidRPr="005C17A3">
              <w:rPr>
                <w:sz w:val="26"/>
                <w:szCs w:val="26"/>
                <w:vertAlign w:val="subscript"/>
              </w:rPr>
              <w:t>1</w:t>
            </w:r>
            <w:r w:rsidRPr="005C17A3">
              <w:rPr>
                <w:sz w:val="26"/>
                <w:szCs w:val="26"/>
              </w:rPr>
              <w:t>. Quý 3–4: ước lượng giữa kỳ cho H</w:t>
            </w:r>
            <w:r w:rsidRPr="005C17A3">
              <w:rPr>
                <w:sz w:val="26"/>
                <w:szCs w:val="26"/>
                <w:vertAlign w:val="subscript"/>
              </w:rPr>
              <w:t>3</w:t>
            </w:r>
            <w:r w:rsidRPr="005C17A3">
              <w:rPr>
                <w:sz w:val="26"/>
                <w:szCs w:val="26"/>
              </w:rPr>
              <w:t xml:space="preserve"> với 12 tháng dữ liệu sau sự kiện, báo cáo là kết quả giữa kỳ theo tệp đăng ký</w:t>
            </w:r>
          </w:p>
        </w:tc>
        <w:tc>
          <w:tcPr>
            <w:tcW w:w="1643" w:type="pct"/>
          </w:tcPr>
          <w:p w14:paraId="314781E2" w14:textId="77777777" w:rsidR="005D3DB2" w:rsidRPr="005C17A3" w:rsidRDefault="00000000">
            <w:pPr>
              <w:pStyle w:val="Compact"/>
              <w:rPr>
                <w:sz w:val="26"/>
                <w:szCs w:val="26"/>
              </w:rPr>
            </w:pPr>
            <w:r w:rsidRPr="005C17A3">
              <w:rPr>
                <w:sz w:val="26"/>
                <w:szCs w:val="26"/>
              </w:rPr>
              <w:t>Bài báo 1; kết quả giữa kỳ H</w:t>
            </w:r>
            <w:r w:rsidRPr="005C17A3">
              <w:rPr>
                <w:sz w:val="26"/>
                <w:szCs w:val="26"/>
                <w:vertAlign w:val="subscript"/>
              </w:rPr>
              <w:t>3</w:t>
            </w:r>
            <w:r w:rsidRPr="005C17A3">
              <w:rPr>
                <w:sz w:val="26"/>
                <w:szCs w:val="26"/>
              </w:rPr>
              <w:t>; báo cáo hội thảo; chuyên đề 2</w:t>
            </w:r>
          </w:p>
        </w:tc>
      </w:tr>
      <w:tr w:rsidR="005D3DB2" w:rsidRPr="005C17A3" w14:paraId="791743BB" w14:textId="77777777" w:rsidTr="00056778">
        <w:tc>
          <w:tcPr>
            <w:tcW w:w="569" w:type="pct"/>
          </w:tcPr>
          <w:p w14:paraId="239DDFC5" w14:textId="77777777" w:rsidR="005D3DB2" w:rsidRPr="005C17A3" w:rsidRDefault="00000000">
            <w:pPr>
              <w:pStyle w:val="Compact"/>
              <w:rPr>
                <w:sz w:val="26"/>
                <w:szCs w:val="26"/>
              </w:rPr>
            </w:pPr>
            <w:r w:rsidRPr="005C17A3">
              <w:rPr>
                <w:sz w:val="26"/>
                <w:szCs w:val="26"/>
              </w:rPr>
              <w:t>Năm 3</w:t>
            </w:r>
          </w:p>
        </w:tc>
        <w:tc>
          <w:tcPr>
            <w:tcW w:w="2788" w:type="pct"/>
          </w:tcPr>
          <w:p w14:paraId="7A9E4BB3" w14:textId="77777777" w:rsidR="005D3DB2" w:rsidRPr="005C17A3" w:rsidRDefault="00000000">
            <w:pPr>
              <w:pStyle w:val="Compact"/>
              <w:rPr>
                <w:sz w:val="26"/>
                <w:szCs w:val="26"/>
              </w:rPr>
            </w:pPr>
            <w:r w:rsidRPr="005C17A3">
              <w:rPr>
                <w:sz w:val="26"/>
                <w:szCs w:val="26"/>
              </w:rPr>
              <w:t>Quý 1–2: hoàn tất 24 tháng dữ liệu sau sự kiện; kiểm định H</w:t>
            </w:r>
            <w:r w:rsidRPr="005C17A3">
              <w:rPr>
                <w:sz w:val="26"/>
                <w:szCs w:val="26"/>
                <w:vertAlign w:val="subscript"/>
              </w:rPr>
              <w:t>3</w:t>
            </w:r>
            <w:r w:rsidRPr="005C17A3">
              <w:rPr>
                <w:sz w:val="26"/>
                <w:szCs w:val="26"/>
              </w:rPr>
              <w:t xml:space="preserve"> và ước lượng H</w:t>
            </w:r>
            <w:r w:rsidRPr="005C17A3">
              <w:rPr>
                <w:sz w:val="26"/>
                <w:szCs w:val="26"/>
                <w:vertAlign w:val="subscript"/>
              </w:rPr>
              <w:t>4</w:t>
            </w:r>
            <w:r w:rsidRPr="005C17A3">
              <w:rPr>
                <w:sz w:val="26"/>
                <w:szCs w:val="26"/>
              </w:rPr>
              <w:t>; viết bài báo 2 (H</w:t>
            </w:r>
            <w:r w:rsidRPr="005C17A3">
              <w:rPr>
                <w:sz w:val="26"/>
                <w:szCs w:val="26"/>
                <w:vertAlign w:val="subscript"/>
              </w:rPr>
              <w:t>3</w:t>
            </w:r>
            <w:r w:rsidRPr="005C17A3">
              <w:rPr>
                <w:sz w:val="26"/>
                <w:szCs w:val="26"/>
              </w:rPr>
              <w:t>, H</w:t>
            </w:r>
            <w:r w:rsidRPr="005C17A3">
              <w:rPr>
                <w:sz w:val="26"/>
                <w:szCs w:val="26"/>
                <w:vertAlign w:val="subscript"/>
              </w:rPr>
              <w:t>4</w:t>
            </w:r>
            <w:r w:rsidRPr="005C17A3">
              <w:rPr>
                <w:sz w:val="26"/>
                <w:szCs w:val="26"/>
              </w:rPr>
              <w:t>). Quý 3–4: so sánh Hà Nội với Bắc Kinh, Thành phố Hồ Chí Minh và các trung tâm khu vực; viết bài báo 3 (H</w:t>
            </w:r>
            <w:r w:rsidRPr="005C17A3">
              <w:rPr>
                <w:sz w:val="26"/>
                <w:szCs w:val="26"/>
                <w:vertAlign w:val="subscript"/>
              </w:rPr>
              <w:t>1</w:t>
            </w:r>
            <w:r w:rsidRPr="005C17A3">
              <w:rPr>
                <w:sz w:val="26"/>
                <w:szCs w:val="26"/>
              </w:rPr>
              <w:t>)</w:t>
            </w:r>
          </w:p>
        </w:tc>
        <w:tc>
          <w:tcPr>
            <w:tcW w:w="1643" w:type="pct"/>
          </w:tcPr>
          <w:p w14:paraId="25CB08A4" w14:textId="77777777" w:rsidR="005D3DB2" w:rsidRPr="005C17A3" w:rsidRDefault="00000000">
            <w:pPr>
              <w:pStyle w:val="Compact"/>
              <w:rPr>
                <w:sz w:val="26"/>
                <w:szCs w:val="26"/>
              </w:rPr>
            </w:pPr>
            <w:r w:rsidRPr="005C17A3">
              <w:rPr>
                <w:sz w:val="26"/>
                <w:szCs w:val="26"/>
              </w:rPr>
              <w:t>Bài báo 2; chỉ số khả năng đầu tư; chuyên đề 3</w:t>
            </w:r>
          </w:p>
        </w:tc>
      </w:tr>
      <w:tr w:rsidR="005D3DB2" w:rsidRPr="005C17A3" w14:paraId="2E588CF9" w14:textId="77777777" w:rsidTr="00056778">
        <w:tc>
          <w:tcPr>
            <w:tcW w:w="569" w:type="pct"/>
          </w:tcPr>
          <w:p w14:paraId="0C8E5A11" w14:textId="77777777" w:rsidR="005D3DB2" w:rsidRPr="005C17A3" w:rsidRDefault="00000000">
            <w:pPr>
              <w:pStyle w:val="Compact"/>
              <w:rPr>
                <w:sz w:val="26"/>
                <w:szCs w:val="26"/>
              </w:rPr>
            </w:pPr>
            <w:r w:rsidRPr="005C17A3">
              <w:rPr>
                <w:sz w:val="26"/>
                <w:szCs w:val="26"/>
              </w:rPr>
              <w:t>Năm 4</w:t>
            </w:r>
          </w:p>
        </w:tc>
        <w:tc>
          <w:tcPr>
            <w:tcW w:w="2788" w:type="pct"/>
          </w:tcPr>
          <w:p w14:paraId="4C21FEB0" w14:textId="77777777" w:rsidR="005D3DB2" w:rsidRPr="005C17A3" w:rsidRDefault="00000000">
            <w:pPr>
              <w:pStyle w:val="Compact"/>
              <w:rPr>
                <w:sz w:val="26"/>
                <w:szCs w:val="26"/>
              </w:rPr>
            </w:pPr>
            <w:r w:rsidRPr="005C17A3">
              <w:rPr>
                <w:sz w:val="26"/>
                <w:szCs w:val="26"/>
              </w:rPr>
              <w:t>Quý 1–2: đề xuất định hướng chuyên môn hóa và chính sách cho thị trường vốn Hà Nội; công bố mã nguồn hai chỉ số. Quý 3–4: hoàn thiện luận án, chỉnh sửa theo góp ý và bảo vệ</w:t>
            </w:r>
          </w:p>
        </w:tc>
        <w:tc>
          <w:tcPr>
            <w:tcW w:w="1643" w:type="pct"/>
          </w:tcPr>
          <w:p w14:paraId="4F348ED6" w14:textId="77777777" w:rsidR="005D3DB2" w:rsidRPr="005C17A3" w:rsidRDefault="00000000">
            <w:pPr>
              <w:pStyle w:val="Compact"/>
              <w:rPr>
                <w:sz w:val="26"/>
                <w:szCs w:val="26"/>
              </w:rPr>
            </w:pPr>
            <w:r w:rsidRPr="005C17A3">
              <w:rPr>
                <w:sz w:val="26"/>
                <w:szCs w:val="26"/>
              </w:rPr>
              <w:t>Bài báo 3; báo cáo định hướng chuyên môn hóa gửi Sở Khoa học và Công nghệ Hà Nội; luận án; hai chỉ số mã nguồn mở</w:t>
            </w:r>
          </w:p>
        </w:tc>
      </w:tr>
    </w:tbl>
    <w:p w14:paraId="1624EF25" w14:textId="77777777" w:rsidR="005D3DB2" w:rsidRPr="005C17A3" w:rsidRDefault="00000000">
      <w:pPr>
        <w:pStyle w:val="SourceNote"/>
        <w:rPr>
          <w:sz w:val="26"/>
          <w:szCs w:val="26"/>
        </w:rPr>
      </w:pPr>
      <w:r w:rsidRPr="005C17A3">
        <w:rPr>
          <w:sz w:val="26"/>
          <w:szCs w:val="26"/>
        </w:rPr>
        <w:t>Nguồn: Thí sinh đề xuất</w:t>
      </w:r>
    </w:p>
    <w:p w14:paraId="21F72B3F" w14:textId="77777777" w:rsidR="005D3DB2" w:rsidRPr="005C17A3" w:rsidRDefault="00000000">
      <w:pPr>
        <w:pStyle w:val="Heading1"/>
      </w:pPr>
      <w:bookmarkStart w:id="51" w:name="_Toc243136594"/>
      <w:bookmarkStart w:id="52" w:name="Xb9bc081f51ffaef1c7bc0b2210c66ae0c3d0cd6"/>
      <w:bookmarkEnd w:id="41"/>
      <w:bookmarkEnd w:id="49"/>
      <w:r w:rsidRPr="005C17A3">
        <w:t>8. Kiến thức chuyên môn của người dự tuyển tiến sĩ</w:t>
      </w:r>
      <w:bookmarkEnd w:id="51"/>
    </w:p>
    <w:p w14:paraId="2242CA55" w14:textId="77777777" w:rsidR="005D3DB2" w:rsidRPr="005C17A3" w:rsidRDefault="00000000">
      <w:pPr>
        <w:pStyle w:val="Heading2"/>
      </w:pPr>
      <w:bookmarkStart w:id="53" w:name="_Toc243136595"/>
      <w:bookmarkStart w:id="54" w:name="kinh-nghiệm-trong-hoạt-động-chuyên-môn"/>
      <w:r w:rsidRPr="005C17A3">
        <w:t>8.1. Kinh nghiệm trong hoạt động chuyên môn</w:t>
      </w:r>
      <w:bookmarkEnd w:id="53"/>
    </w:p>
    <w:p w14:paraId="7758EC6D" w14:textId="77777777" w:rsidR="005D3DB2" w:rsidRPr="005C17A3" w:rsidRDefault="00000000">
      <w:pPr>
        <w:pStyle w:val="FirstParagraph"/>
      </w:pPr>
      <w:r w:rsidRPr="005C17A3">
        <w:t xml:space="preserve">Kinh nghiệm chuyên môn của thí sinh chủ yếu là kinh nghiệm nghiên cứu. Thí sinh chủ nhiệm đề tài nghiên cứu khoa học sinh viên “Nâng cao hiệu quả danh mục </w:t>
      </w:r>
      <w:r w:rsidRPr="005C17A3">
        <w:lastRenderedPageBreak/>
        <w:t>đầu tư bằng mô hình Black-Litterman: Áp dụng cho ngành ngân hàng trên thị trường chứng khoán Việt Nam”, đạt Giải Nhất cấp Khoa và Giải Nhì cấp Học viện năm 2026; đề tài đang dự Giải thưởng Khoa học và Công nghệ dành cho sinh viên năm 2026 do Bộ Giáo dục và Đào tạo tổ chức. Thí sinh còn đạt Giải Nhì nghiên cứu khoa học sinh viên cấp Khoa năm 2025 và Giải Khuyến khích cuộc thi Data Explorer. Bảng 6 liệt kê các công trình đã công bố hoặc đã được chấp nhận đăng.</w:t>
      </w:r>
    </w:p>
    <w:p w14:paraId="297311BA" w14:textId="77777777" w:rsidR="005D3DB2" w:rsidRPr="005C17A3" w:rsidRDefault="00000000">
      <w:pPr>
        <w:pStyle w:val="TableCaption"/>
      </w:pPr>
      <w:bookmarkStart w:id="55" w:name="_Toc242353161"/>
      <w:r w:rsidRPr="005C17A3">
        <w:t xml:space="preserve">Bảng </w:t>
      </w:r>
      <w:fldSimple w:instr=" SEQ Bảng \* ARABIC ">
        <w:r w:rsidR="005D3DB2" w:rsidRPr="005C17A3">
          <w:rPr>
            <w:noProof/>
          </w:rPr>
          <w:t>6</w:t>
        </w:r>
      </w:fldSimple>
      <w:r w:rsidRPr="005C17A3">
        <w:t>. Công trình đã công bố hoặc đã được chấp nhận đăng</w:t>
      </w:r>
      <w:bookmarkEnd w:id="55"/>
    </w:p>
    <w:tbl>
      <w:tblPr>
        <w:tblStyle w:val="GridTable1Light"/>
        <w:tblW w:w="8788" w:type="dxa"/>
        <w:tblLayout w:type="fixed"/>
        <w:tblLook w:val="0020" w:firstRow="1" w:lastRow="0" w:firstColumn="0" w:lastColumn="0" w:noHBand="0" w:noVBand="0"/>
      </w:tblPr>
      <w:tblGrid>
        <w:gridCol w:w="600"/>
        <w:gridCol w:w="3900"/>
        <w:gridCol w:w="2600"/>
        <w:gridCol w:w="1688"/>
      </w:tblGrid>
      <w:tr w:rsidR="005D3DB2" w:rsidRPr="005C17A3" w14:paraId="1BE5B8E3" w14:textId="77777777" w:rsidTr="00056778">
        <w:trPr>
          <w:cnfStyle w:val="100000000000" w:firstRow="1" w:lastRow="0" w:firstColumn="0" w:lastColumn="0" w:oddVBand="0" w:evenVBand="0" w:oddHBand="0" w:evenHBand="0" w:firstRowFirstColumn="0" w:firstRowLastColumn="0" w:lastRowFirstColumn="0" w:lastRowLastColumn="0"/>
        </w:trPr>
        <w:tc>
          <w:tcPr>
            <w:tcW w:w="600" w:type="dxa"/>
          </w:tcPr>
          <w:p w14:paraId="3E7BD746" w14:textId="77777777" w:rsidR="005D3DB2" w:rsidRPr="005C17A3" w:rsidRDefault="00000000">
            <w:pPr>
              <w:pStyle w:val="Compact"/>
              <w:jc w:val="center"/>
              <w:rPr>
                <w:sz w:val="26"/>
                <w:szCs w:val="26"/>
              </w:rPr>
            </w:pPr>
            <w:r w:rsidRPr="005C17A3">
              <w:rPr>
                <w:sz w:val="26"/>
                <w:szCs w:val="26"/>
              </w:rPr>
              <w:t>TT</w:t>
            </w:r>
          </w:p>
        </w:tc>
        <w:tc>
          <w:tcPr>
            <w:tcW w:w="3900" w:type="dxa"/>
          </w:tcPr>
          <w:p w14:paraId="2FFE75F1" w14:textId="77777777" w:rsidR="005D3DB2" w:rsidRPr="005C17A3" w:rsidRDefault="00000000">
            <w:pPr>
              <w:pStyle w:val="Compact"/>
              <w:jc w:val="center"/>
              <w:rPr>
                <w:sz w:val="26"/>
                <w:szCs w:val="26"/>
              </w:rPr>
            </w:pPr>
            <w:r w:rsidRPr="005C17A3">
              <w:rPr>
                <w:sz w:val="26"/>
                <w:szCs w:val="26"/>
              </w:rPr>
              <w:t>Công trình</w:t>
            </w:r>
          </w:p>
        </w:tc>
        <w:tc>
          <w:tcPr>
            <w:tcW w:w="2600" w:type="dxa"/>
          </w:tcPr>
          <w:p w14:paraId="4FFF6C67" w14:textId="77777777" w:rsidR="005D3DB2" w:rsidRPr="005C17A3" w:rsidRDefault="00000000">
            <w:pPr>
              <w:pStyle w:val="Compact"/>
              <w:jc w:val="center"/>
              <w:rPr>
                <w:sz w:val="26"/>
                <w:szCs w:val="26"/>
              </w:rPr>
            </w:pPr>
            <w:r w:rsidRPr="005C17A3">
              <w:rPr>
                <w:sz w:val="26"/>
                <w:szCs w:val="26"/>
              </w:rPr>
              <w:t>Tạp chí; ISSN</w:t>
            </w:r>
          </w:p>
        </w:tc>
        <w:tc>
          <w:tcPr>
            <w:tcW w:w="1688" w:type="dxa"/>
          </w:tcPr>
          <w:p w14:paraId="14EE7AB2" w14:textId="77777777" w:rsidR="005D3DB2" w:rsidRPr="005C17A3" w:rsidRDefault="00000000">
            <w:pPr>
              <w:pStyle w:val="Compact"/>
              <w:jc w:val="center"/>
              <w:rPr>
                <w:sz w:val="26"/>
                <w:szCs w:val="26"/>
              </w:rPr>
            </w:pPr>
            <w:r w:rsidRPr="005C17A3">
              <w:rPr>
                <w:sz w:val="26"/>
                <w:szCs w:val="26"/>
              </w:rPr>
              <w:t>Trạng thái</w:t>
            </w:r>
          </w:p>
        </w:tc>
      </w:tr>
      <w:tr w:rsidR="005D3DB2" w:rsidRPr="005C17A3" w14:paraId="0C3FD5EB" w14:textId="77777777" w:rsidTr="00056778">
        <w:tc>
          <w:tcPr>
            <w:tcW w:w="600" w:type="dxa"/>
          </w:tcPr>
          <w:p w14:paraId="56F2951C" w14:textId="77777777" w:rsidR="005D3DB2" w:rsidRPr="005C17A3" w:rsidRDefault="00000000">
            <w:pPr>
              <w:pStyle w:val="Compact"/>
              <w:rPr>
                <w:sz w:val="26"/>
                <w:szCs w:val="26"/>
              </w:rPr>
            </w:pPr>
            <w:r w:rsidRPr="005C17A3">
              <w:rPr>
                <w:sz w:val="26"/>
                <w:szCs w:val="26"/>
              </w:rPr>
              <w:t>1</w:t>
            </w:r>
          </w:p>
        </w:tc>
        <w:tc>
          <w:tcPr>
            <w:tcW w:w="3900" w:type="dxa"/>
          </w:tcPr>
          <w:p w14:paraId="334F394D" w14:textId="140E5969" w:rsidR="005D3DB2" w:rsidRPr="005C17A3" w:rsidRDefault="00000000">
            <w:pPr>
              <w:pStyle w:val="Compact"/>
              <w:rPr>
                <w:sz w:val="26"/>
                <w:szCs w:val="26"/>
              </w:rPr>
            </w:pPr>
            <w:r w:rsidRPr="005C17A3">
              <w:rPr>
                <w:sz w:val="26"/>
                <w:szCs w:val="26"/>
              </w:rPr>
              <w:t>Nguyễn Thanh Bình, Nguyễn Văn Trung*, “Tiền gửi không kỳ hạn, hiệu quả hoạt động và ổn định tài chính ngân hàng: Bằng chứng từ mô hình ngưỡng tại Việt Nam”</w:t>
            </w:r>
          </w:p>
        </w:tc>
        <w:tc>
          <w:tcPr>
            <w:tcW w:w="2600" w:type="dxa"/>
          </w:tcPr>
          <w:p w14:paraId="0156088E" w14:textId="77777777" w:rsidR="005D3DB2" w:rsidRPr="005C17A3" w:rsidRDefault="00000000">
            <w:pPr>
              <w:pStyle w:val="Compact"/>
              <w:rPr>
                <w:sz w:val="26"/>
                <w:szCs w:val="26"/>
              </w:rPr>
            </w:pPr>
            <w:r w:rsidRPr="005C17A3">
              <w:rPr>
                <w:sz w:val="26"/>
                <w:szCs w:val="26"/>
              </w:rPr>
              <w:t>Tạp chí Kinh tế - Luật và Ngân hàng; ISSN 3030-4199; Tập 28, Số 9, tr. 52–64; DOI 10.59276/3030-4199/jelb.bav.895</w:t>
            </w:r>
          </w:p>
        </w:tc>
        <w:tc>
          <w:tcPr>
            <w:tcW w:w="1688" w:type="dxa"/>
          </w:tcPr>
          <w:p w14:paraId="5C92F14C" w14:textId="77777777" w:rsidR="005D3DB2" w:rsidRPr="005C17A3" w:rsidRDefault="00000000">
            <w:pPr>
              <w:pStyle w:val="Compact"/>
              <w:rPr>
                <w:sz w:val="26"/>
                <w:szCs w:val="26"/>
              </w:rPr>
            </w:pPr>
            <w:r w:rsidRPr="005C17A3">
              <w:rPr>
                <w:sz w:val="26"/>
                <w:szCs w:val="26"/>
              </w:rPr>
              <w:t>Đã công bố</w:t>
            </w:r>
          </w:p>
        </w:tc>
      </w:tr>
      <w:tr w:rsidR="005D3DB2" w:rsidRPr="005C17A3" w14:paraId="157F899D" w14:textId="77777777" w:rsidTr="00056778">
        <w:tc>
          <w:tcPr>
            <w:tcW w:w="600" w:type="dxa"/>
          </w:tcPr>
          <w:p w14:paraId="07FE4721" w14:textId="77777777" w:rsidR="005D3DB2" w:rsidRPr="005C17A3" w:rsidRDefault="00000000">
            <w:pPr>
              <w:pStyle w:val="Compact"/>
              <w:rPr>
                <w:sz w:val="26"/>
                <w:szCs w:val="26"/>
              </w:rPr>
            </w:pPr>
            <w:r w:rsidRPr="005C17A3">
              <w:rPr>
                <w:sz w:val="26"/>
                <w:szCs w:val="26"/>
              </w:rPr>
              <w:t>2</w:t>
            </w:r>
          </w:p>
        </w:tc>
        <w:tc>
          <w:tcPr>
            <w:tcW w:w="3900" w:type="dxa"/>
          </w:tcPr>
          <w:p w14:paraId="40FB7DA7" w14:textId="48D9FB80" w:rsidR="005D3DB2" w:rsidRPr="005C17A3" w:rsidRDefault="00000000">
            <w:pPr>
              <w:pStyle w:val="Compact"/>
              <w:rPr>
                <w:sz w:val="26"/>
                <w:szCs w:val="26"/>
              </w:rPr>
            </w:pPr>
            <w:r w:rsidRPr="005C17A3">
              <w:rPr>
                <w:sz w:val="26"/>
                <w:szCs w:val="26"/>
              </w:rPr>
              <w:t>Nguyễn Thanh Bình, Nguyễn Văn Trung, “Black-Litterman portfolio optimization using regime switching CAPM and ABC-MCMC: Empirical evidence from the Vietnamese stock market period 2019 - 2025”</w:t>
            </w:r>
          </w:p>
        </w:tc>
        <w:tc>
          <w:tcPr>
            <w:tcW w:w="2600" w:type="dxa"/>
          </w:tcPr>
          <w:p w14:paraId="0B104025" w14:textId="77777777" w:rsidR="005D3DB2" w:rsidRPr="005C17A3" w:rsidRDefault="00000000">
            <w:pPr>
              <w:pStyle w:val="Compact"/>
              <w:rPr>
                <w:sz w:val="26"/>
                <w:szCs w:val="26"/>
              </w:rPr>
            </w:pPr>
            <w:r w:rsidRPr="005C17A3">
              <w:rPr>
                <w:sz w:val="26"/>
                <w:szCs w:val="26"/>
              </w:rPr>
              <w:t>Tạp chí Nghiên cứu Chính sách và Phát triển; ISSN 3030-4091; Tập 3, Số 1, tr. 81–99; DOI 10.63640/3030-4091/jpd.apd.194</w:t>
            </w:r>
          </w:p>
        </w:tc>
        <w:tc>
          <w:tcPr>
            <w:tcW w:w="1688" w:type="dxa"/>
          </w:tcPr>
          <w:p w14:paraId="09798211" w14:textId="77777777" w:rsidR="005D3DB2" w:rsidRPr="005C17A3" w:rsidRDefault="00000000">
            <w:pPr>
              <w:pStyle w:val="Compact"/>
              <w:rPr>
                <w:sz w:val="26"/>
                <w:szCs w:val="26"/>
              </w:rPr>
            </w:pPr>
            <w:r w:rsidRPr="005C17A3">
              <w:rPr>
                <w:sz w:val="26"/>
                <w:szCs w:val="26"/>
              </w:rPr>
              <w:t>Đã công bố</w:t>
            </w:r>
          </w:p>
        </w:tc>
      </w:tr>
      <w:tr w:rsidR="005D3DB2" w:rsidRPr="005C17A3" w14:paraId="354DE3AF" w14:textId="77777777" w:rsidTr="00056778">
        <w:tc>
          <w:tcPr>
            <w:tcW w:w="600" w:type="dxa"/>
          </w:tcPr>
          <w:p w14:paraId="58CF11CB" w14:textId="77777777" w:rsidR="005D3DB2" w:rsidRPr="005C17A3" w:rsidRDefault="00000000">
            <w:pPr>
              <w:pStyle w:val="Compact"/>
              <w:rPr>
                <w:sz w:val="26"/>
                <w:szCs w:val="26"/>
              </w:rPr>
            </w:pPr>
            <w:r w:rsidRPr="005C17A3">
              <w:rPr>
                <w:sz w:val="26"/>
                <w:szCs w:val="26"/>
              </w:rPr>
              <w:t>3</w:t>
            </w:r>
          </w:p>
        </w:tc>
        <w:tc>
          <w:tcPr>
            <w:tcW w:w="3900" w:type="dxa"/>
          </w:tcPr>
          <w:p w14:paraId="1AEA76B5" w14:textId="77777777" w:rsidR="005D3DB2" w:rsidRPr="005C17A3" w:rsidRDefault="00000000">
            <w:pPr>
              <w:pStyle w:val="Compact"/>
              <w:rPr>
                <w:sz w:val="26"/>
                <w:szCs w:val="26"/>
              </w:rPr>
            </w:pPr>
            <w:r w:rsidRPr="005C17A3">
              <w:rPr>
                <w:sz w:val="26"/>
                <w:szCs w:val="26"/>
              </w:rPr>
              <w:t>Nguyễn Thanh Bình, Nguyễn Văn Trung*, Nguyễn Anh Tuấn, “GRI adoption and corporate brownwashing: Board governance evidence from ASEAN-5”</w:t>
            </w:r>
          </w:p>
        </w:tc>
        <w:tc>
          <w:tcPr>
            <w:tcW w:w="2600" w:type="dxa"/>
          </w:tcPr>
          <w:p w14:paraId="2FD8CF0D" w14:textId="77777777" w:rsidR="005D3DB2" w:rsidRPr="005C17A3" w:rsidRDefault="00000000">
            <w:pPr>
              <w:pStyle w:val="Compact"/>
              <w:rPr>
                <w:sz w:val="26"/>
                <w:szCs w:val="26"/>
              </w:rPr>
            </w:pPr>
            <w:r w:rsidRPr="005C17A3">
              <w:rPr>
                <w:sz w:val="26"/>
                <w:szCs w:val="26"/>
              </w:rPr>
              <w:t>International Journal of Management and Sustainability (Conscientia Beam); ISSN 2306-9856 (bản in), 2306-0662 (bản trực tuyến); Scopus Q3</w:t>
            </w:r>
          </w:p>
        </w:tc>
        <w:tc>
          <w:tcPr>
            <w:tcW w:w="1688" w:type="dxa"/>
          </w:tcPr>
          <w:p w14:paraId="2B8C02A3" w14:textId="77777777" w:rsidR="005D3DB2" w:rsidRPr="005C17A3" w:rsidRDefault="00000000">
            <w:pPr>
              <w:pStyle w:val="Compact"/>
              <w:rPr>
                <w:sz w:val="26"/>
                <w:szCs w:val="26"/>
              </w:rPr>
            </w:pPr>
            <w:r w:rsidRPr="005C17A3">
              <w:rPr>
                <w:sz w:val="26"/>
                <w:szCs w:val="26"/>
              </w:rPr>
              <w:t>Đã được chấp nhận đăng năm 2026, chưa xuất bản tại ngày 30/9/2026</w:t>
            </w:r>
          </w:p>
        </w:tc>
      </w:tr>
      <w:tr w:rsidR="005D3DB2" w:rsidRPr="005C17A3" w14:paraId="6846C3A3" w14:textId="77777777" w:rsidTr="00056778">
        <w:tc>
          <w:tcPr>
            <w:tcW w:w="600" w:type="dxa"/>
          </w:tcPr>
          <w:p w14:paraId="08247A75" w14:textId="77777777" w:rsidR="005D3DB2" w:rsidRPr="005C17A3" w:rsidRDefault="00000000">
            <w:pPr>
              <w:pStyle w:val="Compact"/>
              <w:rPr>
                <w:sz w:val="26"/>
                <w:szCs w:val="26"/>
              </w:rPr>
            </w:pPr>
            <w:r w:rsidRPr="005C17A3">
              <w:rPr>
                <w:sz w:val="26"/>
                <w:szCs w:val="26"/>
              </w:rPr>
              <w:t>4</w:t>
            </w:r>
          </w:p>
        </w:tc>
        <w:tc>
          <w:tcPr>
            <w:tcW w:w="3900" w:type="dxa"/>
          </w:tcPr>
          <w:p w14:paraId="7A7A91B9" w14:textId="77777777" w:rsidR="005D3DB2" w:rsidRPr="005C17A3" w:rsidRDefault="00000000">
            <w:pPr>
              <w:pStyle w:val="Compact"/>
              <w:rPr>
                <w:sz w:val="26"/>
                <w:szCs w:val="26"/>
              </w:rPr>
            </w:pPr>
            <w:r w:rsidRPr="005C17A3">
              <w:rPr>
                <w:sz w:val="26"/>
                <w:szCs w:val="26"/>
              </w:rPr>
              <w:t>Nguyen Thanh Binh, Nguyen Van Trung*, Nguyen Bach Diep, Ha Hong Hanh, Le Hong Minh, “Portfolio optimization with the inverse Black–Litterman framework and clustering machine-learning models: Evidence from Vietnamese bank stocks”</w:t>
            </w:r>
          </w:p>
        </w:tc>
        <w:tc>
          <w:tcPr>
            <w:tcW w:w="2600" w:type="dxa"/>
          </w:tcPr>
          <w:p w14:paraId="4B356164" w14:textId="77777777" w:rsidR="005D3DB2" w:rsidRPr="005C17A3" w:rsidRDefault="00000000">
            <w:pPr>
              <w:pStyle w:val="Compact"/>
              <w:rPr>
                <w:sz w:val="26"/>
                <w:szCs w:val="26"/>
              </w:rPr>
            </w:pPr>
            <w:r w:rsidRPr="005C17A3">
              <w:rPr>
                <w:sz w:val="26"/>
                <w:szCs w:val="26"/>
              </w:rPr>
              <w:t>Multidisciplinary Science Journal (Malque Publishing); ISSN 2675-1240; Scopus Q3</w:t>
            </w:r>
          </w:p>
        </w:tc>
        <w:tc>
          <w:tcPr>
            <w:tcW w:w="1688" w:type="dxa"/>
          </w:tcPr>
          <w:p w14:paraId="59E6047B" w14:textId="77777777" w:rsidR="005D3DB2" w:rsidRPr="005C17A3" w:rsidRDefault="00000000">
            <w:pPr>
              <w:pStyle w:val="Compact"/>
              <w:rPr>
                <w:sz w:val="26"/>
                <w:szCs w:val="26"/>
              </w:rPr>
            </w:pPr>
            <w:r w:rsidRPr="005C17A3">
              <w:rPr>
                <w:sz w:val="26"/>
                <w:szCs w:val="26"/>
              </w:rPr>
              <w:t>Đã được chấp nhận đăng, công bố trực tuyến trong mục Accepted Articles ngày 09/10/2026 (mã 19322; https://malque.pub/ojs/inde</w:t>
            </w:r>
            <w:r w:rsidRPr="005C17A3">
              <w:rPr>
                <w:sz w:val="26"/>
                <w:szCs w:val="26"/>
              </w:rPr>
              <w:lastRenderedPageBreak/>
              <w:t>x.php/msj/article/view/19322)</w:t>
            </w:r>
          </w:p>
        </w:tc>
      </w:tr>
    </w:tbl>
    <w:p w14:paraId="7DCC4610" w14:textId="77777777" w:rsidR="005D3DB2" w:rsidRPr="005C17A3" w:rsidRDefault="00000000">
      <w:pPr>
        <w:pStyle w:val="SourceNote"/>
        <w:rPr>
          <w:sz w:val="26"/>
          <w:szCs w:val="26"/>
        </w:rPr>
      </w:pPr>
      <w:r w:rsidRPr="005C17A3">
        <w:rPr>
          <w:sz w:val="26"/>
          <w:szCs w:val="26"/>
        </w:rPr>
        <w:lastRenderedPageBreak/>
        <w:t>Ghi chú: (*) Tác giả liên hệ. Tên bài báo bằng tiếng Anh giữ nguyên như khi công bố. Trạng thái tính đến ngày 30/9/2026; riêng bài số 4 cập nhật đến ngày 09/10/2026.</w:t>
      </w:r>
    </w:p>
    <w:p w14:paraId="20A8CBB3" w14:textId="77777777" w:rsidR="005D3DB2" w:rsidRPr="005C17A3" w:rsidRDefault="00000000">
      <w:pPr>
        <w:pStyle w:val="BodyText"/>
      </w:pPr>
      <w:r w:rsidRPr="005C17A3">
        <w:t>Ngoài các công trình trên, thí sinh có tám bản thảo đang ở các bước phản biện hoặc xét duyệt (Bảng 7), trong đó hai bản thảo liên quan trực tiếp đến đề tài.</w:t>
      </w:r>
    </w:p>
    <w:p w14:paraId="069B5D7C" w14:textId="77777777" w:rsidR="005D3DB2" w:rsidRPr="005C17A3" w:rsidRDefault="00000000">
      <w:pPr>
        <w:pStyle w:val="TableCaption"/>
      </w:pPr>
      <w:bookmarkStart w:id="56" w:name="_Toc242353162"/>
      <w:r w:rsidRPr="005C17A3">
        <w:t xml:space="preserve">Bảng </w:t>
      </w:r>
      <w:fldSimple w:instr=" SEQ Bảng \* ARABIC ">
        <w:r w:rsidR="005D3DB2" w:rsidRPr="005C17A3">
          <w:rPr>
            <w:noProof/>
          </w:rPr>
          <w:t>7</w:t>
        </w:r>
      </w:fldSimple>
      <w:r w:rsidRPr="005C17A3">
        <w:t>. Bản thảo đã gửi tạp chí, chưa công bố tại ngày 30/9/2026</w:t>
      </w:r>
      <w:bookmarkEnd w:id="56"/>
    </w:p>
    <w:tbl>
      <w:tblPr>
        <w:tblStyle w:val="GridTable1Light"/>
        <w:tblW w:w="0" w:type="auto"/>
        <w:tblLook w:val="0020" w:firstRow="1" w:lastRow="0" w:firstColumn="0" w:lastColumn="0" w:noHBand="0" w:noVBand="0"/>
      </w:tblPr>
      <w:tblGrid>
        <w:gridCol w:w="563"/>
        <w:gridCol w:w="2664"/>
        <w:gridCol w:w="598"/>
        <w:gridCol w:w="1991"/>
        <w:gridCol w:w="1765"/>
        <w:gridCol w:w="1197"/>
      </w:tblGrid>
      <w:tr w:rsidR="005D3DB2" w:rsidRPr="005C17A3" w14:paraId="0C37D763" w14:textId="77777777" w:rsidTr="00841625">
        <w:trPr>
          <w:cnfStyle w:val="100000000000" w:firstRow="1" w:lastRow="0" w:firstColumn="0" w:lastColumn="0" w:oddVBand="0" w:evenVBand="0" w:oddHBand="0" w:evenHBand="0" w:firstRowFirstColumn="0" w:firstRowLastColumn="0" w:lastRowFirstColumn="0" w:lastRowLastColumn="0"/>
        </w:trPr>
        <w:tc>
          <w:tcPr>
            <w:tcW w:w="0" w:type="auto"/>
          </w:tcPr>
          <w:p w14:paraId="115E0E27" w14:textId="77777777" w:rsidR="005D3DB2" w:rsidRPr="005C17A3" w:rsidRDefault="00000000">
            <w:pPr>
              <w:pStyle w:val="Compact"/>
              <w:jc w:val="center"/>
              <w:rPr>
                <w:sz w:val="26"/>
                <w:szCs w:val="26"/>
              </w:rPr>
            </w:pPr>
            <w:r w:rsidRPr="005C17A3">
              <w:rPr>
                <w:sz w:val="26"/>
                <w:szCs w:val="26"/>
              </w:rPr>
              <w:t>TT</w:t>
            </w:r>
          </w:p>
        </w:tc>
        <w:tc>
          <w:tcPr>
            <w:tcW w:w="0" w:type="auto"/>
          </w:tcPr>
          <w:p w14:paraId="6051B92B" w14:textId="77777777" w:rsidR="005D3DB2" w:rsidRPr="005C17A3" w:rsidRDefault="00000000">
            <w:pPr>
              <w:pStyle w:val="Compact"/>
              <w:jc w:val="center"/>
              <w:rPr>
                <w:sz w:val="26"/>
                <w:szCs w:val="26"/>
              </w:rPr>
            </w:pPr>
            <w:r w:rsidRPr="005C17A3">
              <w:rPr>
                <w:sz w:val="26"/>
                <w:szCs w:val="26"/>
              </w:rPr>
              <w:t>Tên bài báo</w:t>
            </w:r>
          </w:p>
        </w:tc>
        <w:tc>
          <w:tcPr>
            <w:tcW w:w="0" w:type="auto"/>
          </w:tcPr>
          <w:p w14:paraId="3A39A001" w14:textId="77777777" w:rsidR="005D3DB2" w:rsidRPr="005C17A3" w:rsidRDefault="00000000">
            <w:pPr>
              <w:pStyle w:val="Compact"/>
              <w:jc w:val="center"/>
              <w:rPr>
                <w:sz w:val="26"/>
                <w:szCs w:val="26"/>
              </w:rPr>
            </w:pPr>
            <w:r w:rsidRPr="005C17A3">
              <w:rPr>
                <w:sz w:val="26"/>
                <w:szCs w:val="26"/>
              </w:rPr>
              <w:t>Số tác giả</w:t>
            </w:r>
          </w:p>
        </w:tc>
        <w:tc>
          <w:tcPr>
            <w:tcW w:w="0" w:type="auto"/>
          </w:tcPr>
          <w:p w14:paraId="4FBC2A18" w14:textId="77777777" w:rsidR="005D3DB2" w:rsidRPr="005C17A3" w:rsidRDefault="00000000">
            <w:pPr>
              <w:pStyle w:val="Compact"/>
              <w:jc w:val="center"/>
              <w:rPr>
                <w:sz w:val="26"/>
                <w:szCs w:val="26"/>
              </w:rPr>
            </w:pPr>
            <w:r w:rsidRPr="005C17A3">
              <w:rPr>
                <w:sz w:val="26"/>
                <w:szCs w:val="26"/>
              </w:rPr>
              <w:t>Tạp chí; ISSN</w:t>
            </w:r>
          </w:p>
        </w:tc>
        <w:tc>
          <w:tcPr>
            <w:tcW w:w="0" w:type="auto"/>
          </w:tcPr>
          <w:p w14:paraId="00A7AB7F" w14:textId="77777777" w:rsidR="005D3DB2" w:rsidRPr="005C17A3" w:rsidRDefault="00000000">
            <w:pPr>
              <w:pStyle w:val="Compact"/>
              <w:jc w:val="center"/>
              <w:rPr>
                <w:sz w:val="26"/>
                <w:szCs w:val="26"/>
              </w:rPr>
            </w:pPr>
            <w:r w:rsidRPr="005C17A3">
              <w:rPr>
                <w:sz w:val="26"/>
                <w:szCs w:val="26"/>
              </w:rPr>
              <w:t>Trạng thái (mã bài)</w:t>
            </w:r>
          </w:p>
        </w:tc>
        <w:tc>
          <w:tcPr>
            <w:tcW w:w="0" w:type="auto"/>
          </w:tcPr>
          <w:p w14:paraId="3B6AD345" w14:textId="77777777" w:rsidR="005D3DB2" w:rsidRPr="005C17A3" w:rsidRDefault="00000000">
            <w:pPr>
              <w:pStyle w:val="Compact"/>
              <w:jc w:val="center"/>
              <w:rPr>
                <w:sz w:val="26"/>
                <w:szCs w:val="26"/>
              </w:rPr>
            </w:pPr>
            <w:r w:rsidRPr="005C17A3">
              <w:rPr>
                <w:sz w:val="26"/>
                <w:szCs w:val="26"/>
              </w:rPr>
              <w:t>Liên quan đến đề tài</w:t>
            </w:r>
          </w:p>
        </w:tc>
      </w:tr>
      <w:tr w:rsidR="005D3DB2" w:rsidRPr="005C17A3" w14:paraId="341E989C" w14:textId="77777777" w:rsidTr="00841625">
        <w:tc>
          <w:tcPr>
            <w:tcW w:w="0" w:type="auto"/>
          </w:tcPr>
          <w:p w14:paraId="554E9D52" w14:textId="77777777" w:rsidR="005D3DB2" w:rsidRPr="005C17A3" w:rsidRDefault="00000000">
            <w:pPr>
              <w:pStyle w:val="Compact"/>
              <w:rPr>
                <w:sz w:val="26"/>
                <w:szCs w:val="26"/>
              </w:rPr>
            </w:pPr>
            <w:r w:rsidRPr="005C17A3">
              <w:rPr>
                <w:sz w:val="26"/>
                <w:szCs w:val="26"/>
              </w:rPr>
              <w:t>1</w:t>
            </w:r>
          </w:p>
        </w:tc>
        <w:tc>
          <w:tcPr>
            <w:tcW w:w="0" w:type="auto"/>
          </w:tcPr>
          <w:p w14:paraId="43F64102" w14:textId="77777777" w:rsidR="005D3DB2" w:rsidRPr="005C17A3" w:rsidRDefault="00000000">
            <w:pPr>
              <w:pStyle w:val="Compact"/>
              <w:rPr>
                <w:sz w:val="26"/>
                <w:szCs w:val="26"/>
              </w:rPr>
            </w:pPr>
            <w:r w:rsidRPr="005C17A3">
              <w:rPr>
                <w:sz w:val="26"/>
                <w:szCs w:val="26"/>
              </w:rPr>
              <w:t>Tác động của cấu trúc sở hữu lên ổn định tài chính của các ngân hàng thương mại Việt Nam</w:t>
            </w:r>
          </w:p>
        </w:tc>
        <w:tc>
          <w:tcPr>
            <w:tcW w:w="0" w:type="auto"/>
          </w:tcPr>
          <w:p w14:paraId="5928CAFB" w14:textId="77777777" w:rsidR="005D3DB2" w:rsidRPr="005C17A3" w:rsidRDefault="00000000">
            <w:pPr>
              <w:pStyle w:val="Compact"/>
              <w:rPr>
                <w:sz w:val="26"/>
                <w:szCs w:val="26"/>
              </w:rPr>
            </w:pPr>
            <w:r w:rsidRPr="005C17A3">
              <w:rPr>
                <w:sz w:val="26"/>
                <w:szCs w:val="26"/>
              </w:rPr>
              <w:t>2</w:t>
            </w:r>
          </w:p>
        </w:tc>
        <w:tc>
          <w:tcPr>
            <w:tcW w:w="0" w:type="auto"/>
          </w:tcPr>
          <w:p w14:paraId="0CFFF68C" w14:textId="77777777" w:rsidR="005D3DB2" w:rsidRPr="005C17A3" w:rsidRDefault="00000000">
            <w:pPr>
              <w:pStyle w:val="Compact"/>
              <w:rPr>
                <w:sz w:val="26"/>
                <w:szCs w:val="26"/>
              </w:rPr>
            </w:pPr>
            <w:r w:rsidRPr="005C17A3">
              <w:rPr>
                <w:sz w:val="26"/>
                <w:szCs w:val="26"/>
              </w:rPr>
              <w:t>Tạp chí Kinh tế - Luật và Ngân hàng; ISSN 3030-4199</w:t>
            </w:r>
          </w:p>
        </w:tc>
        <w:tc>
          <w:tcPr>
            <w:tcW w:w="0" w:type="auto"/>
          </w:tcPr>
          <w:p w14:paraId="52A219E5" w14:textId="77777777" w:rsidR="005D3DB2" w:rsidRPr="005C17A3" w:rsidRDefault="00000000">
            <w:pPr>
              <w:pStyle w:val="Compact"/>
              <w:rPr>
                <w:sz w:val="26"/>
                <w:szCs w:val="26"/>
              </w:rPr>
            </w:pPr>
            <w:r w:rsidRPr="005C17A3">
              <w:rPr>
                <w:sz w:val="26"/>
                <w:szCs w:val="26"/>
              </w:rPr>
              <w:t>Qua 2 vòng phản biện, đang chỉnh sửa (mã 3129)</w:t>
            </w:r>
          </w:p>
        </w:tc>
        <w:tc>
          <w:tcPr>
            <w:tcW w:w="0" w:type="auto"/>
          </w:tcPr>
          <w:p w14:paraId="2FC85982" w14:textId="77777777" w:rsidR="005D3DB2" w:rsidRPr="005C17A3" w:rsidRDefault="00000000">
            <w:pPr>
              <w:pStyle w:val="Compact"/>
              <w:rPr>
                <w:sz w:val="26"/>
                <w:szCs w:val="26"/>
              </w:rPr>
            </w:pPr>
            <w:r w:rsidRPr="005C17A3">
              <w:rPr>
                <w:sz w:val="26"/>
                <w:szCs w:val="26"/>
              </w:rPr>
              <w:t>Không</w:t>
            </w:r>
          </w:p>
        </w:tc>
      </w:tr>
      <w:tr w:rsidR="005D3DB2" w:rsidRPr="005C17A3" w14:paraId="072AFCB9" w14:textId="77777777" w:rsidTr="00841625">
        <w:tc>
          <w:tcPr>
            <w:tcW w:w="0" w:type="auto"/>
          </w:tcPr>
          <w:p w14:paraId="14D15DFC" w14:textId="77777777" w:rsidR="005D3DB2" w:rsidRPr="005C17A3" w:rsidRDefault="00000000">
            <w:pPr>
              <w:pStyle w:val="Compact"/>
              <w:rPr>
                <w:sz w:val="26"/>
                <w:szCs w:val="26"/>
              </w:rPr>
            </w:pPr>
            <w:r w:rsidRPr="005C17A3">
              <w:rPr>
                <w:sz w:val="26"/>
                <w:szCs w:val="26"/>
              </w:rPr>
              <w:t>2</w:t>
            </w:r>
          </w:p>
        </w:tc>
        <w:tc>
          <w:tcPr>
            <w:tcW w:w="0" w:type="auto"/>
          </w:tcPr>
          <w:p w14:paraId="3F0F40B3" w14:textId="77777777" w:rsidR="005D3DB2" w:rsidRPr="005C17A3" w:rsidRDefault="00000000">
            <w:pPr>
              <w:pStyle w:val="Compact"/>
              <w:rPr>
                <w:sz w:val="26"/>
                <w:szCs w:val="26"/>
              </w:rPr>
            </w:pPr>
            <w:r w:rsidRPr="005C17A3">
              <w:rPr>
                <w:sz w:val="26"/>
                <w:szCs w:val="26"/>
              </w:rPr>
              <w:t>Limits to arbitrage in the Vietnamese physical gold market: The failure of short-term momentum</w:t>
            </w:r>
          </w:p>
        </w:tc>
        <w:tc>
          <w:tcPr>
            <w:tcW w:w="0" w:type="auto"/>
          </w:tcPr>
          <w:p w14:paraId="4731D6B0" w14:textId="77777777" w:rsidR="005D3DB2" w:rsidRPr="005C17A3" w:rsidRDefault="00000000">
            <w:pPr>
              <w:pStyle w:val="Compact"/>
              <w:rPr>
                <w:sz w:val="26"/>
                <w:szCs w:val="26"/>
              </w:rPr>
            </w:pPr>
            <w:r w:rsidRPr="005C17A3">
              <w:rPr>
                <w:sz w:val="26"/>
                <w:szCs w:val="26"/>
              </w:rPr>
              <w:t>3</w:t>
            </w:r>
          </w:p>
        </w:tc>
        <w:tc>
          <w:tcPr>
            <w:tcW w:w="0" w:type="auto"/>
          </w:tcPr>
          <w:p w14:paraId="5E05F899" w14:textId="77777777" w:rsidR="005D3DB2" w:rsidRPr="005C17A3" w:rsidRDefault="00000000">
            <w:pPr>
              <w:pStyle w:val="Compact"/>
              <w:rPr>
                <w:sz w:val="26"/>
                <w:szCs w:val="26"/>
              </w:rPr>
            </w:pPr>
            <w:r w:rsidRPr="005C17A3">
              <w:rPr>
                <w:sz w:val="26"/>
                <w:szCs w:val="26"/>
              </w:rPr>
              <w:t>Journal of Economic and Banking Studies; ISSN 2734-9853</w:t>
            </w:r>
          </w:p>
        </w:tc>
        <w:tc>
          <w:tcPr>
            <w:tcW w:w="0" w:type="auto"/>
          </w:tcPr>
          <w:p w14:paraId="261EFD8B" w14:textId="4D05B0A7" w:rsidR="005D3DB2" w:rsidRPr="005C17A3" w:rsidRDefault="00782271">
            <w:pPr>
              <w:pStyle w:val="Compact"/>
              <w:rPr>
                <w:sz w:val="26"/>
                <w:szCs w:val="26"/>
              </w:rPr>
            </w:pPr>
            <w:r w:rsidRPr="005C17A3">
              <w:rPr>
                <w:sz w:val="26"/>
                <w:szCs w:val="26"/>
              </w:rPr>
              <w:t>Đang phản biện vòng 2 (mã JEBS.1563)</w:t>
            </w:r>
          </w:p>
        </w:tc>
        <w:tc>
          <w:tcPr>
            <w:tcW w:w="0" w:type="auto"/>
          </w:tcPr>
          <w:p w14:paraId="0DF18FEC" w14:textId="77777777" w:rsidR="005D3DB2" w:rsidRPr="005C17A3" w:rsidRDefault="00000000">
            <w:pPr>
              <w:pStyle w:val="Compact"/>
              <w:rPr>
                <w:sz w:val="26"/>
                <w:szCs w:val="26"/>
              </w:rPr>
            </w:pPr>
            <w:r w:rsidRPr="005C17A3">
              <w:rPr>
                <w:sz w:val="26"/>
                <w:szCs w:val="26"/>
              </w:rPr>
              <w:t>Không</w:t>
            </w:r>
          </w:p>
        </w:tc>
      </w:tr>
      <w:tr w:rsidR="005D3DB2" w:rsidRPr="005C17A3" w14:paraId="25A4A387" w14:textId="77777777" w:rsidTr="00841625">
        <w:tc>
          <w:tcPr>
            <w:tcW w:w="0" w:type="auto"/>
          </w:tcPr>
          <w:p w14:paraId="172DEA39" w14:textId="77777777" w:rsidR="005D3DB2" w:rsidRPr="005C17A3" w:rsidRDefault="00000000">
            <w:pPr>
              <w:pStyle w:val="Compact"/>
              <w:rPr>
                <w:sz w:val="26"/>
                <w:szCs w:val="26"/>
              </w:rPr>
            </w:pPr>
            <w:r w:rsidRPr="005C17A3">
              <w:rPr>
                <w:sz w:val="26"/>
                <w:szCs w:val="26"/>
              </w:rPr>
              <w:t>3</w:t>
            </w:r>
          </w:p>
        </w:tc>
        <w:tc>
          <w:tcPr>
            <w:tcW w:w="0" w:type="auto"/>
          </w:tcPr>
          <w:p w14:paraId="577F5C34" w14:textId="77777777" w:rsidR="005D3DB2" w:rsidRPr="005C17A3" w:rsidRDefault="00000000">
            <w:pPr>
              <w:pStyle w:val="Compact"/>
              <w:rPr>
                <w:sz w:val="26"/>
                <w:szCs w:val="26"/>
              </w:rPr>
            </w:pPr>
            <w:r w:rsidRPr="005C17A3">
              <w:rPr>
                <w:sz w:val="26"/>
                <w:szCs w:val="26"/>
              </w:rPr>
              <w:t>Corporate Brownwashing and Firm Valuation in ASEAN-5 Disclosure Regimes</w:t>
            </w:r>
          </w:p>
        </w:tc>
        <w:tc>
          <w:tcPr>
            <w:tcW w:w="0" w:type="auto"/>
          </w:tcPr>
          <w:p w14:paraId="4C012C61" w14:textId="77777777" w:rsidR="005D3DB2" w:rsidRPr="005C17A3" w:rsidRDefault="00000000">
            <w:pPr>
              <w:pStyle w:val="Compact"/>
              <w:rPr>
                <w:sz w:val="26"/>
                <w:szCs w:val="26"/>
              </w:rPr>
            </w:pPr>
            <w:r w:rsidRPr="005C17A3">
              <w:rPr>
                <w:sz w:val="26"/>
                <w:szCs w:val="26"/>
              </w:rPr>
              <w:t>2</w:t>
            </w:r>
          </w:p>
        </w:tc>
        <w:tc>
          <w:tcPr>
            <w:tcW w:w="0" w:type="auto"/>
          </w:tcPr>
          <w:p w14:paraId="641057E2" w14:textId="77777777" w:rsidR="005D3DB2" w:rsidRPr="005C17A3" w:rsidRDefault="00000000">
            <w:pPr>
              <w:pStyle w:val="Compact"/>
              <w:rPr>
                <w:sz w:val="26"/>
                <w:szCs w:val="26"/>
              </w:rPr>
            </w:pPr>
            <w:r w:rsidRPr="005C17A3">
              <w:rPr>
                <w:sz w:val="26"/>
                <w:szCs w:val="26"/>
              </w:rPr>
              <w:t>Cogent Business &amp; Management; ISSN 2331-1975; Scopus Q2</w:t>
            </w:r>
          </w:p>
        </w:tc>
        <w:tc>
          <w:tcPr>
            <w:tcW w:w="0" w:type="auto"/>
          </w:tcPr>
          <w:p w14:paraId="6208605A" w14:textId="77777777" w:rsidR="005D3DB2" w:rsidRPr="005C17A3" w:rsidRDefault="00000000">
            <w:pPr>
              <w:pStyle w:val="Compact"/>
              <w:rPr>
                <w:sz w:val="26"/>
                <w:szCs w:val="26"/>
              </w:rPr>
            </w:pPr>
            <w:r w:rsidRPr="005C17A3">
              <w:rPr>
                <w:sz w:val="26"/>
                <w:szCs w:val="26"/>
              </w:rPr>
              <w:t>Đang phản biện vòng 1 (mã 260865765)</w:t>
            </w:r>
          </w:p>
        </w:tc>
        <w:tc>
          <w:tcPr>
            <w:tcW w:w="0" w:type="auto"/>
          </w:tcPr>
          <w:p w14:paraId="76654212" w14:textId="77777777" w:rsidR="005D3DB2" w:rsidRPr="005C17A3" w:rsidRDefault="00000000">
            <w:pPr>
              <w:pStyle w:val="Compact"/>
              <w:rPr>
                <w:sz w:val="26"/>
                <w:szCs w:val="26"/>
              </w:rPr>
            </w:pPr>
            <w:r w:rsidRPr="005C17A3">
              <w:rPr>
                <w:sz w:val="26"/>
                <w:szCs w:val="26"/>
              </w:rPr>
              <w:t>Không</w:t>
            </w:r>
          </w:p>
        </w:tc>
      </w:tr>
      <w:tr w:rsidR="005D3DB2" w:rsidRPr="005C17A3" w14:paraId="7E38E572" w14:textId="77777777" w:rsidTr="00841625">
        <w:tc>
          <w:tcPr>
            <w:tcW w:w="0" w:type="auto"/>
          </w:tcPr>
          <w:p w14:paraId="3822369A" w14:textId="77777777" w:rsidR="005D3DB2" w:rsidRPr="005C17A3" w:rsidRDefault="00000000">
            <w:pPr>
              <w:pStyle w:val="Compact"/>
              <w:rPr>
                <w:sz w:val="26"/>
                <w:szCs w:val="26"/>
              </w:rPr>
            </w:pPr>
            <w:r w:rsidRPr="005C17A3">
              <w:rPr>
                <w:sz w:val="26"/>
                <w:szCs w:val="26"/>
              </w:rPr>
              <w:t>4</w:t>
            </w:r>
          </w:p>
        </w:tc>
        <w:tc>
          <w:tcPr>
            <w:tcW w:w="0" w:type="auto"/>
          </w:tcPr>
          <w:p w14:paraId="13959381" w14:textId="77777777" w:rsidR="005D3DB2" w:rsidRPr="005C17A3" w:rsidRDefault="00000000">
            <w:pPr>
              <w:pStyle w:val="Compact"/>
              <w:rPr>
                <w:sz w:val="26"/>
                <w:szCs w:val="26"/>
              </w:rPr>
            </w:pPr>
            <w:r w:rsidRPr="005C17A3">
              <w:rPr>
                <w:sz w:val="26"/>
                <w:szCs w:val="26"/>
              </w:rPr>
              <w:t>Structural breaks in Vietnamese stock market liquidity: Evidence from the Amihud illiquidity measure and Bai-Perron regime-shift detection</w:t>
            </w:r>
          </w:p>
        </w:tc>
        <w:tc>
          <w:tcPr>
            <w:tcW w:w="0" w:type="auto"/>
          </w:tcPr>
          <w:p w14:paraId="6C48825E" w14:textId="77777777" w:rsidR="005D3DB2" w:rsidRPr="005C17A3" w:rsidRDefault="00000000">
            <w:pPr>
              <w:pStyle w:val="Compact"/>
              <w:rPr>
                <w:sz w:val="26"/>
                <w:szCs w:val="26"/>
              </w:rPr>
            </w:pPr>
            <w:r w:rsidRPr="005C17A3">
              <w:rPr>
                <w:sz w:val="26"/>
                <w:szCs w:val="26"/>
              </w:rPr>
              <w:t>6</w:t>
            </w:r>
          </w:p>
        </w:tc>
        <w:tc>
          <w:tcPr>
            <w:tcW w:w="0" w:type="auto"/>
          </w:tcPr>
          <w:p w14:paraId="34BE4D6E" w14:textId="77777777" w:rsidR="005D3DB2" w:rsidRPr="005C17A3" w:rsidRDefault="00000000">
            <w:pPr>
              <w:pStyle w:val="Compact"/>
              <w:rPr>
                <w:sz w:val="26"/>
                <w:szCs w:val="26"/>
              </w:rPr>
            </w:pPr>
            <w:r w:rsidRPr="005C17A3">
              <w:rPr>
                <w:sz w:val="26"/>
                <w:szCs w:val="26"/>
              </w:rPr>
              <w:t>Asian Journal of Economics and Banking; ISSN 2615-9821</w:t>
            </w:r>
          </w:p>
        </w:tc>
        <w:tc>
          <w:tcPr>
            <w:tcW w:w="0" w:type="auto"/>
          </w:tcPr>
          <w:p w14:paraId="03AD436A" w14:textId="77777777" w:rsidR="005D3DB2" w:rsidRPr="005C17A3" w:rsidRDefault="00000000">
            <w:pPr>
              <w:pStyle w:val="Compact"/>
              <w:rPr>
                <w:sz w:val="26"/>
                <w:szCs w:val="26"/>
              </w:rPr>
            </w:pPr>
            <w:r w:rsidRPr="005C17A3">
              <w:rPr>
                <w:sz w:val="26"/>
                <w:szCs w:val="26"/>
              </w:rPr>
              <w:t>Chờ phân công phản biện (mã AJEB-08-2026-0208)</w:t>
            </w:r>
          </w:p>
        </w:tc>
        <w:tc>
          <w:tcPr>
            <w:tcW w:w="0" w:type="auto"/>
          </w:tcPr>
          <w:p w14:paraId="28FFF3CE" w14:textId="77777777" w:rsidR="005D3DB2" w:rsidRPr="005C17A3" w:rsidRDefault="00000000">
            <w:pPr>
              <w:pStyle w:val="Compact"/>
              <w:rPr>
                <w:sz w:val="26"/>
                <w:szCs w:val="26"/>
              </w:rPr>
            </w:pPr>
            <w:r w:rsidRPr="005C17A3">
              <w:rPr>
                <w:sz w:val="26"/>
                <w:szCs w:val="26"/>
              </w:rPr>
              <w:t>Có (chỉ báo thanh khoản, điểm gãy)</w:t>
            </w:r>
          </w:p>
        </w:tc>
      </w:tr>
      <w:tr w:rsidR="005D3DB2" w:rsidRPr="005C17A3" w14:paraId="37951E83" w14:textId="77777777" w:rsidTr="00841625">
        <w:tc>
          <w:tcPr>
            <w:tcW w:w="0" w:type="auto"/>
          </w:tcPr>
          <w:p w14:paraId="67C74EC8" w14:textId="77777777" w:rsidR="005D3DB2" w:rsidRPr="005C17A3" w:rsidRDefault="00000000">
            <w:pPr>
              <w:pStyle w:val="Compact"/>
              <w:rPr>
                <w:sz w:val="26"/>
                <w:szCs w:val="26"/>
              </w:rPr>
            </w:pPr>
            <w:r w:rsidRPr="005C17A3">
              <w:rPr>
                <w:sz w:val="26"/>
                <w:szCs w:val="26"/>
              </w:rPr>
              <w:t>5</w:t>
            </w:r>
          </w:p>
        </w:tc>
        <w:tc>
          <w:tcPr>
            <w:tcW w:w="0" w:type="auto"/>
          </w:tcPr>
          <w:p w14:paraId="64263EF9" w14:textId="77777777" w:rsidR="005D3DB2" w:rsidRPr="005C17A3" w:rsidRDefault="00000000">
            <w:pPr>
              <w:pStyle w:val="Compact"/>
              <w:rPr>
                <w:sz w:val="26"/>
                <w:szCs w:val="26"/>
              </w:rPr>
            </w:pPr>
            <w:r w:rsidRPr="005C17A3">
              <w:rPr>
                <w:sz w:val="26"/>
                <w:szCs w:val="26"/>
              </w:rPr>
              <w:t>Nested equity index correlations overstate true co-movement: Evidence from Vietnam</w:t>
            </w:r>
          </w:p>
        </w:tc>
        <w:tc>
          <w:tcPr>
            <w:tcW w:w="0" w:type="auto"/>
          </w:tcPr>
          <w:p w14:paraId="2A4ABB03" w14:textId="77777777" w:rsidR="005D3DB2" w:rsidRPr="005C17A3" w:rsidRDefault="00000000">
            <w:pPr>
              <w:pStyle w:val="Compact"/>
              <w:rPr>
                <w:sz w:val="26"/>
                <w:szCs w:val="26"/>
              </w:rPr>
            </w:pPr>
            <w:r w:rsidRPr="005C17A3">
              <w:rPr>
                <w:sz w:val="26"/>
                <w:szCs w:val="26"/>
              </w:rPr>
              <w:t>4</w:t>
            </w:r>
          </w:p>
        </w:tc>
        <w:tc>
          <w:tcPr>
            <w:tcW w:w="0" w:type="auto"/>
          </w:tcPr>
          <w:p w14:paraId="0FF532CA" w14:textId="77777777" w:rsidR="005D3DB2" w:rsidRPr="005C17A3" w:rsidRDefault="00000000">
            <w:pPr>
              <w:pStyle w:val="Compact"/>
              <w:rPr>
                <w:sz w:val="26"/>
                <w:szCs w:val="26"/>
              </w:rPr>
            </w:pPr>
            <w:r w:rsidRPr="005C17A3">
              <w:rPr>
                <w:sz w:val="26"/>
                <w:szCs w:val="26"/>
              </w:rPr>
              <w:t>Asia-Pacific Financial Markets; ISSN 1387-2834; Scopus Q2</w:t>
            </w:r>
          </w:p>
        </w:tc>
        <w:tc>
          <w:tcPr>
            <w:tcW w:w="0" w:type="auto"/>
          </w:tcPr>
          <w:p w14:paraId="4CAA3AE9" w14:textId="77777777" w:rsidR="005D3DB2" w:rsidRPr="005C17A3" w:rsidRDefault="00000000">
            <w:pPr>
              <w:pStyle w:val="Compact"/>
              <w:rPr>
                <w:sz w:val="26"/>
                <w:szCs w:val="26"/>
              </w:rPr>
            </w:pPr>
            <w:r w:rsidRPr="005C17A3">
              <w:rPr>
                <w:sz w:val="26"/>
                <w:szCs w:val="26"/>
              </w:rPr>
              <w:t>Ban biên tập đang xem xét (mã FEJM-D-26-00726)</w:t>
            </w:r>
          </w:p>
        </w:tc>
        <w:tc>
          <w:tcPr>
            <w:tcW w:w="0" w:type="auto"/>
          </w:tcPr>
          <w:p w14:paraId="39A2DA15" w14:textId="77777777" w:rsidR="005D3DB2" w:rsidRPr="005C17A3" w:rsidRDefault="00000000">
            <w:pPr>
              <w:pStyle w:val="Compact"/>
              <w:rPr>
                <w:sz w:val="26"/>
                <w:szCs w:val="26"/>
              </w:rPr>
            </w:pPr>
            <w:r w:rsidRPr="005C17A3">
              <w:rPr>
                <w:sz w:val="26"/>
                <w:szCs w:val="26"/>
              </w:rPr>
              <w:t>Không</w:t>
            </w:r>
          </w:p>
        </w:tc>
      </w:tr>
      <w:tr w:rsidR="005D3DB2" w:rsidRPr="005C17A3" w14:paraId="38F35EB5" w14:textId="77777777" w:rsidTr="00841625">
        <w:tc>
          <w:tcPr>
            <w:tcW w:w="0" w:type="auto"/>
          </w:tcPr>
          <w:p w14:paraId="6EC05AFC" w14:textId="77777777" w:rsidR="005D3DB2" w:rsidRPr="005C17A3" w:rsidRDefault="00000000">
            <w:pPr>
              <w:pStyle w:val="Compact"/>
              <w:rPr>
                <w:sz w:val="26"/>
                <w:szCs w:val="26"/>
              </w:rPr>
            </w:pPr>
            <w:r w:rsidRPr="005C17A3">
              <w:rPr>
                <w:sz w:val="26"/>
                <w:szCs w:val="26"/>
              </w:rPr>
              <w:lastRenderedPageBreak/>
              <w:t>6</w:t>
            </w:r>
          </w:p>
        </w:tc>
        <w:tc>
          <w:tcPr>
            <w:tcW w:w="0" w:type="auto"/>
          </w:tcPr>
          <w:p w14:paraId="646F55C1" w14:textId="77777777" w:rsidR="005D3DB2" w:rsidRPr="005C17A3" w:rsidRDefault="00000000">
            <w:pPr>
              <w:pStyle w:val="Compact"/>
              <w:rPr>
                <w:sz w:val="26"/>
                <w:szCs w:val="26"/>
              </w:rPr>
            </w:pPr>
            <w:r w:rsidRPr="005C17A3">
              <w:rPr>
                <w:sz w:val="26"/>
                <w:szCs w:val="26"/>
              </w:rPr>
              <w:t>Who gains from a market upgrade? Stock liquidity and prices around Vietnam’s FTSE Russell reclassification</w:t>
            </w:r>
          </w:p>
        </w:tc>
        <w:tc>
          <w:tcPr>
            <w:tcW w:w="0" w:type="auto"/>
          </w:tcPr>
          <w:p w14:paraId="1E39AFA5" w14:textId="77777777" w:rsidR="005D3DB2" w:rsidRPr="005C17A3" w:rsidRDefault="00000000">
            <w:pPr>
              <w:pStyle w:val="Compact"/>
              <w:rPr>
                <w:sz w:val="26"/>
                <w:szCs w:val="26"/>
              </w:rPr>
            </w:pPr>
            <w:r w:rsidRPr="005C17A3">
              <w:rPr>
                <w:sz w:val="26"/>
                <w:szCs w:val="26"/>
              </w:rPr>
              <w:t>4</w:t>
            </w:r>
          </w:p>
        </w:tc>
        <w:tc>
          <w:tcPr>
            <w:tcW w:w="0" w:type="auto"/>
          </w:tcPr>
          <w:p w14:paraId="26142150" w14:textId="77777777" w:rsidR="005D3DB2" w:rsidRPr="005C17A3" w:rsidRDefault="00000000">
            <w:pPr>
              <w:pStyle w:val="Compact"/>
              <w:rPr>
                <w:sz w:val="26"/>
                <w:szCs w:val="26"/>
              </w:rPr>
            </w:pPr>
            <w:r w:rsidRPr="005C17A3">
              <w:rPr>
                <w:sz w:val="26"/>
                <w:szCs w:val="26"/>
              </w:rPr>
              <w:t>Finance Research Open; ISSN 3050-7006</w:t>
            </w:r>
          </w:p>
        </w:tc>
        <w:tc>
          <w:tcPr>
            <w:tcW w:w="0" w:type="auto"/>
          </w:tcPr>
          <w:p w14:paraId="6D4EC1C4" w14:textId="0A4678FB" w:rsidR="005D3DB2" w:rsidRPr="005C17A3" w:rsidRDefault="00833B95">
            <w:pPr>
              <w:pStyle w:val="Compact"/>
              <w:rPr>
                <w:sz w:val="26"/>
                <w:szCs w:val="26"/>
              </w:rPr>
            </w:pPr>
            <w:r w:rsidRPr="005C17A3">
              <w:rPr>
                <w:sz w:val="26"/>
                <w:szCs w:val="26"/>
              </w:rPr>
              <w:t>Đang phản biện vòng 1 (mã FINR-D-26-00823)</w:t>
            </w:r>
          </w:p>
        </w:tc>
        <w:tc>
          <w:tcPr>
            <w:tcW w:w="0" w:type="auto"/>
          </w:tcPr>
          <w:p w14:paraId="016C75E4" w14:textId="77777777" w:rsidR="005D3DB2" w:rsidRPr="005C17A3" w:rsidRDefault="00000000">
            <w:pPr>
              <w:pStyle w:val="Compact"/>
              <w:rPr>
                <w:sz w:val="26"/>
                <w:szCs w:val="26"/>
              </w:rPr>
            </w:pPr>
            <w:r w:rsidRPr="005C17A3">
              <w:rPr>
                <w:sz w:val="26"/>
                <w:szCs w:val="26"/>
              </w:rPr>
              <w:t>Có (thanh khoản thị trường)</w:t>
            </w:r>
          </w:p>
        </w:tc>
      </w:tr>
      <w:tr w:rsidR="005D3DB2" w:rsidRPr="005C17A3" w14:paraId="31F0A61B" w14:textId="77777777" w:rsidTr="00841625">
        <w:tc>
          <w:tcPr>
            <w:tcW w:w="0" w:type="auto"/>
          </w:tcPr>
          <w:p w14:paraId="6B85060B" w14:textId="77777777" w:rsidR="005D3DB2" w:rsidRPr="005C17A3" w:rsidRDefault="00000000">
            <w:pPr>
              <w:pStyle w:val="Compact"/>
              <w:rPr>
                <w:sz w:val="26"/>
                <w:szCs w:val="26"/>
              </w:rPr>
            </w:pPr>
            <w:r w:rsidRPr="005C17A3">
              <w:rPr>
                <w:sz w:val="26"/>
                <w:szCs w:val="26"/>
              </w:rPr>
              <w:t>7</w:t>
            </w:r>
          </w:p>
        </w:tc>
        <w:tc>
          <w:tcPr>
            <w:tcW w:w="0" w:type="auto"/>
          </w:tcPr>
          <w:p w14:paraId="6945B374" w14:textId="77777777" w:rsidR="005D3DB2" w:rsidRPr="005C17A3" w:rsidRDefault="00000000">
            <w:pPr>
              <w:pStyle w:val="Compact"/>
              <w:rPr>
                <w:sz w:val="26"/>
                <w:szCs w:val="26"/>
              </w:rPr>
            </w:pPr>
            <w:r w:rsidRPr="005C17A3">
              <w:rPr>
                <w:sz w:val="26"/>
                <w:szCs w:val="26"/>
              </w:rPr>
              <w:t>Rated at the peak? Firm valuation around the first LSEG ESG score in five Southeast Asian markets</w:t>
            </w:r>
          </w:p>
        </w:tc>
        <w:tc>
          <w:tcPr>
            <w:tcW w:w="0" w:type="auto"/>
          </w:tcPr>
          <w:p w14:paraId="320252B7" w14:textId="77777777" w:rsidR="005D3DB2" w:rsidRPr="005C17A3" w:rsidRDefault="00000000">
            <w:pPr>
              <w:pStyle w:val="Compact"/>
              <w:rPr>
                <w:sz w:val="26"/>
                <w:szCs w:val="26"/>
              </w:rPr>
            </w:pPr>
            <w:r w:rsidRPr="005C17A3">
              <w:rPr>
                <w:sz w:val="26"/>
                <w:szCs w:val="26"/>
              </w:rPr>
              <w:t>4</w:t>
            </w:r>
          </w:p>
        </w:tc>
        <w:tc>
          <w:tcPr>
            <w:tcW w:w="0" w:type="auto"/>
          </w:tcPr>
          <w:p w14:paraId="1E2C0DB3" w14:textId="77777777" w:rsidR="005D3DB2" w:rsidRPr="005C17A3" w:rsidRDefault="00000000">
            <w:pPr>
              <w:pStyle w:val="Compact"/>
              <w:rPr>
                <w:sz w:val="26"/>
                <w:szCs w:val="26"/>
              </w:rPr>
            </w:pPr>
            <w:r w:rsidRPr="005C17A3">
              <w:rPr>
                <w:sz w:val="26"/>
                <w:szCs w:val="26"/>
              </w:rPr>
              <w:t>Sustainable Finance Review; ISSN 2977-7542</w:t>
            </w:r>
          </w:p>
        </w:tc>
        <w:tc>
          <w:tcPr>
            <w:tcW w:w="0" w:type="auto"/>
          </w:tcPr>
          <w:p w14:paraId="1B164FFD" w14:textId="77777777" w:rsidR="005D3DB2" w:rsidRPr="005C17A3" w:rsidRDefault="00000000">
            <w:pPr>
              <w:pStyle w:val="Compact"/>
              <w:rPr>
                <w:sz w:val="26"/>
                <w:szCs w:val="26"/>
              </w:rPr>
            </w:pPr>
            <w:r w:rsidRPr="005C17A3">
              <w:rPr>
                <w:sz w:val="26"/>
                <w:szCs w:val="26"/>
              </w:rPr>
              <w:t>Chờ xử lý tại tòa soạn (mã SFR-09-2026-0113)</w:t>
            </w:r>
          </w:p>
        </w:tc>
        <w:tc>
          <w:tcPr>
            <w:tcW w:w="0" w:type="auto"/>
          </w:tcPr>
          <w:p w14:paraId="42076D15" w14:textId="77777777" w:rsidR="005D3DB2" w:rsidRPr="005C17A3" w:rsidRDefault="00000000">
            <w:pPr>
              <w:pStyle w:val="Compact"/>
              <w:rPr>
                <w:sz w:val="26"/>
                <w:szCs w:val="26"/>
              </w:rPr>
            </w:pPr>
            <w:r w:rsidRPr="005C17A3">
              <w:rPr>
                <w:sz w:val="26"/>
                <w:szCs w:val="26"/>
              </w:rPr>
              <w:t>Không</w:t>
            </w:r>
          </w:p>
        </w:tc>
      </w:tr>
      <w:tr w:rsidR="005D3DB2" w:rsidRPr="005C17A3" w14:paraId="09825E7F" w14:textId="77777777" w:rsidTr="00841625">
        <w:tc>
          <w:tcPr>
            <w:tcW w:w="0" w:type="auto"/>
          </w:tcPr>
          <w:p w14:paraId="78212DBA" w14:textId="77777777" w:rsidR="005D3DB2" w:rsidRPr="005C17A3" w:rsidRDefault="00000000">
            <w:pPr>
              <w:pStyle w:val="Compact"/>
              <w:rPr>
                <w:sz w:val="26"/>
                <w:szCs w:val="26"/>
              </w:rPr>
            </w:pPr>
            <w:r w:rsidRPr="005C17A3">
              <w:rPr>
                <w:sz w:val="26"/>
                <w:szCs w:val="26"/>
              </w:rPr>
              <w:t>8</w:t>
            </w:r>
          </w:p>
        </w:tc>
        <w:tc>
          <w:tcPr>
            <w:tcW w:w="0" w:type="auto"/>
          </w:tcPr>
          <w:p w14:paraId="2BE42332" w14:textId="77777777" w:rsidR="005D3DB2" w:rsidRPr="005C17A3" w:rsidRDefault="00000000">
            <w:pPr>
              <w:pStyle w:val="Compact"/>
              <w:rPr>
                <w:sz w:val="26"/>
                <w:szCs w:val="26"/>
              </w:rPr>
            </w:pPr>
            <w:r w:rsidRPr="005C17A3">
              <w:rPr>
                <w:sz w:val="26"/>
                <w:szCs w:val="26"/>
              </w:rPr>
              <w:t>Sales-based real earnings management and the cost of debt: Evidence from five ASEAN markets</w:t>
            </w:r>
          </w:p>
        </w:tc>
        <w:tc>
          <w:tcPr>
            <w:tcW w:w="0" w:type="auto"/>
          </w:tcPr>
          <w:p w14:paraId="6A26FAEC" w14:textId="77777777" w:rsidR="005D3DB2" w:rsidRPr="005C17A3" w:rsidRDefault="00000000">
            <w:pPr>
              <w:pStyle w:val="Compact"/>
              <w:rPr>
                <w:sz w:val="26"/>
                <w:szCs w:val="26"/>
              </w:rPr>
            </w:pPr>
            <w:r w:rsidRPr="005C17A3">
              <w:rPr>
                <w:sz w:val="26"/>
                <w:szCs w:val="26"/>
              </w:rPr>
              <w:t>5</w:t>
            </w:r>
          </w:p>
        </w:tc>
        <w:tc>
          <w:tcPr>
            <w:tcW w:w="0" w:type="auto"/>
          </w:tcPr>
          <w:p w14:paraId="74750DB1" w14:textId="77777777" w:rsidR="005D3DB2" w:rsidRPr="005C17A3" w:rsidRDefault="00000000">
            <w:pPr>
              <w:pStyle w:val="Compact"/>
              <w:rPr>
                <w:sz w:val="26"/>
                <w:szCs w:val="26"/>
              </w:rPr>
            </w:pPr>
            <w:r w:rsidRPr="005C17A3">
              <w:rPr>
                <w:sz w:val="26"/>
                <w:szCs w:val="26"/>
              </w:rPr>
              <w:t>Accounting Open; ISSN 3050-5461</w:t>
            </w:r>
          </w:p>
        </w:tc>
        <w:tc>
          <w:tcPr>
            <w:tcW w:w="0" w:type="auto"/>
          </w:tcPr>
          <w:p w14:paraId="499B36F6" w14:textId="77777777" w:rsidR="005D3DB2" w:rsidRPr="005C17A3" w:rsidRDefault="00000000">
            <w:pPr>
              <w:pStyle w:val="Compact"/>
              <w:rPr>
                <w:sz w:val="26"/>
                <w:szCs w:val="26"/>
              </w:rPr>
            </w:pPr>
            <w:r w:rsidRPr="005C17A3">
              <w:rPr>
                <w:sz w:val="26"/>
                <w:szCs w:val="26"/>
              </w:rPr>
              <w:t>Ban biên tập đang xem xét (mã ACCOP-D-26-00232)</w:t>
            </w:r>
          </w:p>
        </w:tc>
        <w:tc>
          <w:tcPr>
            <w:tcW w:w="0" w:type="auto"/>
          </w:tcPr>
          <w:p w14:paraId="6298585A" w14:textId="77777777" w:rsidR="005D3DB2" w:rsidRPr="005C17A3" w:rsidRDefault="00000000">
            <w:pPr>
              <w:pStyle w:val="Compact"/>
              <w:rPr>
                <w:sz w:val="26"/>
                <w:szCs w:val="26"/>
              </w:rPr>
            </w:pPr>
            <w:r w:rsidRPr="005C17A3">
              <w:rPr>
                <w:sz w:val="26"/>
                <w:szCs w:val="26"/>
              </w:rPr>
              <w:t>Không</w:t>
            </w:r>
          </w:p>
        </w:tc>
      </w:tr>
    </w:tbl>
    <w:p w14:paraId="696FF3E5" w14:textId="77777777" w:rsidR="005D3DB2" w:rsidRPr="005C17A3" w:rsidRDefault="00000000">
      <w:pPr>
        <w:pStyle w:val="SourceNote"/>
        <w:rPr>
          <w:sz w:val="26"/>
          <w:szCs w:val="26"/>
        </w:rPr>
      </w:pPr>
      <w:r w:rsidRPr="005C17A3">
        <w:rPr>
          <w:sz w:val="26"/>
          <w:szCs w:val="26"/>
        </w:rPr>
        <w:t>Ghi chú: Thí sinh là tác giả liên hệ của cả tám bản thảo.</w:t>
      </w:r>
    </w:p>
    <w:p w14:paraId="06EC7628" w14:textId="77777777" w:rsidR="005D3DB2" w:rsidRPr="005C17A3" w:rsidRDefault="00000000">
      <w:pPr>
        <w:pStyle w:val="Heading2"/>
      </w:pPr>
      <w:bookmarkStart w:id="57" w:name="_Toc243136596"/>
      <w:bookmarkStart w:id="58" w:name="X2759434a63208bf1118b68a60cffdc0442b6887"/>
      <w:bookmarkEnd w:id="54"/>
      <w:r w:rsidRPr="005C17A3">
        <w:t>8.2. Kiến thức, sự hiểu biết và sự chuẩn bị của thí sinh về vấn đề nghiên cứu</w:t>
      </w:r>
      <w:bookmarkEnd w:id="57"/>
    </w:p>
    <w:p w14:paraId="387D8777" w14:textId="77777777" w:rsidR="005D3DB2" w:rsidRPr="005C17A3" w:rsidRDefault="00000000">
      <w:pPr>
        <w:pStyle w:val="FirstParagraph"/>
      </w:pPr>
      <w:r w:rsidRPr="005C17A3">
        <w:t>Thí sinh tốt nghiệp Cử nhân Kinh tế, chuyên ngành Đầu tư, hệ chính quy khóa 2022–2026 tại Học viện Chính sách và Phát triển, xếp loại Giỏi (điểm trung bình 3,41/4, tương đương 8,06/10). Các học phần gần nhất với đề tài gồm Quản lý danh mục đầu tư (9,9/10), Xác suất và thống kê (10/10), Kinh tế lượng (8,1/10) và Phân tích báo cáo tài chính (8,6/10).</w:t>
      </w:r>
    </w:p>
    <w:p w14:paraId="42C2BD24" w14:textId="77777777" w:rsidR="005D3DB2" w:rsidRPr="005C17A3" w:rsidRDefault="00000000">
      <w:pPr>
        <w:pStyle w:val="FirstParagraph"/>
      </w:pPr>
      <w:r w:rsidRPr="005C17A3">
        <w:t>Thí sinh đang theo học ngành Kế toán hệ vừa làm vừa học tại Đại học Kinh tế Quốc dân (năm thứ ba), ngành Công nghệ thông tin hệ đào tạo từ xa tại Học viện Công nghệ Bưu chính Viễn thông (năm thứ ba), và chương trình thạc sĩ trực tuyến tại WorldQuant University từ tháng 7/2026.</w:t>
      </w:r>
    </w:p>
    <w:p w14:paraId="43DEF0E9" w14:textId="77777777" w:rsidR="005D3DB2" w:rsidRPr="005C17A3" w:rsidRDefault="00000000">
      <w:pPr>
        <w:pStyle w:val="FirstParagraph"/>
      </w:pPr>
      <w:r w:rsidRPr="005C17A3">
        <w:t>Nếu trúng tuyển, thí sinh cam kết theo học chương trình đào tạo tiến sĩ theo hình thức tập trung toàn thời gian, đáp ứng điều kiện tại khoản 3 Điều 11 Nghị quyết số 57/2026/NQ-HĐND (Hội đồng nhân dân thành phố Hà Nội, 2026), và trước khi nhập học sẽ hoàn thành, bảo lưu hoặc dừng các chương trình đang theo học nêu trên để dành toàn bộ thời gian cho học tập và nghiên cứu.</w:t>
      </w:r>
    </w:p>
    <w:p w14:paraId="5ACCE486" w14:textId="77777777" w:rsidR="005D3DB2" w:rsidRPr="005C17A3" w:rsidRDefault="00000000">
      <w:pPr>
        <w:pStyle w:val="FirstParagraph"/>
      </w:pPr>
      <w:r w:rsidRPr="005C17A3">
        <w:t>Về ngoại ngữ, thí sinh có chứng chỉ tiếng Anh Bậc 4 (VSTEP, Vietnamese Standardized Test of English Proficiency), điểm tổng 6,5, do Đại học Phenikaa cấp ngày 26/01/2026.</w:t>
      </w:r>
    </w:p>
    <w:p w14:paraId="0167C645" w14:textId="77777777" w:rsidR="005D3DB2" w:rsidRPr="005C17A3" w:rsidRDefault="00000000">
      <w:pPr>
        <w:pStyle w:val="BodyText"/>
      </w:pPr>
      <w:r w:rsidRPr="005C17A3">
        <w:lastRenderedPageBreak/>
        <w:t>Thí sinh chuẩn bị cho đề tài qua các công việc nghiên cứu đã làm. Bản thảo số 6 ở Bảng 7, về thanh khoản cổ phiếu quanh đợt nâng hạng thị trường của FTSE Russell, cho thí sinh kinh nghiệm với nghiên cứu sự kiện trên thanh khoản, công cụ trực tiếp của H</w:t>
      </w:r>
      <w:r w:rsidRPr="005C17A3">
        <w:rPr>
          <w:vertAlign w:val="subscript"/>
        </w:rPr>
        <w:t>3</w:t>
      </w:r>
      <w:r w:rsidRPr="005C17A3">
        <w:t>; bản thảo số 4, về điểm gãy cấu trúc của thanh khoản, cho thí sinh kinh nghiệm với độ phi thanh khoản Amihud và phương pháp Bai-Perron. Bài báo Nguyễn và Nguyễn (2026a) là nền của mô hình M</w:t>
      </w:r>
      <w:r w:rsidRPr="005C17A3">
        <w:rPr>
          <w:vertAlign w:val="subscript"/>
        </w:rPr>
        <w:t>5</w:t>
      </w:r>
      <w:r w:rsidRPr="005C17A3">
        <w:t>, và bài báo số 4 ở Bảng 6 giúp thí sinh làm quen với việc so sánh nhiều mô hình danh mục trên cùng dữ liệu.</w:t>
      </w:r>
    </w:p>
    <w:p w14:paraId="052DF387" w14:textId="77777777" w:rsidR="005D3DB2" w:rsidRPr="005C17A3" w:rsidRDefault="00000000">
      <w:pPr>
        <w:pStyle w:val="Heading1"/>
      </w:pPr>
      <w:bookmarkStart w:id="59" w:name="_Toc243136597"/>
      <w:bookmarkStart w:id="60" w:name="X49f21f7d9d867661168a79b1a8d1b70fdbb6a4d"/>
      <w:bookmarkEnd w:id="52"/>
      <w:bookmarkEnd w:id="58"/>
      <w:r w:rsidRPr="005C17A3">
        <w:t>9. Dự kiến việc làm và các hướng nghiên cứu sau khi tốt nghiệp</w:t>
      </w:r>
      <w:bookmarkEnd w:id="59"/>
    </w:p>
    <w:p w14:paraId="4EE426D5" w14:textId="77777777" w:rsidR="005D3DB2" w:rsidRPr="005C17A3" w:rsidRDefault="00000000">
      <w:pPr>
        <w:pStyle w:val="FirstParagraph"/>
      </w:pPr>
      <w:r w:rsidRPr="005C17A3">
        <w:t>Sau khi tốt nghiệp, thí sinh dự kiến làm nghiên cứu và giảng dạy tài chính tại trường đại học hoặc viện nghiên cứu, hoặc làm việc ở bộ phận dữ liệu và phân tích thị trường của sở giao dịch hay cơ quan quản lý. Ở cả hai hướng, thí sinh có thể duy trì Chỉ số chất lượng thị trường vốn cùng người dùng thực tế.</w:t>
      </w:r>
    </w:p>
    <w:p w14:paraId="21B2A5D7" w14:textId="77777777" w:rsidR="005D3DB2" w:rsidRPr="005C17A3" w:rsidRDefault="00000000">
      <w:pPr>
        <w:pStyle w:val="BodyText"/>
      </w:pPr>
      <w:r w:rsidRPr="005C17A3">
        <w:t>Thí sinh cam kết thực hiện nghĩa vụ tại điểm e khoản 2 Điều 15 Nghị quyết số 57/2026/NQ-HĐND: sau khi hoàn thành chương trình đào tạo, tham gia mạng lưới chuyên gia khoa học, công nghệ, đổi mới sáng tạo và chuyển đổi số của Thành phố, và tham gia tư vấn, phản biện, cung cấp luận cứ khoa học cho bài toán số 19 và các nhiệm vụ khác phù hợp với chuyên môn khi được cơ quan có thẩm quyền mời hoặc giao nhiệm vụ (Hội đồng nhân dân thành phố Hà Nội, 2026).</w:t>
      </w:r>
    </w:p>
    <w:p w14:paraId="5D90ECEA" w14:textId="77777777" w:rsidR="005D3DB2" w:rsidRPr="005C17A3" w:rsidRDefault="00000000">
      <w:pPr>
        <w:pStyle w:val="BodyText"/>
      </w:pPr>
      <w:r w:rsidRPr="005C17A3">
        <w:t>Về nghiên cứu, thí sinh dự kiến mở rộng Chỉ số chất lượng thị trường vốn sang thị trường trái phiếu chính phủ và phái sinh do HNX vận hành, đánh giá tác động dài hạn của đợt hợp nhất, và so sánh vai trò của Hà Nội với các thủ đô khác trong khu vực.</w:t>
      </w:r>
    </w:p>
    <w:p w14:paraId="1BDDB59C" w14:textId="77777777" w:rsidR="005D3DB2" w:rsidRPr="005C17A3" w:rsidRDefault="00000000">
      <w:pPr>
        <w:pStyle w:val="Heading1"/>
      </w:pPr>
      <w:bookmarkStart w:id="61" w:name="_Toc243136598"/>
      <w:bookmarkStart w:id="62" w:name="đề-xuất-người-hướng-dẫn"/>
      <w:bookmarkEnd w:id="60"/>
      <w:r w:rsidRPr="005C17A3">
        <w:t>10. Đề xuất người hướng dẫn</w:t>
      </w:r>
      <w:bookmarkEnd w:id="61"/>
    </w:p>
    <w:p w14:paraId="466FBDC9" w14:textId="6FA7D481" w:rsidR="00F612F2" w:rsidRDefault="00F612F2" w:rsidP="00194512">
      <w:pPr>
        <w:pStyle w:val="FirstParagraph"/>
      </w:pPr>
      <w:r w:rsidRPr="005C17A3">
        <w:t>Người hướng (dự kiến): PGS.TS. Hà Hồng Hạnh, Trường Đại học Kinh tế Quốc dân. Người hướng dẫn hỗ trợ phần hàm ý chính sách và quản trị của đề tài trong bối cảnh khung quy định Việt Nam.</w:t>
      </w:r>
    </w:p>
    <w:p w14:paraId="044F223B" w14:textId="37FD1DEA" w:rsidR="00E7091C" w:rsidRPr="00E7091C" w:rsidRDefault="00E7091C" w:rsidP="00E7091C">
      <w:pPr>
        <w:pStyle w:val="BodyText"/>
      </w:pPr>
      <w:r w:rsidRPr="00E7091C">
        <w:t>Nếu Nhà trường thấy phù hợp, thí sinh rất mong được Nhà trường xem xét giới thiệu người hướng dẫn thứ hai là nhà khoa học có kinh nghiệm về vi cấu trúc thị trường hoặc phương pháp suy luận nhân quả, để thí sinh được hỗ trợ thêm ở phần thiết kế khác biệt kép của đề tài</w:t>
      </w:r>
      <w:r>
        <w:t xml:space="preserve"> và cho sự nghiệp sau này/</w:t>
      </w:r>
    </w:p>
    <w:p w14:paraId="47D090A0" w14:textId="77777777" w:rsidR="005D3DB2" w:rsidRPr="005C17A3" w:rsidRDefault="00000000">
      <w:pPr>
        <w:pStyle w:val="Heading1"/>
      </w:pPr>
      <w:bookmarkStart w:id="63" w:name="_Toc243136599"/>
      <w:bookmarkStart w:id="64" w:name="danh-mục-tài-liệu-tham-khảo"/>
      <w:bookmarkEnd w:id="62"/>
      <w:r w:rsidRPr="005C17A3">
        <w:lastRenderedPageBreak/>
        <w:t>11. Danh mục tài liệu tham khảo</w:t>
      </w:r>
      <w:bookmarkEnd w:id="63"/>
    </w:p>
    <w:p w14:paraId="27492457" w14:textId="77777777" w:rsidR="005D3DB2" w:rsidRPr="00C35CC4" w:rsidRDefault="00000000" w:rsidP="00841625">
      <w:pPr>
        <w:pStyle w:val="FirstParagraph"/>
        <w:spacing w:line="240" w:lineRule="auto"/>
      </w:pPr>
      <w:r w:rsidRPr="00C35CC4">
        <w:rPr>
          <w:b/>
          <w:bCs/>
        </w:rPr>
        <w:t>Tài liệu tiếng Việt</w:t>
      </w:r>
    </w:p>
    <w:p w14:paraId="3C03EBC2" w14:textId="77777777" w:rsidR="000F5DDC" w:rsidRPr="00841625" w:rsidRDefault="00000000" w:rsidP="00841625">
      <w:pPr>
        <w:pStyle w:val="Reference"/>
        <w:spacing w:line="240" w:lineRule="auto"/>
        <w:rPr>
          <w:sz w:val="22"/>
          <w:szCs w:val="22"/>
        </w:rPr>
      </w:pPr>
      <w:r w:rsidRPr="00841625">
        <w:rPr>
          <w:sz w:val="22"/>
          <w:szCs w:val="22"/>
        </w:rPr>
        <w:t>Báo Đầu tư Chứng khoán. (2026). HNX nhập HOSE, UPCoM còn doanh nghiệp nào đang chia cổ tức tốt với P/E rẻ? [Bài báo ngày 06/10/2026].</w:t>
      </w:r>
    </w:p>
    <w:p w14:paraId="7D783642" w14:textId="77777777" w:rsidR="000F5DDC" w:rsidRPr="00841625" w:rsidRDefault="00000000" w:rsidP="00841625">
      <w:pPr>
        <w:pStyle w:val="Reference"/>
        <w:spacing w:line="240" w:lineRule="auto"/>
        <w:rPr>
          <w:sz w:val="22"/>
          <w:szCs w:val="22"/>
        </w:rPr>
      </w:pPr>
      <w:r w:rsidRPr="00841625">
        <w:rPr>
          <w:sz w:val="22"/>
          <w:szCs w:val="22"/>
        </w:rPr>
        <w:t xml:space="preserve">Bộ Tài chính. (2020). </w:t>
      </w:r>
      <w:r w:rsidRPr="00841625">
        <w:rPr>
          <w:i/>
          <w:iCs/>
          <w:sz w:val="22"/>
          <w:szCs w:val="22"/>
        </w:rPr>
        <w:t>Thông tư số 120/2020/TT-BTC ngày 31/12/2020 quy định giao dịch cổ phiếu niêm yết, đăng ký giao dịch và chứng chỉ quỹ, trái phiếu doanh nghiệp, chứng quyền có bảo đảm niêm yết trên hệ thống giao dịch chứng khoán</w:t>
      </w:r>
      <w:r w:rsidRPr="00841625">
        <w:rPr>
          <w:sz w:val="22"/>
          <w:szCs w:val="22"/>
        </w:rPr>
        <w:t>.</w:t>
      </w:r>
    </w:p>
    <w:p w14:paraId="07C67871" w14:textId="77777777" w:rsidR="000F5DDC" w:rsidRPr="00841625" w:rsidRDefault="00000000" w:rsidP="00841625">
      <w:pPr>
        <w:pStyle w:val="Reference"/>
        <w:spacing w:line="240" w:lineRule="auto"/>
        <w:rPr>
          <w:sz w:val="22"/>
          <w:szCs w:val="22"/>
        </w:rPr>
      </w:pPr>
      <w:r w:rsidRPr="00841625">
        <w:rPr>
          <w:sz w:val="22"/>
          <w:szCs w:val="22"/>
        </w:rPr>
        <w:t xml:space="preserve">Bộ Tài chính. (2023). </w:t>
      </w:r>
      <w:r w:rsidRPr="00841625">
        <w:rPr>
          <w:i/>
          <w:iCs/>
          <w:sz w:val="22"/>
          <w:szCs w:val="22"/>
        </w:rPr>
        <w:t>Văn bản hợp nhất số 19/VBHN-BTC ngày 25/12/2023 hợp nhất Thông tư quy định lộ trình sắp xếp lại thị trường giao dịch cổ phiếu, thị trường giao dịch trái phiếu, thị trường giao dịch chứng khoán phái sinh và thị trường giao dịch các loại chứng khoán khác</w:t>
      </w:r>
      <w:r w:rsidRPr="00841625">
        <w:rPr>
          <w:sz w:val="22"/>
          <w:szCs w:val="22"/>
        </w:rPr>
        <w:t xml:space="preserve"> (hợp nhất Thông tư số 57/2021/TT-BTC ngày 12/7/2021 và Thông tư số 69/2023/TT-BTC ngày 15/11/2023).</w:t>
      </w:r>
    </w:p>
    <w:p w14:paraId="64074145" w14:textId="77777777" w:rsidR="000F5DDC" w:rsidRPr="00841625" w:rsidRDefault="00000000" w:rsidP="00841625">
      <w:pPr>
        <w:pStyle w:val="Reference"/>
        <w:spacing w:line="240" w:lineRule="auto"/>
        <w:rPr>
          <w:sz w:val="22"/>
          <w:szCs w:val="22"/>
        </w:rPr>
      </w:pPr>
      <w:r w:rsidRPr="00841625">
        <w:rPr>
          <w:sz w:val="22"/>
          <w:szCs w:val="22"/>
        </w:rPr>
        <w:t xml:space="preserve">Bộ Tài chính. (2025). </w:t>
      </w:r>
      <w:r w:rsidRPr="00841625">
        <w:rPr>
          <w:i/>
          <w:iCs/>
          <w:sz w:val="22"/>
          <w:szCs w:val="22"/>
        </w:rPr>
        <w:t>Thông tư số 139/2025/TT-BTC ngày 30/12/2025 sửa đổi, bổ sung một số điều của Thông tư số 57/2021/TT-BTC ngày 12 tháng 7 năm 2021 của Bộ trưởng Bộ Tài chính quy định lộ trình sắp xếp lại thị trường giao dịch cổ phiếu, thị trường giao dịch trái phiếu, thị trường giao dịch chứng khoán phái sinh và thị trường giao dịch các loại chứng khoán khác được sửa đổi, bổ sung bởi Thông tư số 69/2023/TT-BTC ngày 15 tháng 11 năm 2023 của Bộ trưởng Bộ Tài chính</w:t>
      </w:r>
      <w:r w:rsidRPr="00841625">
        <w:rPr>
          <w:sz w:val="22"/>
          <w:szCs w:val="22"/>
        </w:rPr>
        <w:t>.</w:t>
      </w:r>
    </w:p>
    <w:p w14:paraId="055FD314" w14:textId="77777777" w:rsidR="000F5DDC" w:rsidRPr="00841625" w:rsidRDefault="00000000" w:rsidP="00841625">
      <w:pPr>
        <w:pStyle w:val="Reference"/>
        <w:spacing w:line="240" w:lineRule="auto"/>
        <w:rPr>
          <w:sz w:val="22"/>
          <w:szCs w:val="22"/>
        </w:rPr>
      </w:pPr>
      <w:r w:rsidRPr="00841625">
        <w:rPr>
          <w:sz w:val="22"/>
          <w:szCs w:val="22"/>
        </w:rPr>
        <w:t xml:space="preserve">Hội đồng nhân dân thành phố Hà Nội. (2026). </w:t>
      </w:r>
      <w:r w:rsidRPr="00841625">
        <w:rPr>
          <w:i/>
          <w:iCs/>
          <w:sz w:val="22"/>
          <w:szCs w:val="22"/>
        </w:rPr>
        <w:t>Nghị quyết số 57/2026/NQ-HĐND ngày 15/6/2026 quy định một số chính sách phát triển nguồn nhân lực chất lượng cao của thành phố Hà Nội.</w:t>
      </w:r>
    </w:p>
    <w:p w14:paraId="48316608" w14:textId="77777777" w:rsidR="005D3DB2" w:rsidRPr="00841625" w:rsidRDefault="00000000" w:rsidP="00841625">
      <w:pPr>
        <w:pStyle w:val="Reference"/>
        <w:spacing w:line="240" w:lineRule="auto"/>
        <w:rPr>
          <w:sz w:val="22"/>
          <w:szCs w:val="22"/>
        </w:rPr>
      </w:pPr>
      <w:r w:rsidRPr="00841625">
        <w:rPr>
          <w:sz w:val="22"/>
          <w:szCs w:val="22"/>
        </w:rPr>
        <w:t xml:space="preserve">Nguyễn, T. B., &amp; Nguyễn, V. T. (2026b). Tiền gửi không kỳ hạn, hiệu quả hoạt động và ổn định tài chính ngân hàng: Bằng chứng từ mô hình ngưỡng tại Việt Nam. </w:t>
      </w:r>
      <w:r w:rsidRPr="00841625">
        <w:rPr>
          <w:i/>
          <w:iCs/>
          <w:sz w:val="22"/>
          <w:szCs w:val="22"/>
        </w:rPr>
        <w:t>Tạp chí Kinh tế - Luật và Ngân hàng</w:t>
      </w:r>
      <w:r w:rsidRPr="00841625">
        <w:rPr>
          <w:sz w:val="22"/>
          <w:szCs w:val="22"/>
        </w:rPr>
        <w:t xml:space="preserve">, </w:t>
      </w:r>
      <w:r w:rsidRPr="00841625">
        <w:rPr>
          <w:i/>
          <w:iCs/>
          <w:sz w:val="22"/>
          <w:szCs w:val="22"/>
        </w:rPr>
        <w:t>28</w:t>
      </w:r>
      <w:r w:rsidRPr="00841625">
        <w:rPr>
          <w:sz w:val="22"/>
          <w:szCs w:val="22"/>
        </w:rPr>
        <w:t>(9), 52–64. https://doi.org/10.59276/3030-4199/jelb.bav.895</w:t>
      </w:r>
    </w:p>
    <w:p w14:paraId="2A240A7D" w14:textId="77777777" w:rsidR="000F5DDC" w:rsidRPr="00841625" w:rsidRDefault="00000000" w:rsidP="00841625">
      <w:pPr>
        <w:pStyle w:val="Reference"/>
        <w:spacing w:line="240" w:lineRule="auto"/>
        <w:rPr>
          <w:sz w:val="22"/>
          <w:szCs w:val="22"/>
        </w:rPr>
      </w:pPr>
      <w:r w:rsidRPr="00841625">
        <w:rPr>
          <w:sz w:val="22"/>
          <w:szCs w:val="22"/>
        </w:rPr>
        <w:t xml:space="preserve">Quốc hội. (2025). </w:t>
      </w:r>
      <w:r w:rsidRPr="00841625">
        <w:rPr>
          <w:i/>
          <w:iCs/>
          <w:sz w:val="22"/>
          <w:szCs w:val="22"/>
        </w:rPr>
        <w:t>Nghị quyết số 222/2025/QH15 ngày 27/6/2025 về Trung tâm tài chính quốc tế tại Việt Nam</w:t>
      </w:r>
      <w:r w:rsidRPr="00841625">
        <w:rPr>
          <w:sz w:val="22"/>
          <w:szCs w:val="22"/>
        </w:rPr>
        <w:t>.</w:t>
      </w:r>
    </w:p>
    <w:p w14:paraId="43B31F1F" w14:textId="77777777" w:rsidR="000F5DDC" w:rsidRPr="00841625" w:rsidRDefault="00000000" w:rsidP="00841625">
      <w:pPr>
        <w:pStyle w:val="Reference"/>
        <w:spacing w:line="240" w:lineRule="auto"/>
        <w:rPr>
          <w:sz w:val="22"/>
          <w:szCs w:val="22"/>
        </w:rPr>
      </w:pPr>
      <w:r w:rsidRPr="00841625">
        <w:rPr>
          <w:sz w:val="22"/>
          <w:szCs w:val="22"/>
        </w:rPr>
        <w:t xml:space="preserve">Sở Giao dịch Chứng khoán Hà Nội. (2016). </w:t>
      </w:r>
      <w:r w:rsidRPr="00841625">
        <w:rPr>
          <w:i/>
          <w:iCs/>
          <w:sz w:val="22"/>
          <w:szCs w:val="22"/>
        </w:rPr>
        <w:t>Quyết định số 529/QĐ-SGDHN ngày 25/8/2016 về việc ban hành Quy chế giao dịch chứng khoán niêm yết tại Sở Giao dịch Chứng khoán Hà Nội</w:t>
      </w:r>
      <w:r w:rsidRPr="00841625">
        <w:rPr>
          <w:sz w:val="22"/>
          <w:szCs w:val="22"/>
        </w:rPr>
        <w:t>.</w:t>
      </w:r>
    </w:p>
    <w:p w14:paraId="49BDCD91" w14:textId="77777777" w:rsidR="000F5DDC" w:rsidRPr="00841625" w:rsidRDefault="00000000" w:rsidP="00841625">
      <w:pPr>
        <w:pStyle w:val="Reference"/>
        <w:spacing w:line="240" w:lineRule="auto"/>
        <w:rPr>
          <w:sz w:val="22"/>
          <w:szCs w:val="22"/>
        </w:rPr>
      </w:pPr>
      <w:r w:rsidRPr="00841625">
        <w:rPr>
          <w:sz w:val="22"/>
          <w:szCs w:val="22"/>
        </w:rPr>
        <w:t xml:space="preserve">Sở Giao dịch Chứng khoán Thành phố Hồ Chí Minh. (2016). </w:t>
      </w:r>
      <w:r w:rsidRPr="00841625">
        <w:rPr>
          <w:i/>
          <w:iCs/>
          <w:sz w:val="22"/>
          <w:szCs w:val="22"/>
        </w:rPr>
        <w:t>Quyết định số 341/QĐ-SGDHCM ngày 22/8/2016 ban hành Quy chế giao dịch chứng khoán</w:t>
      </w:r>
      <w:r w:rsidRPr="00841625">
        <w:rPr>
          <w:sz w:val="22"/>
          <w:szCs w:val="22"/>
        </w:rPr>
        <w:t>.</w:t>
      </w:r>
    </w:p>
    <w:p w14:paraId="1183FD55" w14:textId="77777777" w:rsidR="000F5DDC" w:rsidRPr="00841625" w:rsidRDefault="00000000" w:rsidP="00841625">
      <w:pPr>
        <w:pStyle w:val="Reference"/>
        <w:spacing w:line="240" w:lineRule="auto"/>
        <w:rPr>
          <w:sz w:val="22"/>
          <w:szCs w:val="22"/>
        </w:rPr>
      </w:pPr>
      <w:r w:rsidRPr="00841625">
        <w:rPr>
          <w:sz w:val="22"/>
          <w:szCs w:val="22"/>
        </w:rPr>
        <w:t xml:space="preserve">Sở Giao dịch Chứng khoán Thành phố Hồ Chí Minh. (2025). </w:t>
      </w:r>
      <w:r w:rsidRPr="00841625">
        <w:rPr>
          <w:i/>
          <w:iCs/>
          <w:sz w:val="22"/>
          <w:szCs w:val="22"/>
        </w:rPr>
        <w:t>Quy định giao dịch đăng website HOSE</w:t>
      </w:r>
      <w:r w:rsidRPr="00841625">
        <w:rPr>
          <w:sz w:val="22"/>
          <w:szCs w:val="22"/>
        </w:rPr>
        <w:t xml:space="preserve"> [Kèm theo Tờ trình số 51/TTr-HTGD ngày 26/4/2025].</w:t>
      </w:r>
    </w:p>
    <w:p w14:paraId="0F9A6E90" w14:textId="77777777" w:rsidR="000F5DDC" w:rsidRPr="00841625" w:rsidRDefault="00000000" w:rsidP="00841625">
      <w:pPr>
        <w:pStyle w:val="Reference"/>
        <w:spacing w:line="240" w:lineRule="auto"/>
        <w:rPr>
          <w:sz w:val="22"/>
          <w:szCs w:val="22"/>
        </w:rPr>
      </w:pPr>
      <w:r w:rsidRPr="00841625">
        <w:rPr>
          <w:sz w:val="22"/>
          <w:szCs w:val="22"/>
        </w:rPr>
        <w:t xml:space="preserve">Sở Giao dịch Chứng khoán Thành phố Hồ Chí Minh. (2026). </w:t>
      </w:r>
      <w:r w:rsidRPr="00841625">
        <w:rPr>
          <w:i/>
          <w:iCs/>
          <w:sz w:val="22"/>
          <w:szCs w:val="22"/>
        </w:rPr>
        <w:t>Quyết định số 737/QĐ-SGDHCM ngày 29/9/2026 ban hành Quy tắc chỉ số VNINDEX phiên bản 1.0. https://stream.vnx.vn/VNX//Article/2026100813094820920260929_QD737_SGDHCM_QTCS-VNINDEX.pdf</w:t>
      </w:r>
    </w:p>
    <w:p w14:paraId="32904522" w14:textId="77777777" w:rsidR="000F5DDC" w:rsidRPr="00841625" w:rsidRDefault="00000000" w:rsidP="00841625">
      <w:pPr>
        <w:pStyle w:val="Reference"/>
        <w:spacing w:line="240" w:lineRule="auto"/>
        <w:rPr>
          <w:sz w:val="22"/>
          <w:szCs w:val="22"/>
        </w:rPr>
      </w:pPr>
      <w:r w:rsidRPr="00841625">
        <w:rPr>
          <w:sz w:val="22"/>
          <w:szCs w:val="22"/>
        </w:rPr>
        <w:t xml:space="preserve">Sở Giao dịch Chứng khoán Việt Nam. (2026). </w:t>
      </w:r>
      <w:r w:rsidRPr="00841625">
        <w:rPr>
          <w:i/>
          <w:iCs/>
          <w:sz w:val="22"/>
          <w:szCs w:val="22"/>
        </w:rPr>
        <w:t>Sắp xếp lại thị trường giao dịch cổ phiếu niêm yết theo Thông tư số 139/2025/TT-BTC ngày 30/12/2025 của Bộ Tài chính</w:t>
      </w:r>
      <w:r w:rsidRPr="00841625">
        <w:rPr>
          <w:sz w:val="22"/>
          <w:szCs w:val="22"/>
        </w:rPr>
        <w:t xml:space="preserve"> [Thông báo ngày 30/9/2026]. https://vnx.vn/vi/thong-tin-tu-sgdck/VNX_QLHD/10005421</w:t>
      </w:r>
    </w:p>
    <w:p w14:paraId="63B8F361" w14:textId="77777777" w:rsidR="000F5DDC" w:rsidRPr="00841625" w:rsidRDefault="00000000" w:rsidP="00841625">
      <w:pPr>
        <w:pStyle w:val="Reference"/>
        <w:spacing w:line="240" w:lineRule="auto"/>
        <w:rPr>
          <w:sz w:val="22"/>
          <w:szCs w:val="22"/>
        </w:rPr>
      </w:pPr>
      <w:r w:rsidRPr="00841625">
        <w:rPr>
          <w:sz w:val="22"/>
          <w:szCs w:val="22"/>
        </w:rPr>
        <w:t>Thời báo Tài chính Việt Nam. (2026). Chuyển toàn bộ cổ phiếu HNX sang HOSE trong năm 2026, nghiên cứu giao dịch xuyên trưa và nới biên độ. https://thoibaotaichinhvietnam.vn/chuyen-toan-bo-co-phieu-hnx-sang-hose-trong-nam-2026-nghien-cuu-giao-dich-xuyen-trua-va-noi-bien-do-204943.html</w:t>
      </w:r>
    </w:p>
    <w:p w14:paraId="495DBBC3" w14:textId="77777777" w:rsidR="000F5DDC" w:rsidRPr="00841625" w:rsidRDefault="00000000" w:rsidP="00841625">
      <w:pPr>
        <w:pStyle w:val="Reference"/>
        <w:spacing w:line="240" w:lineRule="auto"/>
        <w:rPr>
          <w:sz w:val="22"/>
          <w:szCs w:val="22"/>
        </w:rPr>
      </w:pPr>
      <w:r w:rsidRPr="00841625">
        <w:rPr>
          <w:sz w:val="22"/>
          <w:szCs w:val="22"/>
        </w:rPr>
        <w:t>Tuổi Trẻ Online. (2026a). HOSE dự kiến chia cổ phiếu thành hai bảng Prime Board và Standard Board. https://tuoitre.vn/hose-du-kien-chia-co-phieu-thanh-hai-bang-prime-board-va-standard-board-100261002092239776.htm</w:t>
      </w:r>
    </w:p>
    <w:p w14:paraId="2BF8F46B" w14:textId="77777777" w:rsidR="000F5DDC" w:rsidRPr="00841625" w:rsidRDefault="00000000" w:rsidP="00841625">
      <w:pPr>
        <w:pStyle w:val="Reference"/>
        <w:spacing w:line="240" w:lineRule="auto"/>
        <w:rPr>
          <w:sz w:val="22"/>
          <w:szCs w:val="22"/>
        </w:rPr>
      </w:pPr>
      <w:r w:rsidRPr="00841625">
        <w:rPr>
          <w:sz w:val="22"/>
          <w:szCs w:val="22"/>
        </w:rPr>
        <w:t>Tuổi Trẻ Online. (2026b). Toàn bộ cổ phiếu trên HNX sẽ chuyển sang HOSE từ 28-12 [Bài báo ngày 30/9/2026]. https://tuoitre.vn/toan-bo-co-phieu-tren-hnx-se-chuyen-sang-hose-tu-28-12-100260930201353937.htm</w:t>
      </w:r>
    </w:p>
    <w:p w14:paraId="08C578C7" w14:textId="77777777" w:rsidR="000F5DDC" w:rsidRPr="00841625" w:rsidRDefault="00000000" w:rsidP="00841625">
      <w:pPr>
        <w:pStyle w:val="Reference"/>
        <w:spacing w:line="240" w:lineRule="auto"/>
        <w:rPr>
          <w:sz w:val="22"/>
          <w:szCs w:val="22"/>
        </w:rPr>
      </w:pPr>
      <w:r w:rsidRPr="00841625">
        <w:rPr>
          <w:sz w:val="22"/>
          <w:szCs w:val="22"/>
        </w:rPr>
        <w:t xml:space="preserve">Ủy ban nhân dân thành phố Hà Nội. (2026). </w:t>
      </w:r>
      <w:r w:rsidRPr="00841625">
        <w:rPr>
          <w:i/>
          <w:iCs/>
          <w:sz w:val="22"/>
          <w:szCs w:val="22"/>
        </w:rPr>
        <w:t>Quyết định số 1193/QĐ-UBND ngày 18/3/2026 về việc công bố Danh mục các bài toán lớn của thành phố Hà Nội giai đoạn 2026–2030 (đợt 1)</w:t>
      </w:r>
      <w:r w:rsidRPr="00841625">
        <w:rPr>
          <w:sz w:val="22"/>
          <w:szCs w:val="22"/>
        </w:rPr>
        <w:t>.</w:t>
      </w:r>
    </w:p>
    <w:p w14:paraId="1AB71DD9" w14:textId="77777777" w:rsidR="005D3DB2" w:rsidRPr="00C35CC4" w:rsidRDefault="00000000" w:rsidP="00841625">
      <w:pPr>
        <w:pStyle w:val="BodyText"/>
        <w:spacing w:line="240" w:lineRule="auto"/>
      </w:pPr>
      <w:r w:rsidRPr="00C35CC4">
        <w:rPr>
          <w:b/>
          <w:bCs/>
        </w:rPr>
        <w:lastRenderedPageBreak/>
        <w:t>Tài liệu tiếng Anh</w:t>
      </w:r>
    </w:p>
    <w:p w14:paraId="7E00C01B" w14:textId="77777777" w:rsidR="005D3DB2" w:rsidRPr="00841625" w:rsidRDefault="00000000" w:rsidP="00841625">
      <w:pPr>
        <w:pStyle w:val="Reference"/>
        <w:spacing w:line="240" w:lineRule="auto"/>
        <w:rPr>
          <w:sz w:val="22"/>
          <w:szCs w:val="22"/>
        </w:rPr>
      </w:pPr>
      <w:r w:rsidRPr="00841625">
        <w:rPr>
          <w:sz w:val="22"/>
          <w:szCs w:val="22"/>
        </w:rPr>
        <w:t xml:space="preserve">Amihud, Y. (2002). Illiquidity and stock returns: Cross-section and time-series effects. </w:t>
      </w:r>
      <w:r w:rsidRPr="00841625">
        <w:rPr>
          <w:i/>
          <w:iCs/>
          <w:sz w:val="22"/>
          <w:szCs w:val="22"/>
        </w:rPr>
        <w:t>Journal of Financial Markets</w:t>
      </w:r>
      <w:r w:rsidRPr="00841625">
        <w:rPr>
          <w:sz w:val="22"/>
          <w:szCs w:val="22"/>
        </w:rPr>
        <w:t xml:space="preserve">, </w:t>
      </w:r>
      <w:r w:rsidRPr="00841625">
        <w:rPr>
          <w:i/>
          <w:iCs/>
          <w:sz w:val="22"/>
          <w:szCs w:val="22"/>
        </w:rPr>
        <w:t>5</w:t>
      </w:r>
      <w:r w:rsidRPr="00841625">
        <w:rPr>
          <w:sz w:val="22"/>
          <w:szCs w:val="22"/>
        </w:rPr>
        <w:t>(1), 31–56.</w:t>
      </w:r>
    </w:p>
    <w:p w14:paraId="7DD6C770" w14:textId="77777777" w:rsidR="000F5DDC" w:rsidRPr="00841625" w:rsidRDefault="00000000" w:rsidP="00841625">
      <w:pPr>
        <w:pStyle w:val="Reference"/>
        <w:spacing w:line="240" w:lineRule="auto"/>
        <w:rPr>
          <w:sz w:val="22"/>
          <w:szCs w:val="22"/>
        </w:rPr>
      </w:pPr>
      <w:r w:rsidRPr="00841625">
        <w:rPr>
          <w:sz w:val="22"/>
          <w:szCs w:val="22"/>
        </w:rPr>
        <w:t xml:space="preserve">Amihud, Y., Mendelson, H., &amp; Lauterbach, B. (1997). Market microstructure and securities values: Evidence from the Tel Aviv Stock Exchange. </w:t>
      </w:r>
      <w:r w:rsidRPr="00841625">
        <w:rPr>
          <w:i/>
          <w:iCs/>
          <w:sz w:val="22"/>
          <w:szCs w:val="22"/>
        </w:rPr>
        <w:t>Journal of Financial Economics, 45(3), 365–390. https://doi.org/10.1016/S0304-405X(97)00021-4</w:t>
      </w:r>
    </w:p>
    <w:p w14:paraId="33AE08A7" w14:textId="77777777" w:rsidR="000F5DDC" w:rsidRPr="00841625" w:rsidRDefault="00000000" w:rsidP="00841625">
      <w:pPr>
        <w:pStyle w:val="Reference"/>
        <w:spacing w:line="240" w:lineRule="auto"/>
        <w:rPr>
          <w:sz w:val="22"/>
          <w:szCs w:val="22"/>
        </w:rPr>
      </w:pPr>
      <w:r w:rsidRPr="00841625">
        <w:rPr>
          <w:sz w:val="22"/>
          <w:szCs w:val="22"/>
        </w:rPr>
        <w:t xml:space="preserve">Bae, K.-H., Chan, K., &amp; Ng, A. (2004). Investibility and return volatility. </w:t>
      </w:r>
      <w:r w:rsidRPr="00841625">
        <w:rPr>
          <w:i/>
          <w:iCs/>
          <w:sz w:val="22"/>
          <w:szCs w:val="22"/>
        </w:rPr>
        <w:t>Journal of Financial Economics</w:t>
      </w:r>
      <w:r w:rsidRPr="00841625">
        <w:rPr>
          <w:sz w:val="22"/>
          <w:szCs w:val="22"/>
        </w:rPr>
        <w:t xml:space="preserve">, </w:t>
      </w:r>
      <w:r w:rsidRPr="00841625">
        <w:rPr>
          <w:i/>
          <w:iCs/>
          <w:sz w:val="22"/>
          <w:szCs w:val="22"/>
        </w:rPr>
        <w:t>71</w:t>
      </w:r>
      <w:r w:rsidRPr="00841625">
        <w:rPr>
          <w:sz w:val="22"/>
          <w:szCs w:val="22"/>
        </w:rPr>
        <w:t>(2), 239–263.</w:t>
      </w:r>
    </w:p>
    <w:p w14:paraId="368EB6FA" w14:textId="77777777" w:rsidR="005D3DB2" w:rsidRPr="00841625" w:rsidRDefault="00000000" w:rsidP="00841625">
      <w:pPr>
        <w:pStyle w:val="Reference"/>
        <w:spacing w:line="240" w:lineRule="auto"/>
        <w:rPr>
          <w:sz w:val="22"/>
          <w:szCs w:val="22"/>
        </w:rPr>
      </w:pPr>
      <w:r w:rsidRPr="00841625">
        <w:rPr>
          <w:sz w:val="22"/>
          <w:szCs w:val="22"/>
        </w:rPr>
        <w:t xml:space="preserve">Bai, J., &amp; Perron, P. (1998). Estimating and testing linear models with multiple structural changes. </w:t>
      </w:r>
      <w:r w:rsidRPr="00841625">
        <w:rPr>
          <w:i/>
          <w:iCs/>
          <w:sz w:val="22"/>
          <w:szCs w:val="22"/>
        </w:rPr>
        <w:t>Econometrica</w:t>
      </w:r>
      <w:r w:rsidRPr="00841625">
        <w:rPr>
          <w:sz w:val="22"/>
          <w:szCs w:val="22"/>
        </w:rPr>
        <w:t xml:space="preserve">, </w:t>
      </w:r>
      <w:r w:rsidRPr="00841625">
        <w:rPr>
          <w:i/>
          <w:iCs/>
          <w:sz w:val="22"/>
          <w:szCs w:val="22"/>
        </w:rPr>
        <w:t>66</w:t>
      </w:r>
      <w:r w:rsidRPr="00841625">
        <w:rPr>
          <w:sz w:val="22"/>
          <w:szCs w:val="22"/>
        </w:rPr>
        <w:t>(1), 47–78.</w:t>
      </w:r>
    </w:p>
    <w:p w14:paraId="1C0E532A" w14:textId="77777777" w:rsidR="000F5DDC" w:rsidRPr="00841625" w:rsidRDefault="00000000" w:rsidP="00841625">
      <w:pPr>
        <w:pStyle w:val="Reference"/>
        <w:spacing w:line="240" w:lineRule="auto"/>
        <w:rPr>
          <w:sz w:val="22"/>
          <w:szCs w:val="22"/>
        </w:rPr>
      </w:pPr>
      <w:r w:rsidRPr="00841625">
        <w:rPr>
          <w:sz w:val="22"/>
          <w:szCs w:val="22"/>
        </w:rPr>
        <w:t xml:space="preserve">Bekaert, G., Harvey, C. R., &amp; Lundblad, C. (2007). Liquidity and expected returns: Lessons from emerging markets. </w:t>
      </w:r>
      <w:r w:rsidRPr="00841625">
        <w:rPr>
          <w:i/>
          <w:iCs/>
          <w:sz w:val="22"/>
          <w:szCs w:val="22"/>
        </w:rPr>
        <w:t>The Review of Financial Studies</w:t>
      </w:r>
      <w:r w:rsidRPr="00841625">
        <w:rPr>
          <w:sz w:val="22"/>
          <w:szCs w:val="22"/>
        </w:rPr>
        <w:t xml:space="preserve">, </w:t>
      </w:r>
      <w:r w:rsidRPr="00841625">
        <w:rPr>
          <w:i/>
          <w:iCs/>
          <w:sz w:val="22"/>
          <w:szCs w:val="22"/>
        </w:rPr>
        <w:t>20</w:t>
      </w:r>
      <w:r w:rsidRPr="00841625">
        <w:rPr>
          <w:sz w:val="22"/>
          <w:szCs w:val="22"/>
        </w:rPr>
        <w:t>(6), 1783–1831.</w:t>
      </w:r>
    </w:p>
    <w:p w14:paraId="6C992A87" w14:textId="77777777" w:rsidR="005D3DB2" w:rsidRPr="00841625" w:rsidRDefault="00000000" w:rsidP="00841625">
      <w:pPr>
        <w:pStyle w:val="Reference"/>
        <w:spacing w:line="240" w:lineRule="auto"/>
        <w:rPr>
          <w:sz w:val="22"/>
          <w:szCs w:val="22"/>
        </w:rPr>
      </w:pPr>
      <w:r w:rsidRPr="00841625">
        <w:rPr>
          <w:sz w:val="22"/>
          <w:szCs w:val="22"/>
        </w:rPr>
        <w:t xml:space="preserve">Bessler, W., Opfer, H., &amp; Wolff, D. (2017). Multi-asset portfolio optimization and out-of-sample performance: An evaluation of Black-Litterman, mean-variance, and naïve diversification approaches. </w:t>
      </w:r>
      <w:r w:rsidRPr="00841625">
        <w:rPr>
          <w:i/>
          <w:iCs/>
          <w:sz w:val="22"/>
          <w:szCs w:val="22"/>
        </w:rPr>
        <w:t>The European Journal of Finance</w:t>
      </w:r>
      <w:r w:rsidRPr="00841625">
        <w:rPr>
          <w:sz w:val="22"/>
          <w:szCs w:val="22"/>
        </w:rPr>
        <w:t xml:space="preserve">, </w:t>
      </w:r>
      <w:r w:rsidRPr="00841625">
        <w:rPr>
          <w:i/>
          <w:iCs/>
          <w:sz w:val="22"/>
          <w:szCs w:val="22"/>
        </w:rPr>
        <w:t>23</w:t>
      </w:r>
      <w:r w:rsidRPr="00841625">
        <w:rPr>
          <w:sz w:val="22"/>
          <w:szCs w:val="22"/>
        </w:rPr>
        <w:t>(1), 1–30.</w:t>
      </w:r>
    </w:p>
    <w:p w14:paraId="4B0166B1" w14:textId="77777777" w:rsidR="005D3DB2" w:rsidRPr="00841625" w:rsidRDefault="00000000" w:rsidP="00841625">
      <w:pPr>
        <w:pStyle w:val="Reference"/>
        <w:spacing w:line="240" w:lineRule="auto"/>
        <w:rPr>
          <w:sz w:val="22"/>
          <w:szCs w:val="22"/>
        </w:rPr>
      </w:pPr>
      <w:r w:rsidRPr="00841625">
        <w:rPr>
          <w:sz w:val="22"/>
          <w:szCs w:val="22"/>
        </w:rPr>
        <w:t xml:space="preserve">Black, F., &amp; Litterman, R. (1992). Global portfolio optimization. </w:t>
      </w:r>
      <w:r w:rsidRPr="00841625">
        <w:rPr>
          <w:i/>
          <w:iCs/>
          <w:sz w:val="22"/>
          <w:szCs w:val="22"/>
        </w:rPr>
        <w:t>Financial Analysts Journal</w:t>
      </w:r>
      <w:r w:rsidRPr="00841625">
        <w:rPr>
          <w:sz w:val="22"/>
          <w:szCs w:val="22"/>
        </w:rPr>
        <w:t xml:space="preserve">, </w:t>
      </w:r>
      <w:r w:rsidRPr="00841625">
        <w:rPr>
          <w:i/>
          <w:iCs/>
          <w:sz w:val="22"/>
          <w:szCs w:val="22"/>
        </w:rPr>
        <w:t>48</w:t>
      </w:r>
      <w:r w:rsidRPr="00841625">
        <w:rPr>
          <w:sz w:val="22"/>
          <w:szCs w:val="22"/>
        </w:rPr>
        <w:t>(5), 28–43.</w:t>
      </w:r>
    </w:p>
    <w:p w14:paraId="0FCD727D" w14:textId="77777777" w:rsidR="000F5DDC" w:rsidRPr="00841625" w:rsidRDefault="00000000" w:rsidP="00841625">
      <w:pPr>
        <w:pStyle w:val="Reference"/>
        <w:spacing w:line="240" w:lineRule="auto"/>
        <w:rPr>
          <w:sz w:val="22"/>
          <w:szCs w:val="22"/>
        </w:rPr>
      </w:pPr>
      <w:r w:rsidRPr="00841625">
        <w:rPr>
          <w:sz w:val="22"/>
          <w:szCs w:val="22"/>
        </w:rPr>
        <w:t xml:space="preserve">Callaway, B., &amp; Sant’Anna, P. H. C. (2021). Difference-in-differences with multiple time periods. </w:t>
      </w:r>
      <w:r w:rsidRPr="00841625">
        <w:rPr>
          <w:i/>
          <w:iCs/>
          <w:sz w:val="22"/>
          <w:szCs w:val="22"/>
        </w:rPr>
        <w:t>Journal of Econometrics</w:t>
      </w:r>
      <w:r w:rsidRPr="00841625">
        <w:rPr>
          <w:sz w:val="22"/>
          <w:szCs w:val="22"/>
        </w:rPr>
        <w:t xml:space="preserve">, </w:t>
      </w:r>
      <w:r w:rsidRPr="00841625">
        <w:rPr>
          <w:i/>
          <w:iCs/>
          <w:sz w:val="22"/>
          <w:szCs w:val="22"/>
        </w:rPr>
        <w:t>225</w:t>
      </w:r>
      <w:r w:rsidRPr="00841625">
        <w:rPr>
          <w:sz w:val="22"/>
          <w:szCs w:val="22"/>
        </w:rPr>
        <w:t>(2), 200–230.</w:t>
      </w:r>
    </w:p>
    <w:p w14:paraId="57ADE53F" w14:textId="77777777" w:rsidR="000F5DDC" w:rsidRPr="00841625" w:rsidRDefault="00000000" w:rsidP="00841625">
      <w:pPr>
        <w:pStyle w:val="Reference"/>
        <w:spacing w:line="240" w:lineRule="auto"/>
        <w:rPr>
          <w:sz w:val="22"/>
          <w:szCs w:val="22"/>
        </w:rPr>
      </w:pPr>
      <w:r w:rsidRPr="00841625">
        <w:rPr>
          <w:sz w:val="22"/>
          <w:szCs w:val="22"/>
        </w:rPr>
        <w:t xml:space="preserve">Cetorelli, N., &amp; Peristiani, S. (2013). Prestigious stock exchanges: A network analysis of international financial centers. </w:t>
      </w:r>
      <w:r w:rsidRPr="00841625">
        <w:rPr>
          <w:i/>
          <w:iCs/>
          <w:sz w:val="22"/>
          <w:szCs w:val="22"/>
        </w:rPr>
        <w:t>Journal of Banking &amp; Finance</w:t>
      </w:r>
      <w:r w:rsidRPr="00841625">
        <w:rPr>
          <w:sz w:val="22"/>
          <w:szCs w:val="22"/>
        </w:rPr>
        <w:t xml:space="preserve">, </w:t>
      </w:r>
      <w:r w:rsidRPr="00841625">
        <w:rPr>
          <w:i/>
          <w:iCs/>
          <w:sz w:val="22"/>
          <w:szCs w:val="22"/>
        </w:rPr>
        <w:t>37</w:t>
      </w:r>
      <w:r w:rsidRPr="00841625">
        <w:rPr>
          <w:sz w:val="22"/>
          <w:szCs w:val="22"/>
        </w:rPr>
        <w:t>(5), 1543–1551.</w:t>
      </w:r>
    </w:p>
    <w:p w14:paraId="454098CC" w14:textId="77777777" w:rsidR="000F5DDC" w:rsidRPr="00841625" w:rsidRDefault="00000000" w:rsidP="00841625">
      <w:pPr>
        <w:pStyle w:val="Reference"/>
        <w:spacing w:line="240" w:lineRule="auto"/>
        <w:rPr>
          <w:sz w:val="22"/>
          <w:szCs w:val="22"/>
        </w:rPr>
      </w:pPr>
      <w:r w:rsidRPr="00841625">
        <w:rPr>
          <w:sz w:val="22"/>
          <w:szCs w:val="22"/>
        </w:rPr>
        <w:t xml:space="preserve">Chen, K., &amp; Chen, G. (2015). The rise of international financial centers in mainland China. </w:t>
      </w:r>
      <w:r w:rsidRPr="00841625">
        <w:rPr>
          <w:i/>
          <w:iCs/>
          <w:sz w:val="22"/>
          <w:szCs w:val="22"/>
        </w:rPr>
        <w:t>Cities</w:t>
      </w:r>
      <w:r w:rsidRPr="00841625">
        <w:rPr>
          <w:sz w:val="22"/>
          <w:szCs w:val="22"/>
        </w:rPr>
        <w:t xml:space="preserve">, </w:t>
      </w:r>
      <w:r w:rsidRPr="00841625">
        <w:rPr>
          <w:i/>
          <w:iCs/>
          <w:sz w:val="22"/>
          <w:szCs w:val="22"/>
        </w:rPr>
        <w:t>47</w:t>
      </w:r>
      <w:r w:rsidRPr="00841625">
        <w:rPr>
          <w:sz w:val="22"/>
          <w:szCs w:val="22"/>
        </w:rPr>
        <w:t>, 10–22.</w:t>
      </w:r>
    </w:p>
    <w:p w14:paraId="5A32AE10" w14:textId="77777777" w:rsidR="000F5DDC" w:rsidRPr="00841625" w:rsidRDefault="00000000" w:rsidP="00841625">
      <w:pPr>
        <w:pStyle w:val="Reference"/>
        <w:spacing w:line="240" w:lineRule="auto"/>
        <w:rPr>
          <w:sz w:val="22"/>
          <w:szCs w:val="22"/>
        </w:rPr>
      </w:pPr>
      <w:r w:rsidRPr="00841625">
        <w:rPr>
          <w:sz w:val="22"/>
          <w:szCs w:val="22"/>
        </w:rPr>
        <w:t xml:space="preserve">Christie, W. G., &amp; Huang, R. D. (1994). Market structures and liquidity: A transactions data study of exchange listings. </w:t>
      </w:r>
      <w:r w:rsidRPr="00841625">
        <w:rPr>
          <w:i/>
          <w:iCs/>
          <w:sz w:val="22"/>
          <w:szCs w:val="22"/>
        </w:rPr>
        <w:t>Journal of Financial Intermediation</w:t>
      </w:r>
      <w:r w:rsidRPr="00841625">
        <w:rPr>
          <w:sz w:val="22"/>
          <w:szCs w:val="22"/>
        </w:rPr>
        <w:t xml:space="preserve">, </w:t>
      </w:r>
      <w:r w:rsidRPr="00841625">
        <w:rPr>
          <w:i/>
          <w:iCs/>
          <w:sz w:val="22"/>
          <w:szCs w:val="22"/>
        </w:rPr>
        <w:t>3</w:t>
      </w:r>
      <w:r w:rsidRPr="00841625">
        <w:rPr>
          <w:sz w:val="22"/>
          <w:szCs w:val="22"/>
        </w:rPr>
        <w:t>(3), 300–326.</w:t>
      </w:r>
    </w:p>
    <w:p w14:paraId="654C817D" w14:textId="77777777" w:rsidR="000F5DDC" w:rsidRPr="00841625" w:rsidRDefault="00000000" w:rsidP="00841625">
      <w:pPr>
        <w:pStyle w:val="Reference"/>
        <w:spacing w:line="240" w:lineRule="auto"/>
        <w:rPr>
          <w:sz w:val="22"/>
          <w:szCs w:val="22"/>
        </w:rPr>
      </w:pPr>
      <w:r w:rsidRPr="00841625">
        <w:rPr>
          <w:sz w:val="22"/>
          <w:szCs w:val="22"/>
        </w:rPr>
        <w:t xml:space="preserve">Čihák, M., Demirgüç-Kunt, A., Feyen, E., &amp; Levine, R. (2012). </w:t>
      </w:r>
      <w:r w:rsidRPr="00841625">
        <w:rPr>
          <w:i/>
          <w:iCs/>
          <w:sz w:val="22"/>
          <w:szCs w:val="22"/>
        </w:rPr>
        <w:t>Benchmarking financial systems around the world</w:t>
      </w:r>
      <w:r w:rsidRPr="00841625">
        <w:rPr>
          <w:sz w:val="22"/>
          <w:szCs w:val="22"/>
        </w:rPr>
        <w:t xml:space="preserve"> (Policy Research Working Paper No. 6175). World Bank.</w:t>
      </w:r>
    </w:p>
    <w:p w14:paraId="431084E8" w14:textId="77777777" w:rsidR="000F5DDC" w:rsidRPr="00841625" w:rsidRDefault="00000000" w:rsidP="00841625">
      <w:pPr>
        <w:pStyle w:val="Reference"/>
        <w:spacing w:line="240" w:lineRule="auto"/>
        <w:rPr>
          <w:sz w:val="22"/>
          <w:szCs w:val="22"/>
        </w:rPr>
      </w:pPr>
      <w:r w:rsidRPr="00841625">
        <w:rPr>
          <w:sz w:val="22"/>
          <w:szCs w:val="22"/>
        </w:rPr>
        <w:t xml:space="preserve">Conley, T. G., &amp; Taber, C. R. (2011). Inference with "difference in differences" with a small number of policy changes. </w:t>
      </w:r>
      <w:r w:rsidRPr="00841625">
        <w:rPr>
          <w:i/>
          <w:iCs/>
          <w:sz w:val="22"/>
          <w:szCs w:val="22"/>
        </w:rPr>
        <w:t>The Review of Economics and Statistics</w:t>
      </w:r>
      <w:r w:rsidRPr="00841625">
        <w:rPr>
          <w:sz w:val="22"/>
          <w:szCs w:val="22"/>
        </w:rPr>
        <w:t xml:space="preserve">, </w:t>
      </w:r>
      <w:r w:rsidRPr="00841625">
        <w:rPr>
          <w:i/>
          <w:iCs/>
          <w:sz w:val="22"/>
          <w:szCs w:val="22"/>
        </w:rPr>
        <w:t>93</w:t>
      </w:r>
      <w:r w:rsidRPr="00841625">
        <w:rPr>
          <w:sz w:val="22"/>
          <w:szCs w:val="22"/>
        </w:rPr>
        <w:t>(1), 113–125.</w:t>
      </w:r>
    </w:p>
    <w:p w14:paraId="6BC792B8" w14:textId="77777777" w:rsidR="000F5DDC" w:rsidRPr="00841625" w:rsidRDefault="00000000" w:rsidP="00841625">
      <w:pPr>
        <w:pStyle w:val="Reference"/>
        <w:spacing w:line="240" w:lineRule="auto"/>
        <w:rPr>
          <w:sz w:val="22"/>
          <w:szCs w:val="22"/>
        </w:rPr>
      </w:pPr>
      <w:r w:rsidRPr="00841625">
        <w:rPr>
          <w:sz w:val="22"/>
          <w:szCs w:val="22"/>
        </w:rPr>
        <w:t xml:space="preserve">Corwin, S. A., &amp; Schultz, P. (2012). A simple way to estimate bid-ask spreads from daily high and low prices. </w:t>
      </w:r>
      <w:r w:rsidRPr="00841625">
        <w:rPr>
          <w:i/>
          <w:iCs/>
          <w:sz w:val="22"/>
          <w:szCs w:val="22"/>
        </w:rPr>
        <w:t>The Journal of Finance, 67(2), 719–760. https://doi.org/10.1111/j.1540-6261.2012.01729.x</w:t>
      </w:r>
    </w:p>
    <w:p w14:paraId="62547FE6" w14:textId="77777777" w:rsidR="000F5DDC" w:rsidRPr="00841625" w:rsidRDefault="00000000" w:rsidP="00841625">
      <w:pPr>
        <w:pStyle w:val="Reference"/>
        <w:spacing w:line="240" w:lineRule="auto"/>
        <w:rPr>
          <w:sz w:val="22"/>
          <w:szCs w:val="22"/>
        </w:rPr>
      </w:pPr>
      <w:r w:rsidRPr="00841625">
        <w:rPr>
          <w:sz w:val="22"/>
          <w:szCs w:val="22"/>
        </w:rPr>
        <w:t>Coval, J. D., &amp; Moskowitz, T. J. (1999). Home bias at home: Local equity preference in domestic portfolios. The Journal of Finance, 54(6), 2045–2073. https://doi.org/10.1111/0022-1082.00181</w:t>
      </w:r>
    </w:p>
    <w:p w14:paraId="5EBB7956" w14:textId="77777777" w:rsidR="005D3DB2" w:rsidRPr="00841625" w:rsidRDefault="00000000" w:rsidP="00841625">
      <w:pPr>
        <w:pStyle w:val="Reference"/>
        <w:spacing w:line="240" w:lineRule="auto"/>
        <w:rPr>
          <w:sz w:val="22"/>
          <w:szCs w:val="22"/>
        </w:rPr>
      </w:pPr>
      <w:r w:rsidRPr="00841625">
        <w:rPr>
          <w:sz w:val="22"/>
          <w:szCs w:val="22"/>
        </w:rPr>
        <w:t xml:space="preserve">Dao, V. H., Nguyen, T. M. H., &amp; Vu, T. D. (2021). The impact of COVID-19 on stock market returns in Vietnam. </w:t>
      </w:r>
      <w:r w:rsidRPr="00841625">
        <w:rPr>
          <w:i/>
          <w:iCs/>
          <w:sz w:val="22"/>
          <w:szCs w:val="22"/>
        </w:rPr>
        <w:t>Journal of Risk and Financial Management</w:t>
      </w:r>
      <w:r w:rsidRPr="00841625">
        <w:rPr>
          <w:sz w:val="22"/>
          <w:szCs w:val="22"/>
        </w:rPr>
        <w:t xml:space="preserve">, </w:t>
      </w:r>
      <w:r w:rsidRPr="00841625">
        <w:rPr>
          <w:i/>
          <w:iCs/>
          <w:sz w:val="22"/>
          <w:szCs w:val="22"/>
        </w:rPr>
        <w:t>14</w:t>
      </w:r>
      <w:r w:rsidRPr="00841625">
        <w:rPr>
          <w:sz w:val="22"/>
          <w:szCs w:val="22"/>
        </w:rPr>
        <w:t>(9), Article 441. https://doi.org/10.3390/jrfm14090441</w:t>
      </w:r>
    </w:p>
    <w:p w14:paraId="592ACFD4" w14:textId="77777777" w:rsidR="000F5DDC" w:rsidRPr="00841625" w:rsidRDefault="00000000" w:rsidP="00841625">
      <w:pPr>
        <w:pStyle w:val="Reference"/>
        <w:spacing w:line="240" w:lineRule="auto"/>
        <w:rPr>
          <w:sz w:val="22"/>
          <w:szCs w:val="22"/>
        </w:rPr>
      </w:pPr>
      <w:r w:rsidRPr="00841625">
        <w:rPr>
          <w:sz w:val="22"/>
          <w:szCs w:val="22"/>
        </w:rPr>
        <w:t xml:space="preserve">Daw, J. R., &amp; Hatfield, L. A. (2018). Matching and regression to the mean in difference-in-differences analysis. </w:t>
      </w:r>
      <w:r w:rsidRPr="00841625">
        <w:rPr>
          <w:i/>
          <w:iCs/>
          <w:sz w:val="22"/>
          <w:szCs w:val="22"/>
        </w:rPr>
        <w:t>Health Services Research</w:t>
      </w:r>
      <w:r w:rsidRPr="00841625">
        <w:rPr>
          <w:sz w:val="22"/>
          <w:szCs w:val="22"/>
        </w:rPr>
        <w:t xml:space="preserve">, </w:t>
      </w:r>
      <w:r w:rsidRPr="00841625">
        <w:rPr>
          <w:i/>
          <w:iCs/>
          <w:sz w:val="22"/>
          <w:szCs w:val="22"/>
        </w:rPr>
        <w:t>53</w:t>
      </w:r>
      <w:r w:rsidRPr="00841625">
        <w:rPr>
          <w:sz w:val="22"/>
          <w:szCs w:val="22"/>
        </w:rPr>
        <w:t>(6), 4138–4156. https://doi.org/10.1111/1475-6773.12993</w:t>
      </w:r>
    </w:p>
    <w:p w14:paraId="5A73CDF5" w14:textId="77777777" w:rsidR="005D3DB2" w:rsidRPr="00841625" w:rsidRDefault="00000000" w:rsidP="00841625">
      <w:pPr>
        <w:pStyle w:val="Reference"/>
        <w:spacing w:line="240" w:lineRule="auto"/>
        <w:rPr>
          <w:sz w:val="22"/>
          <w:szCs w:val="22"/>
        </w:rPr>
      </w:pPr>
      <w:r w:rsidRPr="00841625">
        <w:rPr>
          <w:sz w:val="22"/>
          <w:szCs w:val="22"/>
        </w:rPr>
        <w:t xml:space="preserve">DeMiguel, V., Garlappi, L., &amp; Uppal, R. (2009). Optimal versus naive diversification: How inefficient is the 1/N portfolio strategy? </w:t>
      </w:r>
      <w:r w:rsidRPr="00841625">
        <w:rPr>
          <w:i/>
          <w:iCs/>
          <w:sz w:val="22"/>
          <w:szCs w:val="22"/>
        </w:rPr>
        <w:t>The Review of Financial Studies</w:t>
      </w:r>
      <w:r w:rsidRPr="00841625">
        <w:rPr>
          <w:sz w:val="22"/>
          <w:szCs w:val="22"/>
        </w:rPr>
        <w:t xml:space="preserve">, </w:t>
      </w:r>
      <w:r w:rsidRPr="00841625">
        <w:rPr>
          <w:i/>
          <w:iCs/>
          <w:sz w:val="22"/>
          <w:szCs w:val="22"/>
        </w:rPr>
        <w:t>22</w:t>
      </w:r>
      <w:r w:rsidRPr="00841625">
        <w:rPr>
          <w:sz w:val="22"/>
          <w:szCs w:val="22"/>
        </w:rPr>
        <w:t>(5), 1915–1953.</w:t>
      </w:r>
    </w:p>
    <w:p w14:paraId="27B116F5" w14:textId="77777777" w:rsidR="000F5DDC" w:rsidRPr="00841625" w:rsidRDefault="00000000" w:rsidP="00841625">
      <w:pPr>
        <w:pStyle w:val="Reference"/>
        <w:spacing w:line="240" w:lineRule="auto"/>
        <w:rPr>
          <w:sz w:val="22"/>
          <w:szCs w:val="22"/>
        </w:rPr>
      </w:pPr>
      <w:r w:rsidRPr="00841625">
        <w:rPr>
          <w:sz w:val="22"/>
          <w:szCs w:val="22"/>
        </w:rPr>
        <w:t xml:space="preserve">Eichengreen, B., &amp; Shah, N. (2020). The correlates of international financial-center status. </w:t>
      </w:r>
      <w:r w:rsidRPr="00841625">
        <w:rPr>
          <w:i/>
          <w:iCs/>
          <w:sz w:val="22"/>
          <w:szCs w:val="22"/>
        </w:rPr>
        <w:t>Review of International Economics, 28(1), 62–81. https://doi.org/10.1111/roie.12441</w:t>
      </w:r>
    </w:p>
    <w:p w14:paraId="4FCA7E82" w14:textId="77777777" w:rsidR="000F5DDC" w:rsidRPr="00841625" w:rsidRDefault="00000000" w:rsidP="00841625">
      <w:pPr>
        <w:pStyle w:val="Reference"/>
        <w:spacing w:line="240" w:lineRule="auto"/>
        <w:rPr>
          <w:sz w:val="22"/>
          <w:szCs w:val="22"/>
        </w:rPr>
      </w:pPr>
      <w:r w:rsidRPr="00841625">
        <w:rPr>
          <w:sz w:val="22"/>
          <w:szCs w:val="22"/>
        </w:rPr>
        <w:t xml:space="preserve">Elliott, D. J. (2011). </w:t>
      </w:r>
      <w:r w:rsidRPr="00841625">
        <w:rPr>
          <w:i/>
          <w:iCs/>
          <w:sz w:val="22"/>
          <w:szCs w:val="22"/>
        </w:rPr>
        <w:t>Building a global financial center in Shanghai: Observations from other centers</w:t>
      </w:r>
      <w:r w:rsidRPr="00841625">
        <w:rPr>
          <w:sz w:val="22"/>
          <w:szCs w:val="22"/>
        </w:rPr>
        <w:t>. Brookings Institution.</w:t>
      </w:r>
    </w:p>
    <w:p w14:paraId="26642256" w14:textId="77777777" w:rsidR="000F5DDC" w:rsidRPr="00841625" w:rsidRDefault="00000000" w:rsidP="00841625">
      <w:pPr>
        <w:pStyle w:val="Reference"/>
        <w:spacing w:line="240" w:lineRule="auto"/>
        <w:rPr>
          <w:sz w:val="22"/>
          <w:szCs w:val="22"/>
        </w:rPr>
      </w:pPr>
      <w:r w:rsidRPr="00841625">
        <w:rPr>
          <w:sz w:val="22"/>
          <w:szCs w:val="22"/>
        </w:rPr>
        <w:t xml:space="preserve">Fong, K. Y. L., Holden, C. W., &amp; Trzcinka, C. A. (2017). What are the best liquidity proxies for global research? </w:t>
      </w:r>
      <w:r w:rsidRPr="00841625">
        <w:rPr>
          <w:i/>
          <w:iCs/>
          <w:sz w:val="22"/>
          <w:szCs w:val="22"/>
        </w:rPr>
        <w:t>Review of Finance</w:t>
      </w:r>
      <w:r w:rsidRPr="00841625">
        <w:rPr>
          <w:sz w:val="22"/>
          <w:szCs w:val="22"/>
        </w:rPr>
        <w:t xml:space="preserve">, </w:t>
      </w:r>
      <w:r w:rsidRPr="00841625">
        <w:rPr>
          <w:i/>
          <w:iCs/>
          <w:sz w:val="22"/>
          <w:szCs w:val="22"/>
        </w:rPr>
        <w:t>21</w:t>
      </w:r>
      <w:r w:rsidRPr="00841625">
        <w:rPr>
          <w:sz w:val="22"/>
          <w:szCs w:val="22"/>
        </w:rPr>
        <w:t>(4), 1355–1401.</w:t>
      </w:r>
    </w:p>
    <w:p w14:paraId="6A86004D" w14:textId="77777777" w:rsidR="000F5DDC" w:rsidRPr="00841625" w:rsidRDefault="00000000" w:rsidP="00841625">
      <w:pPr>
        <w:pStyle w:val="Reference"/>
        <w:spacing w:line="240" w:lineRule="auto"/>
        <w:rPr>
          <w:sz w:val="22"/>
          <w:szCs w:val="22"/>
        </w:rPr>
      </w:pPr>
      <w:r w:rsidRPr="00841625">
        <w:rPr>
          <w:sz w:val="22"/>
          <w:szCs w:val="22"/>
        </w:rPr>
        <w:lastRenderedPageBreak/>
        <w:t xml:space="preserve">FTSE Russell. (2026a, September). </w:t>
      </w:r>
      <w:r w:rsidRPr="00841625">
        <w:rPr>
          <w:i/>
          <w:iCs/>
          <w:sz w:val="22"/>
          <w:szCs w:val="22"/>
        </w:rPr>
        <w:t>FTSE Global Equity Index Series ground rules</w:t>
      </w:r>
      <w:r w:rsidRPr="00841625">
        <w:rPr>
          <w:sz w:val="22"/>
          <w:szCs w:val="22"/>
        </w:rPr>
        <w:t xml:space="preserve"> (Version 14.4). LSEG.</w:t>
      </w:r>
    </w:p>
    <w:p w14:paraId="31C6799E" w14:textId="77777777" w:rsidR="000F5DDC" w:rsidRPr="00841625" w:rsidRDefault="00000000" w:rsidP="00841625">
      <w:pPr>
        <w:pStyle w:val="Reference"/>
        <w:spacing w:line="240" w:lineRule="auto"/>
        <w:rPr>
          <w:sz w:val="22"/>
          <w:szCs w:val="22"/>
        </w:rPr>
      </w:pPr>
      <w:r w:rsidRPr="00841625">
        <w:rPr>
          <w:sz w:val="22"/>
          <w:szCs w:val="22"/>
        </w:rPr>
        <w:t>FTSE Russell. (2026b, August). Reclassification</w:t>
      </w:r>
      <w:r w:rsidRPr="00841625">
        <w:rPr>
          <w:i/>
          <w:iCs/>
          <w:sz w:val="22"/>
          <w:szCs w:val="22"/>
        </w:rPr>
        <w:t xml:space="preserve"> of Vietnam from Frontier to Secondary Emerging market status: Frequently asked questions</w:t>
      </w:r>
      <w:r w:rsidRPr="00841625">
        <w:rPr>
          <w:sz w:val="22"/>
          <w:szCs w:val="22"/>
        </w:rPr>
        <w:t xml:space="preserve"> (Version 1.3). LSEG. https://www.lseg.com/content/dam/ftse-russell/en_us/documents/policy-documents/ftse-faq-document-vietnam-reclassification.pdf</w:t>
      </w:r>
    </w:p>
    <w:p w14:paraId="26346E9A" w14:textId="77777777" w:rsidR="005D3DB2" w:rsidRPr="00841625" w:rsidRDefault="00000000" w:rsidP="00841625">
      <w:pPr>
        <w:pStyle w:val="Reference"/>
        <w:spacing w:line="240" w:lineRule="auto"/>
        <w:rPr>
          <w:sz w:val="22"/>
          <w:szCs w:val="22"/>
        </w:rPr>
      </w:pPr>
      <w:r w:rsidRPr="00841625">
        <w:rPr>
          <w:sz w:val="22"/>
          <w:szCs w:val="22"/>
        </w:rPr>
        <w:t xml:space="preserve">Garlappi, L., Uppal, R., &amp; Wang, T. (2007). Portfolio selection with parameter and model uncertainty: A multi-prior approach. </w:t>
      </w:r>
      <w:r w:rsidRPr="00841625">
        <w:rPr>
          <w:i/>
          <w:iCs/>
          <w:sz w:val="22"/>
          <w:szCs w:val="22"/>
        </w:rPr>
        <w:t>The Review of Financial Studies</w:t>
      </w:r>
      <w:r w:rsidRPr="00841625">
        <w:rPr>
          <w:sz w:val="22"/>
          <w:szCs w:val="22"/>
        </w:rPr>
        <w:t xml:space="preserve">, </w:t>
      </w:r>
      <w:r w:rsidRPr="00841625">
        <w:rPr>
          <w:i/>
          <w:iCs/>
          <w:sz w:val="22"/>
          <w:szCs w:val="22"/>
        </w:rPr>
        <w:t>20</w:t>
      </w:r>
      <w:r w:rsidRPr="00841625">
        <w:rPr>
          <w:sz w:val="22"/>
          <w:szCs w:val="22"/>
        </w:rPr>
        <w:t>(1), 41–81.</w:t>
      </w:r>
    </w:p>
    <w:p w14:paraId="4483D95F" w14:textId="77777777" w:rsidR="000F5DDC" w:rsidRPr="00841625" w:rsidRDefault="00000000" w:rsidP="00841625">
      <w:pPr>
        <w:pStyle w:val="Reference"/>
        <w:spacing w:line="240" w:lineRule="auto"/>
        <w:rPr>
          <w:sz w:val="22"/>
          <w:szCs w:val="22"/>
        </w:rPr>
      </w:pPr>
      <w:r w:rsidRPr="00841625">
        <w:rPr>
          <w:sz w:val="22"/>
          <w:szCs w:val="22"/>
        </w:rPr>
        <w:t xml:space="preserve">Gehrig, T. (2000). Cities and the geography of financial centers. In J.-M. Huriot &amp; J.-F. Thisse (Eds.), </w:t>
      </w:r>
      <w:r w:rsidRPr="00841625">
        <w:rPr>
          <w:i/>
          <w:iCs/>
          <w:sz w:val="22"/>
          <w:szCs w:val="22"/>
        </w:rPr>
        <w:t>Economics of cities: Theoretical perspectives</w:t>
      </w:r>
      <w:r w:rsidRPr="00841625">
        <w:rPr>
          <w:sz w:val="22"/>
          <w:szCs w:val="22"/>
        </w:rPr>
        <w:t xml:space="preserve"> (pp. 415–445). Cambridge University Press.</w:t>
      </w:r>
    </w:p>
    <w:p w14:paraId="1136D9AC" w14:textId="77777777" w:rsidR="005D3DB2" w:rsidRPr="00841625" w:rsidRDefault="00000000" w:rsidP="00841625">
      <w:pPr>
        <w:pStyle w:val="Reference"/>
        <w:spacing w:line="240" w:lineRule="auto"/>
        <w:rPr>
          <w:sz w:val="22"/>
          <w:szCs w:val="22"/>
        </w:rPr>
      </w:pPr>
      <w:r w:rsidRPr="00841625">
        <w:rPr>
          <w:sz w:val="22"/>
          <w:szCs w:val="22"/>
        </w:rPr>
        <w:t xml:space="preserve">Goutte, S., Le, H.-V., Liu, F., &amp; von Mettenheim, H.-J. (2025). MCDA strategies for portfolio optimization: A case study on Vietnamese stock market dynamics. </w:t>
      </w:r>
      <w:r w:rsidRPr="00841625">
        <w:rPr>
          <w:i/>
          <w:iCs/>
          <w:sz w:val="22"/>
          <w:szCs w:val="22"/>
        </w:rPr>
        <w:t>Annals of Operations Research</w:t>
      </w:r>
      <w:r w:rsidRPr="00841625">
        <w:rPr>
          <w:sz w:val="22"/>
          <w:szCs w:val="22"/>
        </w:rPr>
        <w:t xml:space="preserve">, </w:t>
      </w:r>
      <w:r w:rsidRPr="00841625">
        <w:rPr>
          <w:i/>
          <w:iCs/>
          <w:sz w:val="22"/>
          <w:szCs w:val="22"/>
        </w:rPr>
        <w:t>353</w:t>
      </w:r>
      <w:r w:rsidRPr="00841625">
        <w:rPr>
          <w:sz w:val="22"/>
          <w:szCs w:val="22"/>
        </w:rPr>
        <w:t>(1), 321–351.</w:t>
      </w:r>
    </w:p>
    <w:p w14:paraId="00494BE4" w14:textId="77777777" w:rsidR="000F5DDC" w:rsidRPr="00841625" w:rsidRDefault="00000000" w:rsidP="00841625">
      <w:pPr>
        <w:pStyle w:val="Reference"/>
        <w:spacing w:line="240" w:lineRule="auto"/>
        <w:rPr>
          <w:sz w:val="22"/>
          <w:szCs w:val="22"/>
        </w:rPr>
      </w:pPr>
      <w:r w:rsidRPr="00841625">
        <w:rPr>
          <w:sz w:val="22"/>
          <w:szCs w:val="22"/>
        </w:rPr>
        <w:t xml:space="preserve">Griffin, J. M., Kelly, P. J., &amp; Nardari, F. (2010). Do market efficiency measures yield correct inferences? A comparison of developed and emerging markets. </w:t>
      </w:r>
      <w:r w:rsidRPr="00841625">
        <w:rPr>
          <w:i/>
          <w:iCs/>
          <w:sz w:val="22"/>
          <w:szCs w:val="22"/>
        </w:rPr>
        <w:t>The Review of Financial Studies</w:t>
      </w:r>
      <w:r w:rsidRPr="00841625">
        <w:rPr>
          <w:sz w:val="22"/>
          <w:szCs w:val="22"/>
        </w:rPr>
        <w:t xml:space="preserve">, </w:t>
      </w:r>
      <w:r w:rsidRPr="00841625">
        <w:rPr>
          <w:i/>
          <w:iCs/>
          <w:sz w:val="22"/>
          <w:szCs w:val="22"/>
        </w:rPr>
        <w:t>23</w:t>
      </w:r>
      <w:r w:rsidRPr="00841625">
        <w:rPr>
          <w:sz w:val="22"/>
          <w:szCs w:val="22"/>
        </w:rPr>
        <w:t>(8), 3225–3277.</w:t>
      </w:r>
    </w:p>
    <w:p w14:paraId="16F12A58" w14:textId="77777777" w:rsidR="005D3DB2" w:rsidRPr="00841625" w:rsidRDefault="00000000" w:rsidP="00841625">
      <w:pPr>
        <w:pStyle w:val="Reference"/>
        <w:spacing w:line="240" w:lineRule="auto"/>
        <w:rPr>
          <w:sz w:val="22"/>
          <w:szCs w:val="22"/>
        </w:rPr>
      </w:pPr>
      <w:r w:rsidRPr="00841625">
        <w:rPr>
          <w:sz w:val="22"/>
          <w:szCs w:val="22"/>
        </w:rPr>
        <w:t xml:space="preserve">Hamilton, J. D. (1989). A new approach to the economic analysis of nonstationary time series and the business cycle. </w:t>
      </w:r>
      <w:r w:rsidRPr="00841625">
        <w:rPr>
          <w:i/>
          <w:iCs/>
          <w:sz w:val="22"/>
          <w:szCs w:val="22"/>
        </w:rPr>
        <w:t>Econometrica</w:t>
      </w:r>
      <w:r w:rsidRPr="00841625">
        <w:rPr>
          <w:sz w:val="22"/>
          <w:szCs w:val="22"/>
        </w:rPr>
        <w:t xml:space="preserve">, </w:t>
      </w:r>
      <w:r w:rsidRPr="00841625">
        <w:rPr>
          <w:i/>
          <w:iCs/>
          <w:sz w:val="22"/>
          <w:szCs w:val="22"/>
        </w:rPr>
        <w:t>57</w:t>
      </w:r>
      <w:r w:rsidRPr="00841625">
        <w:rPr>
          <w:sz w:val="22"/>
          <w:szCs w:val="22"/>
        </w:rPr>
        <w:t>(2), 357–384.</w:t>
      </w:r>
    </w:p>
    <w:p w14:paraId="3CF23482" w14:textId="77777777" w:rsidR="000F5DDC" w:rsidRPr="00841625" w:rsidRDefault="00000000" w:rsidP="00841625">
      <w:pPr>
        <w:pStyle w:val="Reference"/>
        <w:spacing w:line="240" w:lineRule="auto"/>
        <w:rPr>
          <w:sz w:val="22"/>
          <w:szCs w:val="22"/>
        </w:rPr>
      </w:pPr>
      <w:r w:rsidRPr="00841625">
        <w:rPr>
          <w:sz w:val="22"/>
          <w:szCs w:val="22"/>
        </w:rPr>
        <w:t xml:space="preserve">Hisada, T. (2018). The effect of investor sentiment toward an exchange merger on liquidity. </w:t>
      </w:r>
      <w:r w:rsidRPr="00841625">
        <w:rPr>
          <w:i/>
          <w:iCs/>
          <w:sz w:val="22"/>
          <w:szCs w:val="22"/>
        </w:rPr>
        <w:t>International Journal of Economics and Financial Issues</w:t>
      </w:r>
      <w:r w:rsidRPr="00841625">
        <w:rPr>
          <w:sz w:val="22"/>
          <w:szCs w:val="22"/>
        </w:rPr>
        <w:t xml:space="preserve">, </w:t>
      </w:r>
      <w:r w:rsidRPr="00841625">
        <w:rPr>
          <w:i/>
          <w:iCs/>
          <w:sz w:val="22"/>
          <w:szCs w:val="22"/>
        </w:rPr>
        <w:t>8</w:t>
      </w:r>
      <w:r w:rsidRPr="00841625">
        <w:rPr>
          <w:sz w:val="22"/>
          <w:szCs w:val="22"/>
        </w:rPr>
        <w:t>(2), 315–318.</w:t>
      </w:r>
    </w:p>
    <w:p w14:paraId="32D52C76" w14:textId="77777777" w:rsidR="005D3DB2" w:rsidRPr="00841625" w:rsidRDefault="00000000" w:rsidP="00841625">
      <w:pPr>
        <w:pStyle w:val="Reference"/>
        <w:spacing w:line="240" w:lineRule="auto"/>
        <w:rPr>
          <w:sz w:val="22"/>
          <w:szCs w:val="22"/>
        </w:rPr>
      </w:pPr>
      <w:r w:rsidRPr="00841625">
        <w:rPr>
          <w:sz w:val="22"/>
          <w:szCs w:val="22"/>
        </w:rPr>
        <w:t xml:space="preserve">Hoang, V.-M. D., &amp; Luu, D. T. (2024). </w:t>
      </w:r>
      <w:r w:rsidRPr="00841625">
        <w:rPr>
          <w:i/>
          <w:iCs/>
          <w:sz w:val="22"/>
          <w:szCs w:val="22"/>
        </w:rPr>
        <w:t>Modelling volatility dynamics and identifying regime switching in a frontier stock market: The case of Vietnam</w:t>
      </w:r>
      <w:r w:rsidRPr="00841625">
        <w:rPr>
          <w:sz w:val="22"/>
          <w:szCs w:val="22"/>
        </w:rPr>
        <w:t xml:space="preserve"> (SSRN Working Paper No. 4867203; bản sửa ngày 17/9/2025). SSRN.</w:t>
      </w:r>
    </w:p>
    <w:p w14:paraId="371770A0" w14:textId="77777777" w:rsidR="005D3DB2" w:rsidRPr="00841625" w:rsidRDefault="00000000" w:rsidP="00841625">
      <w:pPr>
        <w:pStyle w:val="Reference"/>
        <w:spacing w:line="240" w:lineRule="auto"/>
        <w:rPr>
          <w:sz w:val="22"/>
          <w:szCs w:val="22"/>
        </w:rPr>
      </w:pPr>
      <w:r w:rsidRPr="00841625">
        <w:rPr>
          <w:sz w:val="22"/>
          <w:szCs w:val="22"/>
        </w:rPr>
        <w:t xml:space="preserve">Holm, S. (1979). A simple sequentially rejective multiple test procedure. </w:t>
      </w:r>
      <w:r w:rsidRPr="00841625">
        <w:rPr>
          <w:i/>
          <w:iCs/>
          <w:sz w:val="22"/>
          <w:szCs w:val="22"/>
        </w:rPr>
        <w:t>Scandinavian Journal of Statistics</w:t>
      </w:r>
      <w:r w:rsidRPr="00841625">
        <w:rPr>
          <w:sz w:val="22"/>
          <w:szCs w:val="22"/>
        </w:rPr>
        <w:t xml:space="preserve">, </w:t>
      </w:r>
      <w:r w:rsidRPr="00841625">
        <w:rPr>
          <w:i/>
          <w:iCs/>
          <w:sz w:val="22"/>
          <w:szCs w:val="22"/>
        </w:rPr>
        <w:t>6</w:t>
      </w:r>
      <w:r w:rsidRPr="00841625">
        <w:rPr>
          <w:sz w:val="22"/>
          <w:szCs w:val="22"/>
        </w:rPr>
        <w:t>(2), 65–70.</w:t>
      </w:r>
    </w:p>
    <w:p w14:paraId="19488816" w14:textId="77777777" w:rsidR="000F5DDC" w:rsidRPr="00841625" w:rsidRDefault="00000000" w:rsidP="00841625">
      <w:pPr>
        <w:pStyle w:val="Reference"/>
        <w:spacing w:line="240" w:lineRule="auto"/>
        <w:rPr>
          <w:sz w:val="22"/>
          <w:szCs w:val="22"/>
        </w:rPr>
      </w:pPr>
      <w:r w:rsidRPr="00841625">
        <w:rPr>
          <w:sz w:val="22"/>
          <w:szCs w:val="22"/>
        </w:rPr>
        <w:t xml:space="preserve">Hou, K., &amp; Moskowitz, T. J. (2005). Market frictions, price delay, and the cross-section of expected returns. </w:t>
      </w:r>
      <w:r w:rsidRPr="00841625">
        <w:rPr>
          <w:i/>
          <w:iCs/>
          <w:sz w:val="22"/>
          <w:szCs w:val="22"/>
        </w:rPr>
        <w:t>The Review of Financial Studies</w:t>
      </w:r>
      <w:r w:rsidRPr="00841625">
        <w:rPr>
          <w:sz w:val="22"/>
          <w:szCs w:val="22"/>
        </w:rPr>
        <w:t xml:space="preserve">, </w:t>
      </w:r>
      <w:r w:rsidRPr="00841625">
        <w:rPr>
          <w:i/>
          <w:iCs/>
          <w:sz w:val="22"/>
          <w:szCs w:val="22"/>
        </w:rPr>
        <w:t>18</w:t>
      </w:r>
      <w:r w:rsidRPr="00841625">
        <w:rPr>
          <w:sz w:val="22"/>
          <w:szCs w:val="22"/>
        </w:rPr>
        <w:t>(3), 981–1020.</w:t>
      </w:r>
    </w:p>
    <w:p w14:paraId="0E99854B" w14:textId="77777777" w:rsidR="000F5DDC" w:rsidRPr="00841625" w:rsidRDefault="00000000" w:rsidP="00841625">
      <w:pPr>
        <w:pStyle w:val="Reference"/>
        <w:spacing w:line="240" w:lineRule="auto"/>
        <w:rPr>
          <w:sz w:val="22"/>
          <w:szCs w:val="22"/>
        </w:rPr>
      </w:pPr>
      <w:r w:rsidRPr="00841625">
        <w:rPr>
          <w:sz w:val="22"/>
          <w:szCs w:val="22"/>
        </w:rPr>
        <w:t xml:space="preserve">Huang, R. D., &amp; Stoll, H. R. (1996). Dealer versus auction markets: A paired comparison of execution costs on NASDAQ and the NYSE. </w:t>
      </w:r>
      <w:r w:rsidRPr="00841625">
        <w:rPr>
          <w:i/>
          <w:iCs/>
          <w:sz w:val="22"/>
          <w:szCs w:val="22"/>
        </w:rPr>
        <w:t>Journal of Financial Economics</w:t>
      </w:r>
      <w:r w:rsidRPr="00841625">
        <w:rPr>
          <w:sz w:val="22"/>
          <w:szCs w:val="22"/>
        </w:rPr>
        <w:t xml:space="preserve">, </w:t>
      </w:r>
      <w:r w:rsidRPr="00841625">
        <w:rPr>
          <w:i/>
          <w:iCs/>
          <w:sz w:val="22"/>
          <w:szCs w:val="22"/>
        </w:rPr>
        <w:t>41</w:t>
      </w:r>
      <w:r w:rsidRPr="00841625">
        <w:rPr>
          <w:sz w:val="22"/>
          <w:szCs w:val="22"/>
        </w:rPr>
        <w:t>(3), 313–357.</w:t>
      </w:r>
    </w:p>
    <w:p w14:paraId="329B44CC" w14:textId="77777777" w:rsidR="005D3DB2" w:rsidRPr="00841625" w:rsidRDefault="00000000" w:rsidP="00841625">
      <w:pPr>
        <w:pStyle w:val="Reference"/>
        <w:spacing w:line="240" w:lineRule="auto"/>
        <w:rPr>
          <w:sz w:val="22"/>
          <w:szCs w:val="22"/>
        </w:rPr>
      </w:pPr>
      <w:r w:rsidRPr="00841625">
        <w:rPr>
          <w:sz w:val="22"/>
          <w:szCs w:val="22"/>
        </w:rPr>
        <w:t xml:space="preserve">International Monetary Fund. (2023). </w:t>
      </w:r>
      <w:r w:rsidRPr="00841625">
        <w:rPr>
          <w:i/>
          <w:iCs/>
          <w:sz w:val="22"/>
          <w:szCs w:val="22"/>
        </w:rPr>
        <w:t>Vietnam: 2023 Article IV consultation</w:t>
      </w:r>
      <w:r w:rsidRPr="00841625">
        <w:rPr>
          <w:sz w:val="22"/>
          <w:szCs w:val="22"/>
        </w:rPr>
        <w:t xml:space="preserve"> (IMF Country Report No. 23/338). https://www.elibrary.imf.org/view/journals/002/2023/338/article-A001-en.xml</w:t>
      </w:r>
    </w:p>
    <w:p w14:paraId="09AB0295" w14:textId="77777777" w:rsidR="005D3DB2" w:rsidRPr="00841625" w:rsidRDefault="00000000" w:rsidP="00841625">
      <w:pPr>
        <w:pStyle w:val="Reference"/>
        <w:spacing w:line="240" w:lineRule="auto"/>
        <w:rPr>
          <w:sz w:val="22"/>
          <w:szCs w:val="22"/>
        </w:rPr>
      </w:pPr>
      <w:r w:rsidRPr="00841625">
        <w:rPr>
          <w:sz w:val="22"/>
          <w:szCs w:val="22"/>
        </w:rPr>
        <w:t xml:space="preserve">Kan, R., &amp; Zhou, G. (2007). Optimal portfolio choice with parameter uncertainty. </w:t>
      </w:r>
      <w:r w:rsidRPr="00841625">
        <w:rPr>
          <w:i/>
          <w:iCs/>
          <w:sz w:val="22"/>
          <w:szCs w:val="22"/>
        </w:rPr>
        <w:t>Journal of Financial and Quantitative Analysis</w:t>
      </w:r>
      <w:r w:rsidRPr="00841625">
        <w:rPr>
          <w:sz w:val="22"/>
          <w:szCs w:val="22"/>
        </w:rPr>
        <w:t xml:space="preserve">, </w:t>
      </w:r>
      <w:r w:rsidRPr="00841625">
        <w:rPr>
          <w:i/>
          <w:iCs/>
          <w:sz w:val="22"/>
          <w:szCs w:val="22"/>
        </w:rPr>
        <w:t>42</w:t>
      </w:r>
      <w:r w:rsidRPr="00841625">
        <w:rPr>
          <w:sz w:val="22"/>
          <w:szCs w:val="22"/>
        </w:rPr>
        <w:t>(3), 621–656.</w:t>
      </w:r>
    </w:p>
    <w:p w14:paraId="008EB1A6" w14:textId="77777777" w:rsidR="000F5DDC" w:rsidRPr="00841625" w:rsidRDefault="00000000" w:rsidP="00841625">
      <w:pPr>
        <w:pStyle w:val="Reference"/>
        <w:spacing w:line="240" w:lineRule="auto"/>
        <w:rPr>
          <w:sz w:val="22"/>
          <w:szCs w:val="22"/>
        </w:rPr>
      </w:pPr>
      <w:r w:rsidRPr="00841625">
        <w:rPr>
          <w:sz w:val="22"/>
          <w:szCs w:val="22"/>
        </w:rPr>
        <w:t xml:space="preserve">Kaufmann, D., Kraay, A., &amp; Mastruzzi, M. (2011). The Worldwide Governance Indicators: Methodology and analytical issues. </w:t>
      </w:r>
      <w:r w:rsidRPr="00841625">
        <w:rPr>
          <w:i/>
          <w:iCs/>
          <w:sz w:val="22"/>
          <w:szCs w:val="22"/>
        </w:rPr>
        <w:t>Hague Journal on the Rule of Law</w:t>
      </w:r>
      <w:r w:rsidRPr="00841625">
        <w:rPr>
          <w:sz w:val="22"/>
          <w:szCs w:val="22"/>
        </w:rPr>
        <w:t xml:space="preserve">, </w:t>
      </w:r>
      <w:r w:rsidRPr="00841625">
        <w:rPr>
          <w:i/>
          <w:iCs/>
          <w:sz w:val="22"/>
          <w:szCs w:val="22"/>
        </w:rPr>
        <w:t>3</w:t>
      </w:r>
      <w:r w:rsidRPr="00841625">
        <w:rPr>
          <w:sz w:val="22"/>
          <w:szCs w:val="22"/>
        </w:rPr>
        <w:t>(2), 220–246.</w:t>
      </w:r>
    </w:p>
    <w:p w14:paraId="7D41E486" w14:textId="77777777" w:rsidR="000F5DDC" w:rsidRPr="00841625" w:rsidRDefault="00000000" w:rsidP="00841625">
      <w:pPr>
        <w:pStyle w:val="Reference"/>
        <w:spacing w:line="240" w:lineRule="auto"/>
        <w:rPr>
          <w:sz w:val="22"/>
          <w:szCs w:val="22"/>
        </w:rPr>
      </w:pPr>
      <w:r w:rsidRPr="00841625">
        <w:rPr>
          <w:sz w:val="22"/>
          <w:szCs w:val="22"/>
        </w:rPr>
        <w:t xml:space="preserve">Kindleberger, C. P. (1974). </w:t>
      </w:r>
      <w:r w:rsidRPr="00841625">
        <w:rPr>
          <w:i/>
          <w:iCs/>
          <w:sz w:val="22"/>
          <w:szCs w:val="22"/>
        </w:rPr>
        <w:t>The formation of financial centers: A study in comparative economic history</w:t>
      </w:r>
      <w:r w:rsidRPr="00841625">
        <w:rPr>
          <w:sz w:val="22"/>
          <w:szCs w:val="22"/>
        </w:rPr>
        <w:t xml:space="preserve"> (Princeton Studies in International Finance No. 36). Princeton University.</w:t>
      </w:r>
    </w:p>
    <w:p w14:paraId="63E8E3DC" w14:textId="77777777" w:rsidR="005D3DB2" w:rsidRPr="00841625" w:rsidRDefault="00000000" w:rsidP="00841625">
      <w:pPr>
        <w:pStyle w:val="Reference"/>
        <w:spacing w:line="240" w:lineRule="auto"/>
        <w:rPr>
          <w:sz w:val="22"/>
          <w:szCs w:val="22"/>
        </w:rPr>
      </w:pPr>
      <w:r w:rsidRPr="00841625">
        <w:rPr>
          <w:sz w:val="22"/>
          <w:szCs w:val="22"/>
        </w:rPr>
        <w:t xml:space="preserve">Kritzman, M., Page, S., &amp; Turkington, D. (2012). Regime shifts: Implications for dynamic strategies. </w:t>
      </w:r>
      <w:r w:rsidRPr="00841625">
        <w:rPr>
          <w:i/>
          <w:iCs/>
          <w:sz w:val="22"/>
          <w:szCs w:val="22"/>
        </w:rPr>
        <w:t>Financial Analysts Journal</w:t>
      </w:r>
      <w:r w:rsidRPr="00841625">
        <w:rPr>
          <w:sz w:val="22"/>
          <w:szCs w:val="22"/>
        </w:rPr>
        <w:t xml:space="preserve">, </w:t>
      </w:r>
      <w:r w:rsidRPr="00841625">
        <w:rPr>
          <w:i/>
          <w:iCs/>
          <w:sz w:val="22"/>
          <w:szCs w:val="22"/>
        </w:rPr>
        <w:t>68</w:t>
      </w:r>
      <w:r w:rsidRPr="00841625">
        <w:rPr>
          <w:sz w:val="22"/>
          <w:szCs w:val="22"/>
        </w:rPr>
        <w:t>(3), 22–39.</w:t>
      </w:r>
    </w:p>
    <w:p w14:paraId="787A6BF9" w14:textId="77777777" w:rsidR="000F5DDC" w:rsidRPr="00841625" w:rsidRDefault="00000000" w:rsidP="00841625">
      <w:pPr>
        <w:pStyle w:val="Reference"/>
        <w:spacing w:line="240" w:lineRule="auto"/>
        <w:rPr>
          <w:sz w:val="22"/>
          <w:szCs w:val="22"/>
        </w:rPr>
      </w:pPr>
      <w:r w:rsidRPr="00841625">
        <w:rPr>
          <w:sz w:val="22"/>
          <w:szCs w:val="22"/>
        </w:rPr>
        <w:t xml:space="preserve">Lai, K. P. Y. (2012). Differentiated markets: Shanghai, Beijing and Hong Kong in China’s financial centre network. </w:t>
      </w:r>
      <w:r w:rsidRPr="00841625">
        <w:rPr>
          <w:i/>
          <w:iCs/>
          <w:sz w:val="22"/>
          <w:szCs w:val="22"/>
        </w:rPr>
        <w:t>Urban Studies, 49(6), 1275–1296. https://doi.org/10.1177/0042098011408143</w:t>
      </w:r>
    </w:p>
    <w:p w14:paraId="0B8D35BB" w14:textId="77777777" w:rsidR="000F5DDC" w:rsidRPr="00841625" w:rsidRDefault="00000000" w:rsidP="00841625">
      <w:pPr>
        <w:pStyle w:val="Reference"/>
        <w:spacing w:line="240" w:lineRule="auto"/>
        <w:rPr>
          <w:sz w:val="22"/>
          <w:szCs w:val="22"/>
        </w:rPr>
      </w:pPr>
      <w:r w:rsidRPr="00841625">
        <w:rPr>
          <w:sz w:val="22"/>
          <w:szCs w:val="22"/>
        </w:rPr>
        <w:t xml:space="preserve">Lang, M., Lins, K. V., &amp; Maffett, M. (2012). Transparency, liquidity, and valuation: International evidence on when transparency matters most. </w:t>
      </w:r>
      <w:r w:rsidRPr="00841625">
        <w:rPr>
          <w:i/>
          <w:iCs/>
          <w:sz w:val="22"/>
          <w:szCs w:val="22"/>
        </w:rPr>
        <w:t>Journal of Accounting Research</w:t>
      </w:r>
      <w:r w:rsidRPr="00841625">
        <w:rPr>
          <w:sz w:val="22"/>
          <w:szCs w:val="22"/>
        </w:rPr>
        <w:t xml:space="preserve">, </w:t>
      </w:r>
      <w:r w:rsidRPr="00841625">
        <w:rPr>
          <w:i/>
          <w:iCs/>
          <w:sz w:val="22"/>
          <w:szCs w:val="22"/>
        </w:rPr>
        <w:t>50</w:t>
      </w:r>
      <w:r w:rsidRPr="00841625">
        <w:rPr>
          <w:sz w:val="22"/>
          <w:szCs w:val="22"/>
        </w:rPr>
        <w:t>(3), 729–774.</w:t>
      </w:r>
    </w:p>
    <w:p w14:paraId="43530D97" w14:textId="77777777" w:rsidR="005D3DB2" w:rsidRPr="00841625" w:rsidRDefault="00000000" w:rsidP="00841625">
      <w:pPr>
        <w:pStyle w:val="Reference"/>
        <w:spacing w:line="240" w:lineRule="auto"/>
        <w:rPr>
          <w:sz w:val="22"/>
          <w:szCs w:val="22"/>
        </w:rPr>
      </w:pPr>
      <w:r w:rsidRPr="00841625">
        <w:rPr>
          <w:sz w:val="22"/>
          <w:szCs w:val="22"/>
        </w:rPr>
        <w:t xml:space="preserve">Ledoit, O., &amp; Wolf, M. (2004). A well-conditioned estimator for large-dimensional covariance matrices. </w:t>
      </w:r>
      <w:r w:rsidRPr="00841625">
        <w:rPr>
          <w:i/>
          <w:iCs/>
          <w:sz w:val="22"/>
          <w:szCs w:val="22"/>
        </w:rPr>
        <w:t>Journal of Multivariate Analysis</w:t>
      </w:r>
      <w:r w:rsidRPr="00841625">
        <w:rPr>
          <w:sz w:val="22"/>
          <w:szCs w:val="22"/>
        </w:rPr>
        <w:t xml:space="preserve">, </w:t>
      </w:r>
      <w:r w:rsidRPr="00841625">
        <w:rPr>
          <w:i/>
          <w:iCs/>
          <w:sz w:val="22"/>
          <w:szCs w:val="22"/>
        </w:rPr>
        <w:t>88</w:t>
      </w:r>
      <w:r w:rsidRPr="00841625">
        <w:rPr>
          <w:sz w:val="22"/>
          <w:szCs w:val="22"/>
        </w:rPr>
        <w:t>(2), 365–411.</w:t>
      </w:r>
    </w:p>
    <w:p w14:paraId="643D3EB5" w14:textId="77777777" w:rsidR="005D3DB2" w:rsidRPr="00841625" w:rsidRDefault="00000000" w:rsidP="00841625">
      <w:pPr>
        <w:pStyle w:val="Reference"/>
        <w:spacing w:line="240" w:lineRule="auto"/>
        <w:rPr>
          <w:sz w:val="22"/>
          <w:szCs w:val="22"/>
        </w:rPr>
      </w:pPr>
      <w:r w:rsidRPr="00841625">
        <w:rPr>
          <w:sz w:val="22"/>
          <w:szCs w:val="22"/>
        </w:rPr>
        <w:t xml:space="preserve">Ledoit, O., &amp; Wolf, M. (2008). Robust performance hypothesis testing with the Sharpe ratio. </w:t>
      </w:r>
      <w:r w:rsidRPr="00841625">
        <w:rPr>
          <w:i/>
          <w:iCs/>
          <w:sz w:val="22"/>
          <w:szCs w:val="22"/>
        </w:rPr>
        <w:t>Journal of Empirical Finance</w:t>
      </w:r>
      <w:r w:rsidRPr="00841625">
        <w:rPr>
          <w:sz w:val="22"/>
          <w:szCs w:val="22"/>
        </w:rPr>
        <w:t xml:space="preserve">, </w:t>
      </w:r>
      <w:r w:rsidRPr="00841625">
        <w:rPr>
          <w:i/>
          <w:iCs/>
          <w:sz w:val="22"/>
          <w:szCs w:val="22"/>
        </w:rPr>
        <w:t>15</w:t>
      </w:r>
      <w:r w:rsidRPr="00841625">
        <w:rPr>
          <w:sz w:val="22"/>
          <w:szCs w:val="22"/>
        </w:rPr>
        <w:t>(5), 850–859.</w:t>
      </w:r>
    </w:p>
    <w:p w14:paraId="1C9B9254" w14:textId="77777777" w:rsidR="000F5DDC" w:rsidRPr="00841625" w:rsidRDefault="00000000" w:rsidP="00841625">
      <w:pPr>
        <w:pStyle w:val="Reference"/>
        <w:spacing w:line="240" w:lineRule="auto"/>
        <w:rPr>
          <w:sz w:val="22"/>
          <w:szCs w:val="22"/>
        </w:rPr>
      </w:pPr>
      <w:r w:rsidRPr="00841625">
        <w:rPr>
          <w:sz w:val="22"/>
          <w:szCs w:val="22"/>
        </w:rPr>
        <w:lastRenderedPageBreak/>
        <w:t xml:space="preserve">Lesmond, D. A. (2005). Liquidity of emerging markets. </w:t>
      </w:r>
      <w:r w:rsidRPr="00841625">
        <w:rPr>
          <w:i/>
          <w:iCs/>
          <w:sz w:val="22"/>
          <w:szCs w:val="22"/>
        </w:rPr>
        <w:t>Journal of Financial Economics</w:t>
      </w:r>
      <w:r w:rsidRPr="00841625">
        <w:rPr>
          <w:sz w:val="22"/>
          <w:szCs w:val="22"/>
        </w:rPr>
        <w:t xml:space="preserve">, </w:t>
      </w:r>
      <w:r w:rsidRPr="00841625">
        <w:rPr>
          <w:i/>
          <w:iCs/>
          <w:sz w:val="22"/>
          <w:szCs w:val="22"/>
        </w:rPr>
        <w:t>77</w:t>
      </w:r>
      <w:r w:rsidRPr="00841625">
        <w:rPr>
          <w:sz w:val="22"/>
          <w:szCs w:val="22"/>
        </w:rPr>
        <w:t>(2), 411–452.</w:t>
      </w:r>
    </w:p>
    <w:p w14:paraId="17495B90" w14:textId="77777777" w:rsidR="000F5DDC" w:rsidRPr="00841625" w:rsidRDefault="00000000" w:rsidP="00841625">
      <w:pPr>
        <w:pStyle w:val="Reference"/>
        <w:spacing w:line="240" w:lineRule="auto"/>
        <w:rPr>
          <w:sz w:val="22"/>
          <w:szCs w:val="22"/>
        </w:rPr>
      </w:pPr>
      <w:r w:rsidRPr="00841625">
        <w:rPr>
          <w:sz w:val="22"/>
          <w:szCs w:val="22"/>
        </w:rPr>
        <w:t xml:space="preserve">Lesmond, D. A., Ogden, J. P., &amp; Trzcinka, C. A. (1999). A new estimate of transaction costs. </w:t>
      </w:r>
      <w:r w:rsidRPr="00841625">
        <w:rPr>
          <w:i/>
          <w:iCs/>
          <w:sz w:val="22"/>
          <w:szCs w:val="22"/>
        </w:rPr>
        <w:t>The Review of Financial Studies</w:t>
      </w:r>
      <w:r w:rsidRPr="00841625">
        <w:rPr>
          <w:sz w:val="22"/>
          <w:szCs w:val="22"/>
        </w:rPr>
        <w:t xml:space="preserve">, </w:t>
      </w:r>
      <w:r w:rsidRPr="00841625">
        <w:rPr>
          <w:i/>
          <w:iCs/>
          <w:sz w:val="22"/>
          <w:szCs w:val="22"/>
        </w:rPr>
        <w:t>12</w:t>
      </w:r>
      <w:r w:rsidRPr="00841625">
        <w:rPr>
          <w:sz w:val="22"/>
          <w:szCs w:val="22"/>
        </w:rPr>
        <w:t>(5), 1113–1141.</w:t>
      </w:r>
    </w:p>
    <w:p w14:paraId="744A5BE1" w14:textId="77777777" w:rsidR="000F5DDC" w:rsidRPr="00841625" w:rsidRDefault="00000000" w:rsidP="00841625">
      <w:pPr>
        <w:pStyle w:val="Reference"/>
        <w:spacing w:line="240" w:lineRule="auto"/>
        <w:rPr>
          <w:sz w:val="22"/>
          <w:szCs w:val="22"/>
        </w:rPr>
      </w:pPr>
      <w:r w:rsidRPr="00841625">
        <w:rPr>
          <w:sz w:val="22"/>
          <w:szCs w:val="22"/>
        </w:rPr>
        <w:t xml:space="preserve">Lo, A. W., &amp; MacKinlay, A. C. (1988). Stock market prices do not follow random walks: Evidence from a simple specification test. </w:t>
      </w:r>
      <w:r w:rsidRPr="00841625">
        <w:rPr>
          <w:i/>
          <w:iCs/>
          <w:sz w:val="22"/>
          <w:szCs w:val="22"/>
        </w:rPr>
        <w:t>The Review of Financial Studies</w:t>
      </w:r>
      <w:r w:rsidRPr="00841625">
        <w:rPr>
          <w:sz w:val="22"/>
          <w:szCs w:val="22"/>
        </w:rPr>
        <w:t xml:space="preserve">, </w:t>
      </w:r>
      <w:r w:rsidRPr="00841625">
        <w:rPr>
          <w:i/>
          <w:iCs/>
          <w:sz w:val="22"/>
          <w:szCs w:val="22"/>
        </w:rPr>
        <w:t>1</w:t>
      </w:r>
      <w:r w:rsidRPr="00841625">
        <w:rPr>
          <w:sz w:val="22"/>
          <w:szCs w:val="22"/>
        </w:rPr>
        <w:t>(1), 41–66.</w:t>
      </w:r>
    </w:p>
    <w:p w14:paraId="63B3CC42" w14:textId="77777777" w:rsidR="000F5DDC" w:rsidRPr="00841625" w:rsidRDefault="00000000" w:rsidP="00841625">
      <w:pPr>
        <w:pStyle w:val="Reference"/>
        <w:spacing w:line="240" w:lineRule="auto"/>
        <w:rPr>
          <w:sz w:val="22"/>
          <w:szCs w:val="22"/>
        </w:rPr>
      </w:pPr>
      <w:r w:rsidRPr="00841625">
        <w:rPr>
          <w:sz w:val="22"/>
          <w:szCs w:val="22"/>
        </w:rPr>
        <w:t xml:space="preserve">Loughran, T., &amp; Schultz, P. (2005). Liquidity: Urban versus rural firms. </w:t>
      </w:r>
      <w:r w:rsidRPr="00841625">
        <w:rPr>
          <w:i/>
          <w:iCs/>
          <w:sz w:val="22"/>
          <w:szCs w:val="22"/>
        </w:rPr>
        <w:t>Journal of Financial Economics</w:t>
      </w:r>
      <w:r w:rsidRPr="00841625">
        <w:rPr>
          <w:sz w:val="22"/>
          <w:szCs w:val="22"/>
        </w:rPr>
        <w:t xml:space="preserve">, </w:t>
      </w:r>
      <w:r w:rsidRPr="00841625">
        <w:rPr>
          <w:i/>
          <w:iCs/>
          <w:sz w:val="22"/>
          <w:szCs w:val="22"/>
        </w:rPr>
        <w:t>78</w:t>
      </w:r>
      <w:r w:rsidRPr="00841625">
        <w:rPr>
          <w:sz w:val="22"/>
          <w:szCs w:val="22"/>
        </w:rPr>
        <w:t>(2), 341–374.</w:t>
      </w:r>
    </w:p>
    <w:p w14:paraId="03AFF40B" w14:textId="77777777" w:rsidR="005D3DB2" w:rsidRPr="00841625" w:rsidRDefault="00000000" w:rsidP="00841625">
      <w:pPr>
        <w:pStyle w:val="Reference"/>
        <w:spacing w:line="240" w:lineRule="auto"/>
        <w:rPr>
          <w:sz w:val="22"/>
          <w:szCs w:val="22"/>
        </w:rPr>
      </w:pPr>
      <w:r w:rsidRPr="00841625">
        <w:rPr>
          <w:sz w:val="22"/>
          <w:szCs w:val="22"/>
        </w:rPr>
        <w:t xml:space="preserve">Markowitz, H. (1952). Portfolio selection. </w:t>
      </w:r>
      <w:r w:rsidRPr="00841625">
        <w:rPr>
          <w:i/>
          <w:iCs/>
          <w:sz w:val="22"/>
          <w:szCs w:val="22"/>
        </w:rPr>
        <w:t>The Journal of Finance</w:t>
      </w:r>
      <w:r w:rsidRPr="00841625">
        <w:rPr>
          <w:sz w:val="22"/>
          <w:szCs w:val="22"/>
        </w:rPr>
        <w:t xml:space="preserve">, </w:t>
      </w:r>
      <w:r w:rsidRPr="00841625">
        <w:rPr>
          <w:i/>
          <w:iCs/>
          <w:sz w:val="22"/>
          <w:szCs w:val="22"/>
        </w:rPr>
        <w:t>7</w:t>
      </w:r>
      <w:r w:rsidRPr="00841625">
        <w:rPr>
          <w:sz w:val="22"/>
          <w:szCs w:val="22"/>
        </w:rPr>
        <w:t>(1), 77–91.</w:t>
      </w:r>
    </w:p>
    <w:p w14:paraId="10320B56" w14:textId="77777777" w:rsidR="005D3DB2" w:rsidRPr="00841625" w:rsidRDefault="00000000" w:rsidP="00841625">
      <w:pPr>
        <w:pStyle w:val="Reference"/>
        <w:spacing w:line="240" w:lineRule="auto"/>
        <w:rPr>
          <w:sz w:val="22"/>
          <w:szCs w:val="22"/>
        </w:rPr>
      </w:pPr>
      <w:r w:rsidRPr="00841625">
        <w:rPr>
          <w:sz w:val="22"/>
          <w:szCs w:val="22"/>
        </w:rPr>
        <w:t xml:space="preserve">Michaud, R. O. (1989). The Markowitz optimization enigma: Is 'optimized' optimal? </w:t>
      </w:r>
      <w:r w:rsidRPr="00841625">
        <w:rPr>
          <w:i/>
          <w:iCs/>
          <w:sz w:val="22"/>
          <w:szCs w:val="22"/>
        </w:rPr>
        <w:t>Financial Analysts Journal</w:t>
      </w:r>
      <w:r w:rsidRPr="00841625">
        <w:rPr>
          <w:sz w:val="22"/>
          <w:szCs w:val="22"/>
        </w:rPr>
        <w:t xml:space="preserve">, </w:t>
      </w:r>
      <w:r w:rsidRPr="00841625">
        <w:rPr>
          <w:i/>
          <w:iCs/>
          <w:sz w:val="22"/>
          <w:szCs w:val="22"/>
        </w:rPr>
        <w:t>45</w:t>
      </w:r>
      <w:r w:rsidRPr="00841625">
        <w:rPr>
          <w:sz w:val="22"/>
          <w:szCs w:val="22"/>
        </w:rPr>
        <w:t>(1), 31–42.</w:t>
      </w:r>
    </w:p>
    <w:p w14:paraId="6AE9A4B4" w14:textId="77777777" w:rsidR="000F5DDC" w:rsidRPr="00841625" w:rsidRDefault="00000000" w:rsidP="00841625">
      <w:pPr>
        <w:pStyle w:val="Reference"/>
        <w:spacing w:line="240" w:lineRule="auto"/>
        <w:rPr>
          <w:sz w:val="22"/>
          <w:szCs w:val="22"/>
        </w:rPr>
      </w:pPr>
      <w:r w:rsidRPr="00841625">
        <w:rPr>
          <w:sz w:val="22"/>
          <w:szCs w:val="22"/>
        </w:rPr>
        <w:t xml:space="preserve">Moosa, I., Li, L., &amp; Jiang, R. (2016). Determinants of the status of an international financial centre. </w:t>
      </w:r>
      <w:r w:rsidRPr="00841625">
        <w:rPr>
          <w:i/>
          <w:iCs/>
          <w:sz w:val="22"/>
          <w:szCs w:val="22"/>
        </w:rPr>
        <w:t>The World Economy</w:t>
      </w:r>
      <w:r w:rsidRPr="00841625">
        <w:rPr>
          <w:sz w:val="22"/>
          <w:szCs w:val="22"/>
        </w:rPr>
        <w:t xml:space="preserve">, </w:t>
      </w:r>
      <w:r w:rsidRPr="00841625">
        <w:rPr>
          <w:i/>
          <w:iCs/>
          <w:sz w:val="22"/>
          <w:szCs w:val="22"/>
        </w:rPr>
        <w:t>39</w:t>
      </w:r>
      <w:r w:rsidRPr="00841625">
        <w:rPr>
          <w:sz w:val="22"/>
          <w:szCs w:val="22"/>
        </w:rPr>
        <w:t>(12), 2074–2096.</w:t>
      </w:r>
    </w:p>
    <w:p w14:paraId="20606BA7" w14:textId="77777777" w:rsidR="000F5DDC" w:rsidRPr="00841625" w:rsidRDefault="00000000" w:rsidP="00841625">
      <w:pPr>
        <w:pStyle w:val="Reference"/>
        <w:spacing w:line="240" w:lineRule="auto"/>
        <w:rPr>
          <w:sz w:val="22"/>
          <w:szCs w:val="22"/>
        </w:rPr>
      </w:pPr>
      <w:r w:rsidRPr="00841625">
        <w:rPr>
          <w:sz w:val="22"/>
          <w:szCs w:val="22"/>
        </w:rPr>
        <w:t xml:space="preserve">Naeem, M. M. F. (2023). </w:t>
      </w:r>
      <w:r w:rsidRPr="00841625">
        <w:rPr>
          <w:i/>
          <w:iCs/>
          <w:sz w:val="22"/>
          <w:szCs w:val="22"/>
        </w:rPr>
        <w:t>What makes an International Financial Centre (IFC) competitive? An empirical study of the determinants responsible for the competitiveness of an IFC</w:t>
      </w:r>
      <w:r w:rsidRPr="00841625">
        <w:rPr>
          <w:sz w:val="22"/>
          <w:szCs w:val="22"/>
        </w:rPr>
        <w:t xml:space="preserve"> [Luận án Tiến sĩ Quản trị kinh doanh (DBA), Durham University]. Durham E-Theses. https://etheses.durham.ac.uk/id/eprint/15102/</w:t>
      </w:r>
    </w:p>
    <w:p w14:paraId="2E0EAC7A" w14:textId="77777777" w:rsidR="005D3DB2" w:rsidRPr="00841625" w:rsidRDefault="00000000" w:rsidP="00841625">
      <w:pPr>
        <w:pStyle w:val="Reference"/>
        <w:spacing w:line="240" w:lineRule="auto"/>
        <w:rPr>
          <w:sz w:val="22"/>
          <w:szCs w:val="22"/>
        </w:rPr>
      </w:pPr>
      <w:r w:rsidRPr="00841625">
        <w:rPr>
          <w:sz w:val="22"/>
          <w:szCs w:val="22"/>
        </w:rPr>
        <w:t xml:space="preserve">Nguyen, N., Nguyen, T., Tran, T., &amp; Mai, A. (2020). Shrinkage model selection for portfolio optimization on Vietnam stock market. </w:t>
      </w:r>
      <w:r w:rsidRPr="00841625">
        <w:rPr>
          <w:i/>
          <w:iCs/>
          <w:sz w:val="22"/>
          <w:szCs w:val="22"/>
        </w:rPr>
        <w:t>The Journal of Asian Finance, Economics and Business</w:t>
      </w:r>
      <w:r w:rsidRPr="00841625">
        <w:rPr>
          <w:sz w:val="22"/>
          <w:szCs w:val="22"/>
        </w:rPr>
        <w:t xml:space="preserve">, </w:t>
      </w:r>
      <w:r w:rsidRPr="00841625">
        <w:rPr>
          <w:i/>
          <w:iCs/>
          <w:sz w:val="22"/>
          <w:szCs w:val="22"/>
        </w:rPr>
        <w:t>7</w:t>
      </w:r>
      <w:r w:rsidRPr="00841625">
        <w:rPr>
          <w:sz w:val="22"/>
          <w:szCs w:val="22"/>
        </w:rPr>
        <w:t>(9), 135–145.</w:t>
      </w:r>
    </w:p>
    <w:p w14:paraId="03FB90C0" w14:textId="77777777" w:rsidR="005D3DB2" w:rsidRPr="00841625" w:rsidRDefault="00000000" w:rsidP="00841625">
      <w:pPr>
        <w:pStyle w:val="Reference"/>
        <w:spacing w:line="240" w:lineRule="auto"/>
        <w:rPr>
          <w:sz w:val="22"/>
          <w:szCs w:val="22"/>
        </w:rPr>
      </w:pPr>
      <w:r w:rsidRPr="00841625">
        <w:rPr>
          <w:sz w:val="22"/>
          <w:szCs w:val="22"/>
        </w:rPr>
        <w:t xml:space="preserve">Nguyễn, T. B., &amp; Nguyễn, V. T. (2026a). Black-Litterman portfolio optimization using regime switching CAPM and ABC-MCMC: Empirical evidence from the Vietnamese stock market period 2019–2025. </w:t>
      </w:r>
      <w:r w:rsidRPr="00841625">
        <w:rPr>
          <w:i/>
          <w:iCs/>
          <w:sz w:val="22"/>
          <w:szCs w:val="22"/>
        </w:rPr>
        <w:t>Tạp chí Nghiên cứu Chính sách và Phát triển</w:t>
      </w:r>
      <w:r w:rsidRPr="00841625">
        <w:rPr>
          <w:sz w:val="22"/>
          <w:szCs w:val="22"/>
        </w:rPr>
        <w:t xml:space="preserve">, </w:t>
      </w:r>
      <w:r w:rsidRPr="00841625">
        <w:rPr>
          <w:i/>
          <w:iCs/>
          <w:sz w:val="22"/>
          <w:szCs w:val="22"/>
        </w:rPr>
        <w:t>3</w:t>
      </w:r>
      <w:r w:rsidRPr="00841625">
        <w:rPr>
          <w:sz w:val="22"/>
          <w:szCs w:val="22"/>
        </w:rPr>
        <w:t>(1), 81–99. https://doi.org/10.63640/3030-4091/jpd.apd.194</w:t>
      </w:r>
    </w:p>
    <w:p w14:paraId="64ECD3B7" w14:textId="77777777" w:rsidR="000F5DDC" w:rsidRPr="00841625" w:rsidRDefault="00000000" w:rsidP="00841625">
      <w:pPr>
        <w:pStyle w:val="Reference"/>
        <w:spacing w:line="240" w:lineRule="auto"/>
        <w:rPr>
          <w:sz w:val="22"/>
          <w:szCs w:val="22"/>
        </w:rPr>
      </w:pPr>
      <w:r w:rsidRPr="00841625">
        <w:rPr>
          <w:sz w:val="22"/>
          <w:szCs w:val="22"/>
        </w:rPr>
        <w:t xml:space="preserve">Nielsson, U. (2009). Stock exchange merger and liquidity: The case of Euronext. </w:t>
      </w:r>
      <w:r w:rsidRPr="00841625">
        <w:rPr>
          <w:i/>
          <w:iCs/>
          <w:sz w:val="22"/>
          <w:szCs w:val="22"/>
        </w:rPr>
        <w:t>Journal of Financial Markets</w:t>
      </w:r>
      <w:r w:rsidRPr="00841625">
        <w:rPr>
          <w:sz w:val="22"/>
          <w:szCs w:val="22"/>
        </w:rPr>
        <w:t xml:space="preserve">, </w:t>
      </w:r>
      <w:r w:rsidRPr="00841625">
        <w:rPr>
          <w:i/>
          <w:iCs/>
          <w:sz w:val="22"/>
          <w:szCs w:val="22"/>
        </w:rPr>
        <w:t>12</w:t>
      </w:r>
      <w:r w:rsidRPr="00841625">
        <w:rPr>
          <w:sz w:val="22"/>
          <w:szCs w:val="22"/>
        </w:rPr>
        <w:t>(2), 229–267.</w:t>
      </w:r>
    </w:p>
    <w:p w14:paraId="6C82F5A2" w14:textId="77777777" w:rsidR="000F5DDC" w:rsidRPr="00841625" w:rsidRDefault="00000000" w:rsidP="00841625">
      <w:pPr>
        <w:pStyle w:val="Reference"/>
        <w:spacing w:line="240" w:lineRule="auto"/>
        <w:rPr>
          <w:sz w:val="22"/>
          <w:szCs w:val="22"/>
        </w:rPr>
      </w:pPr>
      <w:r w:rsidRPr="00841625">
        <w:rPr>
          <w:sz w:val="22"/>
          <w:szCs w:val="22"/>
        </w:rPr>
        <w:t xml:space="preserve">OECD. (2008). </w:t>
      </w:r>
      <w:r w:rsidRPr="00841625">
        <w:rPr>
          <w:i/>
          <w:iCs/>
          <w:sz w:val="22"/>
          <w:szCs w:val="22"/>
        </w:rPr>
        <w:t>Handbook on constructing composite indicators: Methodology and user guide</w:t>
      </w:r>
      <w:r w:rsidRPr="00841625">
        <w:rPr>
          <w:sz w:val="22"/>
          <w:szCs w:val="22"/>
        </w:rPr>
        <w:t>. OECD Publishing.</w:t>
      </w:r>
    </w:p>
    <w:p w14:paraId="7716461A" w14:textId="77777777" w:rsidR="005D3DB2" w:rsidRPr="00841625" w:rsidRDefault="00000000" w:rsidP="00841625">
      <w:pPr>
        <w:pStyle w:val="Reference"/>
        <w:spacing w:line="240" w:lineRule="auto"/>
        <w:rPr>
          <w:sz w:val="22"/>
          <w:szCs w:val="22"/>
        </w:rPr>
      </w:pPr>
      <w:r w:rsidRPr="00841625">
        <w:rPr>
          <w:sz w:val="22"/>
          <w:szCs w:val="22"/>
        </w:rPr>
        <w:t xml:space="preserve">Pflug, G. C., Pichler, A., &amp; Wozabal, D. (2012). The 1/N investment strategy is optimal under high model ambiguity. </w:t>
      </w:r>
      <w:r w:rsidRPr="00841625">
        <w:rPr>
          <w:i/>
          <w:iCs/>
          <w:sz w:val="22"/>
          <w:szCs w:val="22"/>
        </w:rPr>
        <w:t>Journal of Banking &amp; Finance</w:t>
      </w:r>
      <w:r w:rsidRPr="00841625">
        <w:rPr>
          <w:sz w:val="22"/>
          <w:szCs w:val="22"/>
        </w:rPr>
        <w:t xml:space="preserve">, </w:t>
      </w:r>
      <w:r w:rsidRPr="00841625">
        <w:rPr>
          <w:i/>
          <w:iCs/>
          <w:sz w:val="22"/>
          <w:szCs w:val="22"/>
        </w:rPr>
        <w:t>36</w:t>
      </w:r>
      <w:r w:rsidRPr="00841625">
        <w:rPr>
          <w:sz w:val="22"/>
          <w:szCs w:val="22"/>
        </w:rPr>
        <w:t>(2), 410–417.</w:t>
      </w:r>
    </w:p>
    <w:p w14:paraId="2C8C5632" w14:textId="77777777" w:rsidR="005D3DB2" w:rsidRPr="00841625" w:rsidRDefault="00000000" w:rsidP="00841625">
      <w:pPr>
        <w:pStyle w:val="Reference"/>
        <w:spacing w:line="240" w:lineRule="auto"/>
        <w:rPr>
          <w:sz w:val="22"/>
          <w:szCs w:val="22"/>
        </w:rPr>
      </w:pPr>
      <w:r w:rsidRPr="00841625">
        <w:rPr>
          <w:sz w:val="22"/>
          <w:szCs w:val="22"/>
        </w:rPr>
        <w:t xml:space="preserve">Politis, D. N., &amp; Romano, J. P. (1994). The stationary bootstrap. </w:t>
      </w:r>
      <w:r w:rsidRPr="00841625">
        <w:rPr>
          <w:i/>
          <w:iCs/>
          <w:sz w:val="22"/>
          <w:szCs w:val="22"/>
        </w:rPr>
        <w:t>Journal of the American Statistical Association</w:t>
      </w:r>
      <w:r w:rsidRPr="00841625">
        <w:rPr>
          <w:sz w:val="22"/>
          <w:szCs w:val="22"/>
        </w:rPr>
        <w:t xml:space="preserve">, </w:t>
      </w:r>
      <w:r w:rsidRPr="00841625">
        <w:rPr>
          <w:i/>
          <w:iCs/>
          <w:sz w:val="22"/>
          <w:szCs w:val="22"/>
        </w:rPr>
        <w:t>89</w:t>
      </w:r>
      <w:r w:rsidRPr="00841625">
        <w:rPr>
          <w:sz w:val="22"/>
          <w:szCs w:val="22"/>
        </w:rPr>
        <w:t>(428), 1303–1313.</w:t>
      </w:r>
    </w:p>
    <w:p w14:paraId="1ED394A8" w14:textId="77777777" w:rsidR="000F5DDC" w:rsidRPr="00841625" w:rsidRDefault="00000000" w:rsidP="00841625">
      <w:pPr>
        <w:pStyle w:val="Reference"/>
        <w:spacing w:line="240" w:lineRule="auto"/>
        <w:rPr>
          <w:sz w:val="22"/>
          <w:szCs w:val="22"/>
        </w:rPr>
      </w:pPr>
      <w:r w:rsidRPr="00841625">
        <w:rPr>
          <w:sz w:val="22"/>
          <w:szCs w:val="22"/>
        </w:rPr>
        <w:t xml:space="preserve">Rambachan, A., &amp; Roth, J. (2023). A more credible approach to parallel trends. </w:t>
      </w:r>
      <w:r w:rsidRPr="00841625">
        <w:rPr>
          <w:i/>
          <w:iCs/>
          <w:sz w:val="22"/>
          <w:szCs w:val="22"/>
        </w:rPr>
        <w:t>The Review of Economic Studies</w:t>
      </w:r>
      <w:r w:rsidRPr="00841625">
        <w:rPr>
          <w:sz w:val="22"/>
          <w:szCs w:val="22"/>
        </w:rPr>
        <w:t xml:space="preserve">, </w:t>
      </w:r>
      <w:r w:rsidRPr="00841625">
        <w:rPr>
          <w:i/>
          <w:iCs/>
          <w:sz w:val="22"/>
          <w:szCs w:val="22"/>
        </w:rPr>
        <w:t>90</w:t>
      </w:r>
      <w:r w:rsidRPr="00841625">
        <w:rPr>
          <w:sz w:val="22"/>
          <w:szCs w:val="22"/>
        </w:rPr>
        <w:t>(5), 2555–2591.</w:t>
      </w:r>
    </w:p>
    <w:p w14:paraId="35FAB85D" w14:textId="77777777" w:rsidR="005D3DB2" w:rsidRPr="00841625" w:rsidRDefault="00000000" w:rsidP="00841625">
      <w:pPr>
        <w:pStyle w:val="Reference"/>
        <w:spacing w:line="240" w:lineRule="auto"/>
        <w:rPr>
          <w:sz w:val="22"/>
          <w:szCs w:val="22"/>
        </w:rPr>
      </w:pPr>
      <w:r w:rsidRPr="00841625">
        <w:rPr>
          <w:sz w:val="22"/>
          <w:szCs w:val="22"/>
        </w:rPr>
        <w:t xml:space="preserve">Ta, B. Q., &amp; Vuong, T. (2020). The Black-Litterman model for portfolio optimization on Vietnam stock market. </w:t>
      </w:r>
      <w:r w:rsidRPr="00841625">
        <w:rPr>
          <w:i/>
          <w:iCs/>
          <w:sz w:val="22"/>
          <w:szCs w:val="22"/>
        </w:rPr>
        <w:t>International Journal of Uncertainty, Fuzziness and Knowledge-Based Systems</w:t>
      </w:r>
      <w:r w:rsidRPr="00841625">
        <w:rPr>
          <w:sz w:val="22"/>
          <w:szCs w:val="22"/>
        </w:rPr>
        <w:t xml:space="preserve">, </w:t>
      </w:r>
      <w:r w:rsidRPr="00841625">
        <w:rPr>
          <w:i/>
          <w:iCs/>
          <w:sz w:val="22"/>
          <w:szCs w:val="22"/>
        </w:rPr>
        <w:t>28</w:t>
      </w:r>
      <w:r w:rsidRPr="00841625">
        <w:rPr>
          <w:sz w:val="22"/>
          <w:szCs w:val="22"/>
        </w:rPr>
        <w:t>(Supp01), 99–111.</w:t>
      </w:r>
    </w:p>
    <w:p w14:paraId="6E7F9EA0" w14:textId="77777777" w:rsidR="005D3DB2" w:rsidRPr="00841625" w:rsidRDefault="00000000" w:rsidP="00841625">
      <w:pPr>
        <w:pStyle w:val="Reference"/>
        <w:spacing w:line="240" w:lineRule="auto"/>
        <w:rPr>
          <w:sz w:val="22"/>
          <w:szCs w:val="22"/>
        </w:rPr>
      </w:pPr>
      <w:r w:rsidRPr="00841625">
        <w:rPr>
          <w:sz w:val="22"/>
          <w:szCs w:val="22"/>
        </w:rPr>
        <w:t xml:space="preserve">Vo, X. V., &amp; Phan, D. B. A. (2017). Further evidence on the herd behavior in Vietnam stock market. </w:t>
      </w:r>
      <w:r w:rsidRPr="00841625">
        <w:rPr>
          <w:i/>
          <w:iCs/>
          <w:sz w:val="22"/>
          <w:szCs w:val="22"/>
        </w:rPr>
        <w:t>Journal of Behavioral and Experimental Finance</w:t>
      </w:r>
      <w:r w:rsidRPr="00841625">
        <w:rPr>
          <w:sz w:val="22"/>
          <w:szCs w:val="22"/>
        </w:rPr>
        <w:t xml:space="preserve">, </w:t>
      </w:r>
      <w:r w:rsidRPr="00841625">
        <w:rPr>
          <w:i/>
          <w:iCs/>
          <w:sz w:val="22"/>
          <w:szCs w:val="22"/>
        </w:rPr>
        <w:t>13</w:t>
      </w:r>
      <w:r w:rsidRPr="00841625">
        <w:rPr>
          <w:sz w:val="22"/>
          <w:szCs w:val="22"/>
        </w:rPr>
        <w:t>, 33–41.</w:t>
      </w:r>
    </w:p>
    <w:p w14:paraId="30F54DF9" w14:textId="77777777" w:rsidR="005D3DB2" w:rsidRPr="00841625" w:rsidRDefault="00000000" w:rsidP="00841625">
      <w:pPr>
        <w:pStyle w:val="Reference"/>
        <w:spacing w:line="240" w:lineRule="auto"/>
        <w:rPr>
          <w:sz w:val="22"/>
          <w:szCs w:val="22"/>
        </w:rPr>
      </w:pPr>
      <w:r w:rsidRPr="00841625">
        <w:rPr>
          <w:sz w:val="22"/>
          <w:szCs w:val="22"/>
        </w:rPr>
        <w:t xml:space="preserve">Vu, T. L., Luong, N. H., &amp; Nguyen, P. N. (2024). Stock crash and how it spreads over the Vietnamese stock market. </w:t>
      </w:r>
      <w:r w:rsidRPr="00841625">
        <w:rPr>
          <w:i/>
          <w:iCs/>
          <w:sz w:val="22"/>
          <w:szCs w:val="22"/>
        </w:rPr>
        <w:t>VNU Journal of Economics and Business</w:t>
      </w:r>
      <w:r w:rsidRPr="00841625">
        <w:rPr>
          <w:sz w:val="22"/>
          <w:szCs w:val="22"/>
        </w:rPr>
        <w:t xml:space="preserve">, </w:t>
      </w:r>
      <w:r w:rsidRPr="00841625">
        <w:rPr>
          <w:i/>
          <w:iCs/>
          <w:sz w:val="22"/>
          <w:szCs w:val="22"/>
        </w:rPr>
        <w:t>4</w:t>
      </w:r>
      <w:r w:rsidRPr="00841625">
        <w:rPr>
          <w:sz w:val="22"/>
          <w:szCs w:val="22"/>
        </w:rPr>
        <w:t>(3), 107–116. https://doi.org/10.57110/vnu-jeb.v4i3.339</w:t>
      </w:r>
    </w:p>
    <w:p w14:paraId="4DBD07DF" w14:textId="77777777" w:rsidR="000F5DDC" w:rsidRPr="00841625" w:rsidRDefault="00000000" w:rsidP="00841625">
      <w:pPr>
        <w:pStyle w:val="Reference"/>
        <w:spacing w:line="240" w:lineRule="auto"/>
        <w:rPr>
          <w:sz w:val="22"/>
          <w:szCs w:val="22"/>
        </w:rPr>
      </w:pPr>
      <w:r w:rsidRPr="00841625">
        <w:rPr>
          <w:sz w:val="22"/>
          <w:szCs w:val="22"/>
        </w:rPr>
        <w:t xml:space="preserve">Wang, D. T., Zhao, S. X., &amp; Wang, D. (2007). "Information hinterland": A base for financial centre development. The case of Beijing versus Shanghai in China. </w:t>
      </w:r>
      <w:r w:rsidRPr="00841625">
        <w:rPr>
          <w:i/>
          <w:iCs/>
          <w:sz w:val="22"/>
          <w:szCs w:val="22"/>
        </w:rPr>
        <w:t>Tijdschrift voor Economische en Sociale Geografie</w:t>
      </w:r>
      <w:r w:rsidRPr="00841625">
        <w:rPr>
          <w:sz w:val="22"/>
          <w:szCs w:val="22"/>
        </w:rPr>
        <w:t xml:space="preserve">, </w:t>
      </w:r>
      <w:r w:rsidRPr="00841625">
        <w:rPr>
          <w:i/>
          <w:iCs/>
          <w:sz w:val="22"/>
          <w:szCs w:val="22"/>
        </w:rPr>
        <w:t>98</w:t>
      </w:r>
      <w:r w:rsidRPr="00841625">
        <w:rPr>
          <w:sz w:val="22"/>
          <w:szCs w:val="22"/>
        </w:rPr>
        <w:t>(1), 102–120.</w:t>
      </w:r>
    </w:p>
    <w:p w14:paraId="67E3DB9D" w14:textId="77777777" w:rsidR="000F5DDC" w:rsidRPr="00841625" w:rsidRDefault="00000000" w:rsidP="00841625">
      <w:pPr>
        <w:pStyle w:val="Reference"/>
        <w:spacing w:line="240" w:lineRule="auto"/>
        <w:rPr>
          <w:sz w:val="22"/>
          <w:szCs w:val="22"/>
        </w:rPr>
      </w:pPr>
      <w:r w:rsidRPr="00841625">
        <w:rPr>
          <w:sz w:val="22"/>
          <w:szCs w:val="22"/>
        </w:rPr>
        <w:t>Wardle, M., &amp; Mainelli, M. (2026, September). The Global Financial Centres Index 40. Z/Yen Group &amp; China Development Institute. https://www.longfinance.net/media/documents/GFCI_40_Report_2026.09.16_v1.2.pdf</w:t>
      </w:r>
    </w:p>
    <w:p w14:paraId="2B6CFB91" w14:textId="77777777" w:rsidR="000F5DDC" w:rsidRPr="00841625" w:rsidRDefault="00000000" w:rsidP="00841625">
      <w:pPr>
        <w:pStyle w:val="Reference"/>
        <w:spacing w:line="240" w:lineRule="auto"/>
        <w:rPr>
          <w:sz w:val="22"/>
          <w:szCs w:val="22"/>
        </w:rPr>
      </w:pPr>
      <w:r w:rsidRPr="00841625">
        <w:rPr>
          <w:sz w:val="22"/>
          <w:szCs w:val="22"/>
        </w:rPr>
        <w:t xml:space="preserve">Wójcik, D. (2007). Geography and the future of stock exchanges: Between real and virtual space. </w:t>
      </w:r>
      <w:r w:rsidRPr="00841625">
        <w:rPr>
          <w:i/>
          <w:iCs/>
          <w:sz w:val="22"/>
          <w:szCs w:val="22"/>
        </w:rPr>
        <w:t>Growth and Change</w:t>
      </w:r>
      <w:r w:rsidRPr="00841625">
        <w:rPr>
          <w:sz w:val="22"/>
          <w:szCs w:val="22"/>
        </w:rPr>
        <w:t xml:space="preserve">, </w:t>
      </w:r>
      <w:r w:rsidRPr="00841625">
        <w:rPr>
          <w:i/>
          <w:iCs/>
          <w:sz w:val="22"/>
          <w:szCs w:val="22"/>
        </w:rPr>
        <w:t>38</w:t>
      </w:r>
      <w:r w:rsidRPr="00841625">
        <w:rPr>
          <w:sz w:val="22"/>
          <w:szCs w:val="22"/>
        </w:rPr>
        <w:t>(2), 200–223.</w:t>
      </w:r>
    </w:p>
    <w:p w14:paraId="0EFBA1E0" w14:textId="77777777" w:rsidR="000F5DDC" w:rsidRPr="00841625" w:rsidRDefault="00000000" w:rsidP="00841625">
      <w:pPr>
        <w:pStyle w:val="Reference"/>
        <w:spacing w:line="240" w:lineRule="auto"/>
        <w:rPr>
          <w:sz w:val="22"/>
          <w:szCs w:val="22"/>
        </w:rPr>
      </w:pPr>
      <w:r w:rsidRPr="00841625">
        <w:rPr>
          <w:sz w:val="22"/>
          <w:szCs w:val="22"/>
        </w:rPr>
        <w:lastRenderedPageBreak/>
        <w:t xml:space="preserve">Yao, J.-M. (2012). </w:t>
      </w:r>
      <w:r w:rsidRPr="00841625">
        <w:rPr>
          <w:i/>
          <w:iCs/>
          <w:sz w:val="22"/>
          <w:szCs w:val="22"/>
        </w:rPr>
        <w:t>Compétitivité et attractivité des places financières internationales: Application à l’industrie des fonds d’investissement au Luxembourg</w:t>
      </w:r>
      <w:r w:rsidRPr="00841625">
        <w:rPr>
          <w:sz w:val="22"/>
          <w:szCs w:val="22"/>
        </w:rPr>
        <w:t xml:space="preserve"> [Luận án tiến sĩ Kinh tế học, Université de Strasbourg].</w:t>
      </w:r>
    </w:p>
    <w:p w14:paraId="667DCAB1" w14:textId="77777777" w:rsidR="005D3DB2" w:rsidRPr="005C17A3" w:rsidRDefault="005D3DB2">
      <w:pPr>
        <w:spacing w:after="240"/>
        <w:jc w:val="center"/>
      </w:pPr>
    </w:p>
    <w:p w14:paraId="02D5CA9C" w14:textId="77777777" w:rsidR="005D3DB2" w:rsidRPr="005C17A3" w:rsidRDefault="00000000">
      <w:pPr>
        <w:spacing w:after="60"/>
        <w:jc w:val="right"/>
      </w:pPr>
      <w:r w:rsidRPr="005C17A3">
        <w:rPr>
          <w:i/>
          <w:iCs/>
        </w:rPr>
        <w:t>Hà Nội, ngày … tháng 10 năm 2026</w:t>
      </w:r>
    </w:p>
    <w:p w14:paraId="5ECA8222" w14:textId="77777777" w:rsidR="005D3DB2" w:rsidRPr="005C17A3" w:rsidRDefault="00000000">
      <w:pPr>
        <w:jc w:val="right"/>
      </w:pPr>
      <w:r w:rsidRPr="005C17A3">
        <w:rPr>
          <w:b/>
          <w:bCs/>
        </w:rPr>
        <w:t>NGƯỜI DỰ TUYỂN</w:t>
      </w:r>
    </w:p>
    <w:p w14:paraId="19EF4CCA" w14:textId="77777777" w:rsidR="005D3DB2" w:rsidRPr="005C17A3" w:rsidRDefault="00000000">
      <w:pPr>
        <w:spacing w:after="1200"/>
        <w:jc w:val="right"/>
      </w:pPr>
      <w:r w:rsidRPr="005C17A3">
        <w:rPr>
          <w:i/>
          <w:iCs/>
        </w:rPr>
        <w:t>(Ký và ghi rõ họ tên)</w:t>
      </w:r>
    </w:p>
    <w:p w14:paraId="0C61A439" w14:textId="67A65EF7" w:rsidR="005D3DB2" w:rsidRPr="005C17A3" w:rsidRDefault="00000000">
      <w:pPr>
        <w:jc w:val="right"/>
      </w:pPr>
      <w:r w:rsidRPr="005C17A3">
        <w:rPr>
          <w:b/>
          <w:bCs/>
        </w:rPr>
        <w:t>Nguyễn Văn Trung</w:t>
      </w:r>
      <w:bookmarkEnd w:id="64"/>
    </w:p>
    <w:sectPr w:rsidR="005D3DB2" w:rsidRPr="005C17A3" w:rsidSect="00E7091C">
      <w:footerReference w:type="default" r:id="rId16"/>
      <w:pgSz w:w="11906" w:h="16838"/>
      <w:pgMar w:top="1134" w:right="1134" w:bottom="1134" w:left="1984"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7188E9" w14:textId="77777777" w:rsidR="003D1F1F" w:rsidRDefault="003D1F1F">
      <w:r>
        <w:separator/>
      </w:r>
    </w:p>
  </w:endnote>
  <w:endnote w:type="continuationSeparator" w:id="0">
    <w:p w14:paraId="7845CC6A" w14:textId="77777777" w:rsidR="003D1F1F" w:rsidRDefault="003D1F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nsolas">
    <w:panose1 w:val="020B060902020403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6A93F9" w14:textId="77777777" w:rsidR="005D3DB2" w:rsidRDefault="005D3D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6F088F" w14:textId="77777777" w:rsidR="005D3DB2" w:rsidRDefault="00000000">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C1B623" w14:textId="77777777" w:rsidR="005D3DB2" w:rsidRDefault="00000000">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DCF0C8" w14:textId="77777777" w:rsidR="003D1F1F" w:rsidRDefault="003D1F1F">
      <w:r>
        <w:separator/>
      </w:r>
    </w:p>
  </w:footnote>
  <w:footnote w:type="continuationSeparator" w:id="0">
    <w:p w14:paraId="1791A134" w14:textId="77777777" w:rsidR="003D1F1F" w:rsidRDefault="003D1F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F56005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6CC008D"/>
    <w:multiLevelType w:val="hybridMultilevel"/>
    <w:tmpl w:val="89B21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6F341F"/>
    <w:multiLevelType w:val="multilevel"/>
    <w:tmpl w:val="9F14473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1FC1C1D"/>
    <w:multiLevelType w:val="multilevel"/>
    <w:tmpl w:val="61A672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2AD6BE4"/>
    <w:multiLevelType w:val="multilevel"/>
    <w:tmpl w:val="C388CC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A3D10A4"/>
    <w:multiLevelType w:val="hybridMultilevel"/>
    <w:tmpl w:val="2D405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487A6C"/>
    <w:multiLevelType w:val="multilevel"/>
    <w:tmpl w:val="A4F01F5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7C41FB2"/>
    <w:multiLevelType w:val="hybridMultilevel"/>
    <w:tmpl w:val="5EF2D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4D33B9"/>
    <w:multiLevelType w:val="hybridMultilevel"/>
    <w:tmpl w:val="A614F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6162494">
    <w:abstractNumId w:val="0"/>
  </w:num>
  <w:num w:numId="2" w16cid:durableId="1179588804">
    <w:abstractNumId w:val="6"/>
  </w:num>
  <w:num w:numId="3" w16cid:durableId="1929852519">
    <w:abstractNumId w:val="4"/>
  </w:num>
  <w:num w:numId="4" w16cid:durableId="2058046184">
    <w:abstractNumId w:val="3"/>
  </w:num>
  <w:num w:numId="5" w16cid:durableId="537402602">
    <w:abstractNumId w:val="2"/>
  </w:num>
  <w:num w:numId="6" w16cid:durableId="925768077">
    <w:abstractNumId w:val="8"/>
  </w:num>
  <w:num w:numId="7" w16cid:durableId="754937169">
    <w:abstractNumId w:val="1"/>
  </w:num>
  <w:num w:numId="8" w16cid:durableId="1640300872">
    <w:abstractNumId w:val="5"/>
  </w:num>
  <w:num w:numId="9" w16cid:durableId="1111169948">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DB2"/>
    <w:rsid w:val="0000420B"/>
    <w:rsid w:val="000550FE"/>
    <w:rsid w:val="00056778"/>
    <w:rsid w:val="000F5DDC"/>
    <w:rsid w:val="00103D07"/>
    <w:rsid w:val="00143EFF"/>
    <w:rsid w:val="001701F9"/>
    <w:rsid w:val="00177BB0"/>
    <w:rsid w:val="00194512"/>
    <w:rsid w:val="001E44E0"/>
    <w:rsid w:val="00202B5D"/>
    <w:rsid w:val="00267296"/>
    <w:rsid w:val="0027582A"/>
    <w:rsid w:val="00297320"/>
    <w:rsid w:val="002A7305"/>
    <w:rsid w:val="002F7A92"/>
    <w:rsid w:val="00300959"/>
    <w:rsid w:val="0030279B"/>
    <w:rsid w:val="00330B9D"/>
    <w:rsid w:val="00382671"/>
    <w:rsid w:val="00385F79"/>
    <w:rsid w:val="003D1F1F"/>
    <w:rsid w:val="003E4C49"/>
    <w:rsid w:val="00512B8C"/>
    <w:rsid w:val="00537E83"/>
    <w:rsid w:val="005411BA"/>
    <w:rsid w:val="005941D0"/>
    <w:rsid w:val="005B5A3B"/>
    <w:rsid w:val="005C17A3"/>
    <w:rsid w:val="005C7688"/>
    <w:rsid w:val="005D1B3F"/>
    <w:rsid w:val="005D397B"/>
    <w:rsid w:val="005D3DB2"/>
    <w:rsid w:val="00632049"/>
    <w:rsid w:val="00642C13"/>
    <w:rsid w:val="00677B09"/>
    <w:rsid w:val="006F537F"/>
    <w:rsid w:val="00766F7D"/>
    <w:rsid w:val="00782271"/>
    <w:rsid w:val="007915A1"/>
    <w:rsid w:val="00795732"/>
    <w:rsid w:val="007B5E31"/>
    <w:rsid w:val="008236B5"/>
    <w:rsid w:val="00833B95"/>
    <w:rsid w:val="008353AC"/>
    <w:rsid w:val="00841625"/>
    <w:rsid w:val="008467F8"/>
    <w:rsid w:val="0086056C"/>
    <w:rsid w:val="008A506D"/>
    <w:rsid w:val="008B0056"/>
    <w:rsid w:val="00907F62"/>
    <w:rsid w:val="00933B20"/>
    <w:rsid w:val="00942421"/>
    <w:rsid w:val="009545CE"/>
    <w:rsid w:val="009C2D78"/>
    <w:rsid w:val="00A10E15"/>
    <w:rsid w:val="00A163E8"/>
    <w:rsid w:val="00A4475B"/>
    <w:rsid w:val="00A61CE5"/>
    <w:rsid w:val="00A676B3"/>
    <w:rsid w:val="00A92D61"/>
    <w:rsid w:val="00AA03D5"/>
    <w:rsid w:val="00AA60E7"/>
    <w:rsid w:val="00B667FA"/>
    <w:rsid w:val="00BD3912"/>
    <w:rsid w:val="00C033BC"/>
    <w:rsid w:val="00C35CC4"/>
    <w:rsid w:val="00C60C2F"/>
    <w:rsid w:val="00C74183"/>
    <w:rsid w:val="00C76EBB"/>
    <w:rsid w:val="00CC7A2B"/>
    <w:rsid w:val="00D04865"/>
    <w:rsid w:val="00D140CB"/>
    <w:rsid w:val="00D241D0"/>
    <w:rsid w:val="00D61CF0"/>
    <w:rsid w:val="00D76363"/>
    <w:rsid w:val="00D9791B"/>
    <w:rsid w:val="00DB5E3D"/>
    <w:rsid w:val="00DE60E2"/>
    <w:rsid w:val="00E34D46"/>
    <w:rsid w:val="00E36DA9"/>
    <w:rsid w:val="00E4581F"/>
    <w:rsid w:val="00E65BB1"/>
    <w:rsid w:val="00E7091C"/>
    <w:rsid w:val="00E77D54"/>
    <w:rsid w:val="00E87525"/>
    <w:rsid w:val="00EA1BEA"/>
    <w:rsid w:val="00EA72A1"/>
    <w:rsid w:val="00F612F2"/>
    <w:rsid w:val="00FC706D"/>
    <w:rsid w:val="00FF0A38"/>
    <w:rsid w:val="00FF54B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41207EF5"/>
  <w15:docId w15:val="{557EAAD2-E7FD-014F-9043-3162DF2A5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6"/>
        <w:szCs w:val="26"/>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keepNext/>
      <w:keepLines/>
      <w:spacing w:before="240" w:after="120" w:line="360" w:lineRule="auto"/>
      <w:outlineLvl w:val="0"/>
    </w:pPr>
    <w:rPr>
      <w:b/>
      <w:bCs/>
      <w:color w:val="000000"/>
    </w:rPr>
  </w:style>
  <w:style w:type="paragraph" w:styleId="Heading2">
    <w:name w:val="heading 2"/>
    <w:basedOn w:val="Normal"/>
    <w:next w:val="BodyText"/>
    <w:uiPriority w:val="9"/>
    <w:unhideWhenUsed/>
    <w:qFormat/>
    <w:pPr>
      <w:keepNext/>
      <w:keepLines/>
      <w:spacing w:before="180" w:after="60" w:line="360" w:lineRule="auto"/>
      <w:outlineLvl w:val="1"/>
    </w:pPr>
    <w:rPr>
      <w:b/>
      <w:bCs/>
      <w:color w:val="000000"/>
    </w:rPr>
  </w:style>
  <w:style w:type="paragraph" w:styleId="Heading3">
    <w:name w:val="heading 3"/>
    <w:basedOn w:val="Normal"/>
    <w:next w:val="BodyText"/>
    <w:uiPriority w:val="9"/>
    <w:unhideWhenUsed/>
    <w:qFormat/>
    <w:pPr>
      <w:keepNext/>
      <w:keepLines/>
      <w:spacing w:before="120" w:after="60" w:line="360" w:lineRule="auto"/>
      <w:outlineLvl w:val="2"/>
    </w:pPr>
    <w:rPr>
      <w:b/>
      <w:bCs/>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60" w:line="360" w:lineRule="auto"/>
      <w:ind w:firstLine="567"/>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20" w:after="20" w:line="264" w:lineRule="auto"/>
      <w:ind w:firstLine="0"/>
      <w:jc w:val="left"/>
    </w:pPr>
    <w:rPr>
      <w:sz w:val="23"/>
      <w:szCs w:val="23"/>
    </w:rPr>
  </w:style>
  <w:style w:type="paragraph" w:styleId="Title">
    <w:name w:val="Title"/>
    <w:basedOn w:val="Normal"/>
    <w:next w:val="BodyText"/>
    <w:uiPriority w:val="10"/>
    <w:qFormat/>
    <w:pPr>
      <w:jc w:val="center"/>
    </w:pPr>
    <w:rPr>
      <w:b/>
      <w:sz w:val="28"/>
    </w:rPr>
  </w:style>
  <w:style w:type="paragraph" w:customStyle="1" w:styleId="TableCaption">
    <w:name w:val="TableCaption"/>
    <w:basedOn w:val="Normal"/>
    <w:qFormat/>
    <w:pPr>
      <w:keepNext/>
      <w:spacing w:before="120" w:after="60" w:line="312" w:lineRule="auto"/>
      <w:jc w:val="center"/>
    </w:pPr>
    <w:rPr>
      <w:b/>
      <w:bCs/>
    </w:rPr>
  </w:style>
  <w:style w:type="paragraph" w:customStyle="1" w:styleId="FigureCaption">
    <w:name w:val="FigureCaption"/>
    <w:basedOn w:val="Normal"/>
    <w:qFormat/>
    <w:pPr>
      <w:keepNext/>
      <w:spacing w:before="60" w:line="312" w:lineRule="auto"/>
      <w:jc w:val="center"/>
    </w:pPr>
    <w:rPr>
      <w:b/>
      <w:bCs/>
    </w:rPr>
  </w:style>
  <w:style w:type="paragraph" w:customStyle="1" w:styleId="SourceNote">
    <w:name w:val="SourceNote"/>
    <w:basedOn w:val="Normal"/>
    <w:qFormat/>
    <w:pPr>
      <w:spacing w:before="40" w:after="120" w:line="276" w:lineRule="auto"/>
      <w:jc w:val="right"/>
    </w:pPr>
    <w:rPr>
      <w:i/>
      <w:iCs/>
      <w:sz w:val="24"/>
      <w:szCs w:val="24"/>
    </w:rPr>
  </w:style>
  <w:style w:type="paragraph" w:customStyle="1" w:styleId="Equation">
    <w:name w:val="Equation"/>
    <w:basedOn w:val="Normal"/>
    <w:qFormat/>
    <w:pPr>
      <w:tabs>
        <w:tab w:val="center" w:pos="4394"/>
        <w:tab w:val="right" w:pos="8778"/>
      </w:tabs>
      <w:spacing w:before="60" w:after="60" w:line="276" w:lineRule="auto"/>
    </w:pPr>
  </w:style>
  <w:style w:type="paragraph" w:customStyle="1" w:styleId="FigureBox">
    <w:name w:val="FigureBox"/>
    <w:basedOn w:val="Normal"/>
    <w:qFormat/>
    <w:pPr>
      <w:keepNext/>
      <w:spacing w:before="120" w:after="60"/>
      <w:jc w:val="center"/>
    </w:pPr>
  </w:style>
  <w:style w:type="paragraph" w:customStyle="1" w:styleId="CoverLine">
    <w:name w:val="CoverLine"/>
    <w:basedOn w:val="Normal"/>
    <w:qFormat/>
    <w:pPr>
      <w:spacing w:after="60" w:line="360" w:lineRule="auto"/>
      <w:jc w:val="both"/>
    </w:pPr>
  </w:style>
  <w:style w:type="paragraph" w:customStyle="1" w:styleId="Reference">
    <w:name w:val="Reference"/>
    <w:basedOn w:val="Normal"/>
    <w:qFormat/>
    <w:pPr>
      <w:spacing w:after="80" w:line="312" w:lineRule="auto"/>
      <w:ind w:left="567" w:hanging="567"/>
      <w:jc w:val="both"/>
    </w:pPr>
  </w:style>
  <w:style w:type="paragraph" w:customStyle="1" w:styleId="ListHeading">
    <w:name w:val="ListHeading"/>
    <w:basedOn w:val="Normal"/>
    <w:qFormat/>
    <w:pPr>
      <w:keepNext/>
      <w:spacing w:before="240" w:after="120"/>
      <w:jc w:val="center"/>
    </w:pPr>
    <w:rPr>
      <w:b/>
      <w:bCs/>
    </w:rPr>
  </w:style>
  <w:style w:type="paragraph" w:styleId="TOC1">
    <w:name w:val="toc 1"/>
    <w:basedOn w:val="Normal"/>
    <w:uiPriority w:val="39"/>
    <w:qFormat/>
    <w:pPr>
      <w:tabs>
        <w:tab w:val="right" w:leader="dot" w:pos="8778"/>
      </w:tabs>
      <w:spacing w:before="40" w:line="276" w:lineRule="auto"/>
    </w:pPr>
    <w:rPr>
      <w:b/>
    </w:rPr>
  </w:style>
  <w:style w:type="paragraph" w:styleId="TOC2">
    <w:name w:val="toc 2"/>
    <w:basedOn w:val="Normal"/>
    <w:uiPriority w:val="39"/>
    <w:qFormat/>
    <w:pPr>
      <w:tabs>
        <w:tab w:val="right" w:leader="dot" w:pos="8778"/>
      </w:tabs>
      <w:spacing w:line="276" w:lineRule="auto"/>
      <w:ind w:left="284"/>
    </w:pPr>
  </w:style>
  <w:style w:type="paragraph" w:styleId="TOC3">
    <w:name w:val="toc 3"/>
    <w:basedOn w:val="Normal"/>
    <w:uiPriority w:val="39"/>
    <w:qFormat/>
    <w:pPr>
      <w:tabs>
        <w:tab w:val="right" w:leader="dot" w:pos="8778"/>
      </w:tabs>
      <w:spacing w:line="276" w:lineRule="auto"/>
      <w:ind w:left="567"/>
    </w:pPr>
    <w:rPr>
      <w:i/>
    </w:rPr>
  </w:style>
  <w:style w:type="paragraph" w:styleId="TableofFigures">
    <w:name w:val="table of figures"/>
    <w:basedOn w:val="Normal"/>
    <w:uiPriority w:val="99"/>
    <w:qFormat/>
    <w:pPr>
      <w:tabs>
        <w:tab w:val="right" w:leader="dot" w:pos="8778"/>
      </w:tabs>
      <w:spacing w:after="40" w:line="300" w:lineRule="auto"/>
      <w:ind w:left="1134" w:hanging="1134"/>
    </w:pPr>
  </w:style>
  <w:style w:type="paragraph" w:styleId="TOCHeading">
    <w:name w:val="TOC Heading"/>
    <w:basedOn w:val="Normal"/>
    <w:qFormat/>
    <w:pPr>
      <w:keepNext/>
      <w:spacing w:before="240" w:after="120"/>
      <w:jc w:val="center"/>
    </w:pPr>
    <w:rPr>
      <w:b/>
      <w:bCs/>
    </w:rPr>
  </w:style>
  <w:style w:type="paragraph" w:styleId="FootnoteText">
    <w:name w:val="footnote text"/>
    <w:basedOn w:val="Normal"/>
    <w:qFormat/>
    <w:rPr>
      <w:sz w:val="20"/>
    </w:rPr>
  </w:style>
  <w:style w:type="paragraph" w:styleId="Footer">
    <w:name w:val="footer"/>
    <w:basedOn w:val="Normal"/>
    <w:qFormat/>
    <w:pPr>
      <w:tabs>
        <w:tab w:val="center" w:pos="4680"/>
        <w:tab w:val="right" w:pos="9360"/>
      </w:tabs>
      <w:jc w:val="center"/>
    </w:pPr>
  </w:style>
  <w:style w:type="paragraph" w:styleId="Caption">
    <w:name w:val="caption"/>
    <w:basedOn w:val="Normal"/>
    <w:qFormat/>
    <w:pPr>
      <w:jc w:val="center"/>
    </w:pPr>
    <w:rPr>
      <w:b/>
    </w:rPr>
  </w:style>
  <w:style w:type="paragraph" w:customStyle="1" w:styleId="ImageCaption">
    <w:name w:val="Image Caption"/>
    <w:basedOn w:val="Normal"/>
    <w:qFormat/>
    <w:pPr>
      <w:jc w:val="center"/>
    </w:pPr>
    <w:rPr>
      <w:b/>
    </w:rPr>
  </w:style>
  <w:style w:type="paragraph" w:customStyle="1" w:styleId="Figure">
    <w:name w:val="Figure"/>
    <w:basedOn w:val="Normal"/>
    <w:qFormat/>
    <w:pPr>
      <w:jc w:val="center"/>
    </w:pPr>
  </w:style>
  <w:style w:type="paragraph" w:customStyle="1" w:styleId="CaptionedFigure">
    <w:name w:val="Captioned Figure"/>
    <w:basedOn w:val="Normal"/>
    <w:qFormat/>
    <w:pPr>
      <w:keepNext/>
      <w:jc w:val="center"/>
    </w:pPr>
  </w:style>
  <w:style w:type="character" w:customStyle="1" w:styleId="BodyTextChar">
    <w:name w:val="Body Text Char"/>
    <w:basedOn w:val="DefaultParagraphFont"/>
  </w:style>
  <w:style w:type="character" w:customStyle="1" w:styleId="VerbatimChar">
    <w:name w:val="Verbatim Char"/>
    <w:link w:val="SourceCode"/>
    <w:rPr>
      <w:rFonts w:ascii="Consolas" w:hAnsi="Consolas"/>
      <w:sz w:val="22"/>
    </w:rPr>
  </w:style>
  <w:style w:type="character" w:customStyle="1" w:styleId="SectionNumber">
    <w:name w:val="Section Number"/>
  </w:style>
  <w:style w:type="character" w:styleId="FootnoteReference">
    <w:name w:val="footnote reference"/>
    <w:rPr>
      <w:vertAlign w:val="superscript"/>
    </w:rPr>
  </w:style>
  <w:style w:type="character" w:styleId="Hyperlink">
    <w:name w:val="Hyperlink"/>
    <w:uiPriority w:val="99"/>
    <w:rPr>
      <w:color w:val="000000"/>
    </w:rPr>
  </w:style>
  <w:style w:type="table" w:customStyle="1" w:styleId="Table">
    <w:name w:val="Table"/>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100" w:type="dxa"/>
        <w:bottom w:w="57" w:type="dxa"/>
        <w:right w:w="100" w:type="dxa"/>
      </w:tblCellMar>
    </w:tblPr>
    <w:tblStylePr w:type="firstRow">
      <w:rPr>
        <w:b/>
        <w:bCs/>
      </w:rPr>
      <w:tblPr/>
      <w:tcPr>
        <w:vAlign w:val="center"/>
      </w:tcPr>
    </w:tblStyle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F612F2"/>
    <w:pPr>
      <w:spacing w:before="100" w:beforeAutospacing="1" w:after="100" w:afterAutospacing="1"/>
    </w:pPr>
    <w:rPr>
      <w:sz w:val="24"/>
      <w:szCs w:val="24"/>
      <w:lang w:val="en-US"/>
    </w:rPr>
  </w:style>
  <w:style w:type="table" w:styleId="PlainTable2">
    <w:name w:val="Plain Table 2"/>
    <w:basedOn w:val="TableNormal"/>
    <w:uiPriority w:val="42"/>
    <w:rsid w:val="00512B8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0567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05677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QuickStyle" Target="diagrams/quickStyle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5" Type="http://schemas.openxmlformats.org/officeDocument/2006/relationships/webSettings" Target="webSettings.xml"/><Relationship Id="rId15" Type="http://schemas.microsoft.com/office/2007/relationships/diagramDrawing" Target="diagrams/drawing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0E5EC29-B935-43FC-A8DC-52B0A9EC61B2}" type="doc">
      <dgm:prSet loTypeId="urn:microsoft.com/office/officeart/2005/8/layout/vList5" loCatId="list" qsTypeId="urn:microsoft.com/office/officeart/2005/8/quickstyle/simple1" qsCatId="simple" csTypeId="urn:microsoft.com/office/officeart/2005/8/colors/accent0_1" csCatId="mainScheme" phldr="0"/>
      <dgm:spPr/>
      <dgm:t>
        <a:bodyPr/>
        <a:lstStyle/>
        <a:p>
          <a:endParaRPr lang="vi-VN"/>
        </a:p>
      </dgm:t>
    </dgm:pt>
    <dgm:pt modelId="{905B648B-5517-41B9-918D-DF4373E4CB86}">
      <dgm:prSet phldrT="[Text]" custT="1"/>
      <dgm:spPr/>
      <dgm:t>
        <a:bodyPr/>
        <a:lstStyle/>
        <a:p>
          <a:r>
            <a:rPr lang="vi-VN" sz="1300" b="1">
              <a:latin typeface="Times New Roman"/>
              <a:ea typeface="Times New Roman"/>
              <a:cs typeface="Times New Roman"/>
            </a:rPr>
            <a:t>Bước 1. Dữ liệu</a:t>
          </a:r>
        </a:p>
      </dgm:t>
    </dgm:pt>
    <dgm:pt modelId="{444403B0-AA7C-4AB4-88D1-0DB3B1A9372E}" type="parTrans" cxnId="{66E3993D-0009-4E3D-9595-ACC02B76B35B}">
      <dgm:prSet/>
      <dgm:spPr/>
      <dgm:t>
        <a:bodyPr/>
        <a:lstStyle/>
        <a:p>
          <a:endParaRPr lang="vi-VN"/>
        </a:p>
      </dgm:t>
    </dgm:pt>
    <dgm:pt modelId="{89B76813-B16A-45F7-8397-F70D13B34855}" type="sibTrans" cxnId="{66E3993D-0009-4E3D-9595-ACC02B76B35B}">
      <dgm:prSet/>
      <dgm:spPr/>
      <dgm:t>
        <a:bodyPr/>
        <a:lstStyle/>
        <a:p>
          <a:endParaRPr lang="vi-VN"/>
        </a:p>
      </dgm:t>
    </dgm:pt>
    <dgm:pt modelId="{1892D0D8-3048-4663-B368-EA8F196753F5}">
      <dgm:prSet phldrT="[Text]" custT="1"/>
      <dgm:spPr/>
      <dgm:t>
        <a:bodyPr/>
        <a:lstStyle/>
        <a:p>
          <a:r>
            <a:rPr lang="vi-VN" sz="1300" b="0">
              <a:latin typeface="Times New Roman"/>
              <a:ea typeface="Times New Roman"/>
              <a:cs typeface="Times New Roman"/>
            </a:rPr>
            <a:t>Điểm GFCI, dữ liệu Ngân hàng Thế giới</a:t>
          </a:r>
        </a:p>
      </dgm:t>
    </dgm:pt>
    <dgm:pt modelId="{C24A4B55-BF30-4222-9D81-E23CA1D8D159}" type="parTrans" cxnId="{1C5182EC-908F-4CA6-977D-3D7E78A40DB0}">
      <dgm:prSet/>
      <dgm:spPr/>
      <dgm:t>
        <a:bodyPr/>
        <a:lstStyle/>
        <a:p>
          <a:endParaRPr lang="vi-VN"/>
        </a:p>
      </dgm:t>
    </dgm:pt>
    <dgm:pt modelId="{F06BA536-4B4B-41E7-824D-1AAB306DB33D}" type="sibTrans" cxnId="{1C5182EC-908F-4CA6-977D-3D7E78A40DB0}">
      <dgm:prSet/>
      <dgm:spPr/>
      <dgm:t>
        <a:bodyPr/>
        <a:lstStyle/>
        <a:p>
          <a:endParaRPr lang="vi-VN"/>
        </a:p>
      </dgm:t>
    </dgm:pt>
    <dgm:pt modelId="{81B25BD4-7170-46DC-9005-D31BF0FA76D6}">
      <dgm:prSet phldrT="[Text]" custT="1"/>
      <dgm:spPr/>
      <dgm:t>
        <a:bodyPr/>
        <a:lstStyle/>
        <a:p>
          <a:r>
            <a:rPr lang="vi-VN" sz="1300" b="0">
              <a:latin typeface="Times New Roman"/>
              <a:ea typeface="Times New Roman"/>
              <a:cs typeface="Times New Roman"/>
            </a:rPr>
            <a:t>Giá, khối lượng, công bố của ba sàn</a:t>
          </a:r>
        </a:p>
      </dgm:t>
    </dgm:pt>
    <dgm:pt modelId="{19902BE4-BB93-4A3F-8D8F-2475B70B6EAF}" type="parTrans" cxnId="{A152E675-CAE8-43C2-8B26-2590A12E4D9D}">
      <dgm:prSet/>
      <dgm:spPr/>
      <dgm:t>
        <a:bodyPr/>
        <a:lstStyle/>
        <a:p>
          <a:endParaRPr lang="vi-VN"/>
        </a:p>
      </dgm:t>
    </dgm:pt>
    <dgm:pt modelId="{78273206-6345-4914-BEBF-6064DB044DF5}" type="sibTrans" cxnId="{A152E675-CAE8-43C2-8B26-2590A12E4D9D}">
      <dgm:prSet/>
      <dgm:spPr/>
      <dgm:t>
        <a:bodyPr/>
        <a:lstStyle/>
        <a:p>
          <a:endParaRPr lang="vi-VN"/>
        </a:p>
      </dgm:t>
    </dgm:pt>
    <dgm:pt modelId="{A3DD26F5-7A4C-4FE7-BB87-09033191052E}">
      <dgm:prSet phldrT="[Text]" custT="1"/>
      <dgm:spPr/>
      <dgm:t>
        <a:bodyPr/>
        <a:lstStyle/>
        <a:p>
          <a:r>
            <a:rPr lang="vi-VN" sz="1300" b="1">
              <a:latin typeface="Times New Roman"/>
              <a:ea typeface="Times New Roman"/>
              <a:cs typeface="Times New Roman"/>
            </a:rPr>
            <a:t>Bước 2. Chỉ số chất lượng thị trường</a:t>
          </a:r>
        </a:p>
      </dgm:t>
    </dgm:pt>
    <dgm:pt modelId="{36FD9F39-FBD6-4A3E-A105-5B4568F07749}" type="parTrans" cxnId="{1D843DEE-0356-4FC9-A748-6AD54116F4FF}">
      <dgm:prSet/>
      <dgm:spPr/>
      <dgm:t>
        <a:bodyPr/>
        <a:lstStyle/>
        <a:p>
          <a:endParaRPr lang="vi-VN"/>
        </a:p>
      </dgm:t>
    </dgm:pt>
    <dgm:pt modelId="{953F582A-91AF-42B8-B2DA-4608C2DD8D71}" type="sibTrans" cxnId="{1D843DEE-0356-4FC9-A748-6AD54116F4FF}">
      <dgm:prSet/>
      <dgm:spPr/>
      <dgm:t>
        <a:bodyPr/>
        <a:lstStyle/>
        <a:p>
          <a:endParaRPr lang="vi-VN"/>
        </a:p>
      </dgm:t>
    </dgm:pt>
    <dgm:pt modelId="{A38E62D7-2FC3-43DA-B63E-DF0A64077B83}">
      <dgm:prSet phldrT="[Text]" custT="1"/>
      <dgm:spPr/>
      <dgm:t>
        <a:bodyPr/>
        <a:lstStyle/>
        <a:p>
          <a:r>
            <a:rPr lang="vi-VN" sz="1300" b="0">
              <a:latin typeface="Times New Roman"/>
              <a:ea typeface="Times New Roman"/>
              <a:cs typeface="Times New Roman"/>
            </a:rPr>
            <a:t>Thanh khoản, hiệu quả, minh bạch</a:t>
          </a:r>
        </a:p>
      </dgm:t>
    </dgm:pt>
    <dgm:pt modelId="{3AB51838-B1E4-4E44-8DBB-E5C95EE6EA0F}" type="parTrans" cxnId="{0C7D8336-0CD2-46D8-A152-745B5AED1FBA}">
      <dgm:prSet/>
      <dgm:spPr/>
      <dgm:t>
        <a:bodyPr/>
        <a:lstStyle/>
        <a:p>
          <a:endParaRPr lang="vi-VN"/>
        </a:p>
      </dgm:t>
    </dgm:pt>
    <dgm:pt modelId="{508487B2-3364-4458-9436-05049DF80378}" type="sibTrans" cxnId="{0C7D8336-0CD2-46D8-A152-745B5AED1FBA}">
      <dgm:prSet/>
      <dgm:spPr/>
      <dgm:t>
        <a:bodyPr/>
        <a:lstStyle/>
        <a:p>
          <a:endParaRPr lang="vi-VN"/>
        </a:p>
      </dgm:t>
    </dgm:pt>
    <dgm:pt modelId="{911D3D38-4878-4487-9C38-283A49674C08}">
      <dgm:prSet phldrT="[Text]" custT="1"/>
      <dgm:spPr/>
      <dgm:t>
        <a:bodyPr/>
        <a:lstStyle/>
        <a:p>
          <a:r>
            <a:rPr lang="vi-VN" sz="1300" b="0">
              <a:latin typeface="Times New Roman"/>
              <a:ea typeface="Times New Roman"/>
              <a:cs typeface="Times New Roman"/>
            </a:rPr>
            <a:t>Trước hợp nhất, HNX so với HOSE: H2</a:t>
          </a:r>
        </a:p>
      </dgm:t>
    </dgm:pt>
    <dgm:pt modelId="{A40D3603-7856-467A-B50A-7C88CDD908FE}" type="parTrans" cxnId="{D227E64B-98B2-4587-BE11-AB4D1B728D93}">
      <dgm:prSet/>
      <dgm:spPr/>
      <dgm:t>
        <a:bodyPr/>
        <a:lstStyle/>
        <a:p>
          <a:endParaRPr lang="vi-VN"/>
        </a:p>
      </dgm:t>
    </dgm:pt>
    <dgm:pt modelId="{AC0EC7E2-0D05-4827-961D-4CBE00EB9039}" type="sibTrans" cxnId="{D227E64B-98B2-4587-BE11-AB4D1B728D93}">
      <dgm:prSet/>
      <dgm:spPr/>
      <dgm:t>
        <a:bodyPr/>
        <a:lstStyle/>
        <a:p>
          <a:endParaRPr lang="vi-VN"/>
        </a:p>
      </dgm:t>
    </dgm:pt>
    <dgm:pt modelId="{C2ADA40F-7FD2-4BE7-A6A4-5DF94DFB3EDF}">
      <dgm:prSet phldrT="[Text]" custT="1"/>
      <dgm:spPr/>
      <dgm:t>
        <a:bodyPr/>
        <a:lstStyle/>
        <a:p>
          <a:r>
            <a:rPr lang="vi-VN" sz="1300" b="1">
              <a:latin typeface="Times New Roman"/>
              <a:ea typeface="Times New Roman"/>
              <a:cs typeface="Times New Roman"/>
            </a:rPr>
            <a:t>Bước 3. Bằng chứng quốc tế</a:t>
          </a:r>
        </a:p>
      </dgm:t>
    </dgm:pt>
    <dgm:pt modelId="{0AB4B741-466E-4CEA-ACB3-1CBFFDA5110F}" type="parTrans" cxnId="{9AAB6D26-0F27-495C-B818-D3B5B7E77134}">
      <dgm:prSet/>
      <dgm:spPr/>
      <dgm:t>
        <a:bodyPr/>
        <a:lstStyle/>
        <a:p>
          <a:endParaRPr lang="vi-VN"/>
        </a:p>
      </dgm:t>
    </dgm:pt>
    <dgm:pt modelId="{B482F30E-FA0F-4A9A-967B-57C61F0A2EE7}" type="sibTrans" cxnId="{9AAB6D26-0F27-495C-B818-D3B5B7E77134}">
      <dgm:prSet/>
      <dgm:spPr/>
      <dgm:t>
        <a:bodyPr/>
        <a:lstStyle/>
        <a:p>
          <a:endParaRPr lang="vi-VN"/>
        </a:p>
      </dgm:t>
    </dgm:pt>
    <dgm:pt modelId="{968DE21C-1ADB-4549-85D1-3D19F5CB7995}">
      <dgm:prSet phldrT="[Text]" custT="1"/>
      <dgm:spPr/>
      <dgm:t>
        <a:bodyPr/>
        <a:lstStyle/>
        <a:p>
          <a:r>
            <a:rPr lang="vi-VN" sz="1300" b="0">
              <a:latin typeface="Times New Roman"/>
              <a:ea typeface="Times New Roman"/>
              <a:cs typeface="Times New Roman"/>
            </a:rPr>
            <a:t>Hồi quy dữ liệu bảng điểm GFCI</a:t>
          </a:r>
        </a:p>
      </dgm:t>
    </dgm:pt>
    <dgm:pt modelId="{1FF8A868-C726-4FBE-82C9-EA260D6174C9}" type="parTrans" cxnId="{713F9590-91E3-4227-AFED-E57399C303F8}">
      <dgm:prSet/>
      <dgm:spPr/>
      <dgm:t>
        <a:bodyPr/>
        <a:lstStyle/>
        <a:p>
          <a:endParaRPr lang="vi-VN"/>
        </a:p>
      </dgm:t>
    </dgm:pt>
    <dgm:pt modelId="{52A976F2-260E-4A52-9C50-F9580FCFDD9C}" type="sibTrans" cxnId="{713F9590-91E3-4227-AFED-E57399C303F8}">
      <dgm:prSet/>
      <dgm:spPr/>
      <dgm:t>
        <a:bodyPr/>
        <a:lstStyle/>
        <a:p>
          <a:endParaRPr lang="vi-VN"/>
        </a:p>
      </dgm:t>
    </dgm:pt>
    <dgm:pt modelId="{2A6803AC-3514-4198-B128-69CD82766CFC}">
      <dgm:prSet phldrT="[Text]" custT="1"/>
      <dgm:spPr/>
      <dgm:t>
        <a:bodyPr/>
        <a:lstStyle/>
        <a:p>
          <a:r>
            <a:rPr lang="vi-VN" sz="1300" b="0">
              <a:latin typeface="Times New Roman"/>
              <a:ea typeface="Times New Roman"/>
              <a:cs typeface="Times New Roman"/>
            </a:rPr>
            <a:t>Kiểm định H1</a:t>
          </a:r>
        </a:p>
      </dgm:t>
    </dgm:pt>
    <dgm:pt modelId="{3F417067-009E-4F04-ABAF-FA3F9876EA2F}" type="parTrans" cxnId="{87BCB105-B1A6-4F15-87FA-DED88D09F7BC}">
      <dgm:prSet/>
      <dgm:spPr/>
      <dgm:t>
        <a:bodyPr/>
        <a:lstStyle/>
        <a:p>
          <a:endParaRPr lang="vi-VN"/>
        </a:p>
      </dgm:t>
    </dgm:pt>
    <dgm:pt modelId="{4A2CEB39-F361-4D26-A078-B617826E4886}" type="sibTrans" cxnId="{87BCB105-B1A6-4F15-87FA-DED88D09F7BC}">
      <dgm:prSet/>
      <dgm:spPr/>
      <dgm:t>
        <a:bodyPr/>
        <a:lstStyle/>
        <a:p>
          <a:endParaRPr lang="vi-VN"/>
        </a:p>
      </dgm:t>
    </dgm:pt>
    <dgm:pt modelId="{F6A68DFE-8671-4160-B4A8-7013D44E51CB}">
      <dgm:prSet phldrT="[Text]" custT="1"/>
      <dgm:spPr/>
      <dgm:t>
        <a:bodyPr/>
        <a:lstStyle/>
        <a:p>
          <a:r>
            <a:rPr lang="vi-VN" sz="1300" b="1">
              <a:latin typeface="Times New Roman"/>
              <a:ea typeface="Times New Roman"/>
              <a:cs typeface="Times New Roman"/>
            </a:rPr>
            <a:t>Bước 4. Sự kiện chuyển sàn</a:t>
          </a:r>
        </a:p>
      </dgm:t>
    </dgm:pt>
    <dgm:pt modelId="{817F9D70-A8E6-46A2-8C98-2FEB24F04C0E}" type="parTrans" cxnId="{BA111658-91AF-477E-812F-008906452E03}">
      <dgm:prSet/>
      <dgm:spPr/>
      <dgm:t>
        <a:bodyPr/>
        <a:lstStyle/>
        <a:p>
          <a:endParaRPr lang="vi-VN"/>
        </a:p>
      </dgm:t>
    </dgm:pt>
    <dgm:pt modelId="{1725503C-5F2B-4797-B086-3696F50210F3}" type="sibTrans" cxnId="{BA111658-91AF-477E-812F-008906452E03}">
      <dgm:prSet/>
      <dgm:spPr/>
      <dgm:t>
        <a:bodyPr/>
        <a:lstStyle/>
        <a:p>
          <a:endParaRPr lang="vi-VN"/>
        </a:p>
      </dgm:t>
    </dgm:pt>
    <dgm:pt modelId="{52A667BB-500C-4CD0-B771-784C6AC19FBA}">
      <dgm:prSet phldrT="[Text]" custT="1"/>
      <dgm:spPr/>
      <dgm:t>
        <a:bodyPr/>
        <a:lstStyle/>
        <a:p>
          <a:r>
            <a:rPr lang="vi-VN" sz="1300" b="0">
              <a:latin typeface="Times New Roman"/>
              <a:ea typeface="Times New Roman"/>
              <a:cs typeface="Times New Roman"/>
            </a:rPr>
            <a:t>Khác biệt kép quanh 28/12/2026: H3</a:t>
          </a:r>
        </a:p>
      </dgm:t>
    </dgm:pt>
    <dgm:pt modelId="{7D3847D4-1AA4-4107-9F73-5EBBC968218B}" type="parTrans" cxnId="{A3C19139-96FB-409B-9207-B402F8EA7C97}">
      <dgm:prSet/>
      <dgm:spPr/>
      <dgm:t>
        <a:bodyPr/>
        <a:lstStyle/>
        <a:p>
          <a:endParaRPr lang="vi-VN"/>
        </a:p>
      </dgm:t>
    </dgm:pt>
    <dgm:pt modelId="{0C0524B3-F9CC-4B76-9052-4A440475A505}" type="sibTrans" cxnId="{A3C19139-96FB-409B-9207-B402F8EA7C97}">
      <dgm:prSet/>
      <dgm:spPr/>
      <dgm:t>
        <a:bodyPr/>
        <a:lstStyle/>
        <a:p>
          <a:endParaRPr lang="vi-VN"/>
        </a:p>
      </dgm:t>
    </dgm:pt>
    <dgm:pt modelId="{469ED81A-88C1-4923-9697-6E2619930091}">
      <dgm:prSet phldrT="[Text]" custT="1"/>
      <dgm:spPr/>
      <dgm:t>
        <a:bodyPr/>
        <a:lstStyle/>
        <a:p>
          <a:r>
            <a:rPr lang="vi-VN" sz="1300" b="0">
              <a:latin typeface="Times New Roman"/>
              <a:ea typeface="Times New Roman"/>
              <a:cs typeface="Times New Roman"/>
            </a:rPr>
            <a:t>Khả năng đầu tư trước và sau: H4 (ước lượng)</a:t>
          </a:r>
        </a:p>
      </dgm:t>
    </dgm:pt>
    <dgm:pt modelId="{5E83756F-3176-47E1-A338-64B0F829793B}" type="parTrans" cxnId="{02D0C366-AF0B-4F8E-BE5C-5DC1E2150FAB}">
      <dgm:prSet/>
      <dgm:spPr/>
      <dgm:t>
        <a:bodyPr/>
        <a:lstStyle/>
        <a:p>
          <a:endParaRPr lang="vi-VN"/>
        </a:p>
      </dgm:t>
    </dgm:pt>
    <dgm:pt modelId="{8C45754F-B2E9-4B2B-B3D4-55C19E55379B}" type="sibTrans" cxnId="{02D0C366-AF0B-4F8E-BE5C-5DC1E2150FAB}">
      <dgm:prSet/>
      <dgm:spPr/>
      <dgm:t>
        <a:bodyPr/>
        <a:lstStyle/>
        <a:p>
          <a:endParaRPr lang="vi-VN"/>
        </a:p>
      </dgm:t>
    </dgm:pt>
    <dgm:pt modelId="{31B6847F-7FC0-407B-8FCB-1885E7C41A7C}">
      <dgm:prSet phldrT="[Text]" custT="1"/>
      <dgm:spPr/>
      <dgm:t>
        <a:bodyPr/>
        <a:lstStyle/>
        <a:p>
          <a:r>
            <a:rPr lang="vi-VN" sz="1300" b="1">
              <a:latin typeface="Times New Roman"/>
              <a:ea typeface="Times New Roman"/>
              <a:cs typeface="Times New Roman"/>
            </a:rPr>
            <a:t>Bước 5. Hàm ý cho Hà Nội</a:t>
          </a:r>
        </a:p>
      </dgm:t>
    </dgm:pt>
    <dgm:pt modelId="{175FC084-C7CD-4AD5-99B2-AB3C76E38132}" type="parTrans" cxnId="{0955CE68-5449-4B12-B019-BF188CF1F836}">
      <dgm:prSet/>
      <dgm:spPr/>
      <dgm:t>
        <a:bodyPr/>
        <a:lstStyle/>
        <a:p>
          <a:endParaRPr lang="vi-VN"/>
        </a:p>
      </dgm:t>
    </dgm:pt>
    <dgm:pt modelId="{63D2B4AB-EFE8-4EBA-AC89-EB13FFB77A2B}" type="sibTrans" cxnId="{0955CE68-5449-4B12-B019-BF188CF1F836}">
      <dgm:prSet/>
      <dgm:spPr/>
      <dgm:t>
        <a:bodyPr/>
        <a:lstStyle/>
        <a:p>
          <a:endParaRPr lang="vi-VN"/>
        </a:p>
      </dgm:t>
    </dgm:pt>
    <dgm:pt modelId="{05D52169-53A1-419D-AE13-92A6DDCD8A3C}">
      <dgm:prSet phldrT="[Text]" custT="1"/>
      <dgm:spPr/>
      <dgm:t>
        <a:bodyPr/>
        <a:lstStyle/>
        <a:p>
          <a:r>
            <a:rPr lang="vi-VN" sz="1300" b="0">
              <a:latin typeface="Times New Roman"/>
              <a:ea typeface="Times New Roman"/>
              <a:cs typeface="Times New Roman"/>
            </a:rPr>
            <a:t>Tổng hợp định hướng chuyên môn hóa</a:t>
          </a:r>
        </a:p>
      </dgm:t>
    </dgm:pt>
    <dgm:pt modelId="{0C95FFBB-96CA-4B29-85DF-F491E05FEE12}" type="parTrans" cxnId="{7E6CC733-7287-4C7C-8400-34321BAED9FF}">
      <dgm:prSet/>
      <dgm:spPr/>
      <dgm:t>
        <a:bodyPr/>
        <a:lstStyle/>
        <a:p>
          <a:endParaRPr lang="vi-VN"/>
        </a:p>
      </dgm:t>
    </dgm:pt>
    <dgm:pt modelId="{28E0EA15-A065-4B8C-9132-E4E51FD54B27}" type="sibTrans" cxnId="{7E6CC733-7287-4C7C-8400-34321BAED9FF}">
      <dgm:prSet/>
      <dgm:spPr/>
      <dgm:t>
        <a:bodyPr/>
        <a:lstStyle/>
        <a:p>
          <a:endParaRPr lang="vi-VN"/>
        </a:p>
      </dgm:t>
    </dgm:pt>
    <dgm:pt modelId="{A491FD41-192C-4D28-8F6F-06396170B6F7}">
      <dgm:prSet phldrT="[Text]" custT="1"/>
      <dgm:spPr/>
      <dgm:t>
        <a:bodyPr/>
        <a:lstStyle/>
        <a:p>
          <a:r>
            <a:rPr lang="vi-VN" sz="1300" b="0">
              <a:latin typeface="Times New Roman"/>
              <a:ea typeface="Times New Roman"/>
              <a:cs typeface="Times New Roman"/>
            </a:rPr>
            <a:t>Đề xuất chính sách, hạ tầng dữ liệu</a:t>
          </a:r>
        </a:p>
      </dgm:t>
    </dgm:pt>
    <dgm:pt modelId="{5020D4FA-C480-4E9A-A109-6CAE685CECBC}" type="parTrans" cxnId="{5C41A22A-D862-4A21-B018-267A51D871A0}">
      <dgm:prSet/>
      <dgm:spPr/>
      <dgm:t>
        <a:bodyPr/>
        <a:lstStyle/>
        <a:p>
          <a:endParaRPr lang="vi-VN"/>
        </a:p>
      </dgm:t>
    </dgm:pt>
    <dgm:pt modelId="{4808E0B8-34DD-4732-9C3C-B558F60365B6}" type="sibTrans" cxnId="{5C41A22A-D862-4A21-B018-267A51D871A0}">
      <dgm:prSet/>
      <dgm:spPr/>
      <dgm:t>
        <a:bodyPr/>
        <a:lstStyle/>
        <a:p>
          <a:endParaRPr lang="vi-VN"/>
        </a:p>
      </dgm:t>
    </dgm:pt>
    <dgm:pt modelId="{1DFCA981-FC5D-4CD2-82E1-3A1132AB10E0}" type="pres">
      <dgm:prSet presAssocID="{F0E5EC29-B935-43FC-A8DC-52B0A9EC61B2}" presName="Name0" presStyleCnt="0">
        <dgm:presLayoutVars>
          <dgm:dir/>
          <dgm:animLvl val="lvl"/>
          <dgm:resizeHandles val="exact"/>
        </dgm:presLayoutVars>
      </dgm:prSet>
      <dgm:spPr/>
    </dgm:pt>
    <dgm:pt modelId="{DB0BD9BE-1482-41E0-A7C0-E083D02C46FB}" type="pres">
      <dgm:prSet presAssocID="{905B648B-5517-41B9-918D-DF4373E4CB86}" presName="linNode" presStyleCnt="0"/>
      <dgm:spPr/>
    </dgm:pt>
    <dgm:pt modelId="{78789BBE-4898-4099-9C91-99A0869FA37D}" type="pres">
      <dgm:prSet presAssocID="{905B648B-5517-41B9-918D-DF4373E4CB86}" presName="parentText" presStyleLbl="node1" presStyleIdx="0" presStyleCnt="5">
        <dgm:presLayoutVars>
          <dgm:chMax val="1"/>
          <dgm:bulletEnabled val="1"/>
        </dgm:presLayoutVars>
      </dgm:prSet>
      <dgm:spPr/>
    </dgm:pt>
    <dgm:pt modelId="{57C4B712-EE35-450A-B883-71F107516DEB}" type="pres">
      <dgm:prSet presAssocID="{905B648B-5517-41B9-918D-DF4373E4CB86}" presName="descendantText" presStyleLbl="alignAccFollowNode1" presStyleIdx="0" presStyleCnt="5">
        <dgm:presLayoutVars>
          <dgm:bulletEnabled val="1"/>
        </dgm:presLayoutVars>
      </dgm:prSet>
      <dgm:spPr/>
    </dgm:pt>
    <dgm:pt modelId="{323B1D3F-5F3E-4FE1-8585-8E19C7034BCE}" type="pres">
      <dgm:prSet presAssocID="{89B76813-B16A-45F7-8397-F70D13B34855}" presName="sp" presStyleCnt="0"/>
      <dgm:spPr/>
    </dgm:pt>
    <dgm:pt modelId="{5AF48F84-71A8-45BF-9187-874F196C425B}" type="pres">
      <dgm:prSet presAssocID="{A3DD26F5-7A4C-4FE7-BB87-09033191052E}" presName="linNode" presStyleCnt="0"/>
      <dgm:spPr/>
    </dgm:pt>
    <dgm:pt modelId="{F9B13E8C-0FA6-4389-81A2-1617E638414A}" type="pres">
      <dgm:prSet presAssocID="{A3DD26F5-7A4C-4FE7-BB87-09033191052E}" presName="parentText" presStyleLbl="node1" presStyleIdx="1" presStyleCnt="5">
        <dgm:presLayoutVars>
          <dgm:chMax val="1"/>
          <dgm:bulletEnabled val="1"/>
        </dgm:presLayoutVars>
      </dgm:prSet>
      <dgm:spPr/>
    </dgm:pt>
    <dgm:pt modelId="{37A6B501-4217-48D9-A852-741DD34D4155}" type="pres">
      <dgm:prSet presAssocID="{A3DD26F5-7A4C-4FE7-BB87-09033191052E}" presName="descendantText" presStyleLbl="alignAccFollowNode1" presStyleIdx="1" presStyleCnt="5">
        <dgm:presLayoutVars>
          <dgm:bulletEnabled val="1"/>
        </dgm:presLayoutVars>
      </dgm:prSet>
      <dgm:spPr/>
    </dgm:pt>
    <dgm:pt modelId="{9EB5782C-335D-4D14-9E37-F47B7BEE0957}" type="pres">
      <dgm:prSet presAssocID="{953F582A-91AF-42B8-B2DA-4608C2DD8D71}" presName="sp" presStyleCnt="0"/>
      <dgm:spPr/>
    </dgm:pt>
    <dgm:pt modelId="{BA077992-5F1F-4A89-922C-380EB13DF06C}" type="pres">
      <dgm:prSet presAssocID="{C2ADA40F-7FD2-4BE7-A6A4-5DF94DFB3EDF}" presName="linNode" presStyleCnt="0"/>
      <dgm:spPr/>
    </dgm:pt>
    <dgm:pt modelId="{12C1161B-045F-4C04-A313-E29554BBDE91}" type="pres">
      <dgm:prSet presAssocID="{C2ADA40F-7FD2-4BE7-A6A4-5DF94DFB3EDF}" presName="parentText" presStyleLbl="node1" presStyleIdx="2" presStyleCnt="5">
        <dgm:presLayoutVars>
          <dgm:chMax val="1"/>
          <dgm:bulletEnabled val="1"/>
        </dgm:presLayoutVars>
      </dgm:prSet>
      <dgm:spPr/>
    </dgm:pt>
    <dgm:pt modelId="{D7F731B8-EDAE-434B-9AC4-4F52E56AF9D5}" type="pres">
      <dgm:prSet presAssocID="{C2ADA40F-7FD2-4BE7-A6A4-5DF94DFB3EDF}" presName="descendantText" presStyleLbl="alignAccFollowNode1" presStyleIdx="2" presStyleCnt="5">
        <dgm:presLayoutVars>
          <dgm:bulletEnabled val="1"/>
        </dgm:presLayoutVars>
      </dgm:prSet>
      <dgm:spPr/>
    </dgm:pt>
    <dgm:pt modelId="{E897DF53-0DD5-4B6B-952D-ADFE9CC2431D}" type="pres">
      <dgm:prSet presAssocID="{B482F30E-FA0F-4A9A-967B-57C61F0A2EE7}" presName="sp" presStyleCnt="0"/>
      <dgm:spPr/>
    </dgm:pt>
    <dgm:pt modelId="{BB393C05-5A82-4C38-92ED-8F9CD53DEA9C}" type="pres">
      <dgm:prSet presAssocID="{F6A68DFE-8671-4160-B4A8-7013D44E51CB}" presName="linNode" presStyleCnt="0"/>
      <dgm:spPr/>
    </dgm:pt>
    <dgm:pt modelId="{B9D1539B-EC1A-4FB6-9BB8-5AD744B651B6}" type="pres">
      <dgm:prSet presAssocID="{F6A68DFE-8671-4160-B4A8-7013D44E51CB}" presName="parentText" presStyleLbl="node1" presStyleIdx="3" presStyleCnt="5">
        <dgm:presLayoutVars>
          <dgm:chMax val="1"/>
          <dgm:bulletEnabled val="1"/>
        </dgm:presLayoutVars>
      </dgm:prSet>
      <dgm:spPr/>
    </dgm:pt>
    <dgm:pt modelId="{1015202B-F803-41E6-ACBE-EFE0F11981FE}" type="pres">
      <dgm:prSet presAssocID="{F6A68DFE-8671-4160-B4A8-7013D44E51CB}" presName="descendantText" presStyleLbl="alignAccFollowNode1" presStyleIdx="3" presStyleCnt="5">
        <dgm:presLayoutVars>
          <dgm:bulletEnabled val="1"/>
        </dgm:presLayoutVars>
      </dgm:prSet>
      <dgm:spPr/>
    </dgm:pt>
    <dgm:pt modelId="{C6FCC61E-1B19-4E48-A843-35F8FD29BDFF}" type="pres">
      <dgm:prSet presAssocID="{1725503C-5F2B-4797-B086-3696F50210F3}" presName="sp" presStyleCnt="0"/>
      <dgm:spPr/>
    </dgm:pt>
    <dgm:pt modelId="{0BBD14F3-2DF0-4B72-A4D4-5442232D43F8}" type="pres">
      <dgm:prSet presAssocID="{31B6847F-7FC0-407B-8FCB-1885E7C41A7C}" presName="linNode" presStyleCnt="0"/>
      <dgm:spPr/>
    </dgm:pt>
    <dgm:pt modelId="{FC5A03C8-A193-4988-89F9-C15C3F413212}" type="pres">
      <dgm:prSet presAssocID="{31B6847F-7FC0-407B-8FCB-1885E7C41A7C}" presName="parentText" presStyleLbl="node1" presStyleIdx="4" presStyleCnt="5">
        <dgm:presLayoutVars>
          <dgm:chMax val="1"/>
          <dgm:bulletEnabled val="1"/>
        </dgm:presLayoutVars>
      </dgm:prSet>
      <dgm:spPr/>
    </dgm:pt>
    <dgm:pt modelId="{A149E8D8-6B57-420B-A154-DCF9B92EDD3B}" type="pres">
      <dgm:prSet presAssocID="{31B6847F-7FC0-407B-8FCB-1885E7C41A7C}" presName="descendantText" presStyleLbl="alignAccFollowNode1" presStyleIdx="4" presStyleCnt="5">
        <dgm:presLayoutVars>
          <dgm:bulletEnabled val="1"/>
        </dgm:presLayoutVars>
      </dgm:prSet>
      <dgm:spPr/>
    </dgm:pt>
  </dgm:ptLst>
  <dgm:cxnLst>
    <dgm:cxn modelId="{87BCB105-B1A6-4F15-87FA-DED88D09F7BC}" srcId="{C2ADA40F-7FD2-4BE7-A6A4-5DF94DFB3EDF}" destId="{2A6803AC-3514-4198-B128-69CD82766CFC}" srcOrd="1" destOrd="0" parTransId="{3F417067-009E-4F04-ABAF-FA3F9876EA2F}" sibTransId="{4A2CEB39-F361-4D26-A078-B617826E4886}"/>
    <dgm:cxn modelId="{998B2C0A-2196-4F48-B3BA-A7D4EFD067C5}" type="presOf" srcId="{A38E62D7-2FC3-43DA-B63E-DF0A64077B83}" destId="{37A6B501-4217-48D9-A852-741DD34D4155}" srcOrd="0" destOrd="0" presId="urn:microsoft.com/office/officeart/2005/8/layout/vList5"/>
    <dgm:cxn modelId="{7CC50E0E-7FC8-49CC-831D-96C9AE9A1D6E}" type="presOf" srcId="{911D3D38-4878-4487-9C38-283A49674C08}" destId="{37A6B501-4217-48D9-A852-741DD34D4155}" srcOrd="0" destOrd="1" presId="urn:microsoft.com/office/officeart/2005/8/layout/vList5"/>
    <dgm:cxn modelId="{9AAB6D26-0F27-495C-B818-D3B5B7E77134}" srcId="{F0E5EC29-B935-43FC-A8DC-52B0A9EC61B2}" destId="{C2ADA40F-7FD2-4BE7-A6A4-5DF94DFB3EDF}" srcOrd="2" destOrd="0" parTransId="{0AB4B741-466E-4CEA-ACB3-1CBFFDA5110F}" sibTransId="{B482F30E-FA0F-4A9A-967B-57C61F0A2EE7}"/>
    <dgm:cxn modelId="{5C41A22A-D862-4A21-B018-267A51D871A0}" srcId="{31B6847F-7FC0-407B-8FCB-1885E7C41A7C}" destId="{A491FD41-192C-4D28-8F6F-06396170B6F7}" srcOrd="1" destOrd="0" parTransId="{5020D4FA-C480-4E9A-A109-6CAE685CECBC}" sibTransId="{4808E0B8-34DD-4732-9C3C-B558F60365B6}"/>
    <dgm:cxn modelId="{7E6CC733-7287-4C7C-8400-34321BAED9FF}" srcId="{31B6847F-7FC0-407B-8FCB-1885E7C41A7C}" destId="{05D52169-53A1-419D-AE13-92A6DDCD8A3C}" srcOrd="0" destOrd="0" parTransId="{0C95FFBB-96CA-4B29-85DF-F491E05FEE12}" sibTransId="{28E0EA15-A065-4B8C-9132-E4E51FD54B27}"/>
    <dgm:cxn modelId="{0C7D8336-0CD2-46D8-A152-745B5AED1FBA}" srcId="{A3DD26F5-7A4C-4FE7-BB87-09033191052E}" destId="{A38E62D7-2FC3-43DA-B63E-DF0A64077B83}" srcOrd="0" destOrd="0" parTransId="{3AB51838-B1E4-4E44-8DBB-E5C95EE6EA0F}" sibTransId="{508487B2-3364-4458-9436-05049DF80378}"/>
    <dgm:cxn modelId="{A3C19139-96FB-409B-9207-B402F8EA7C97}" srcId="{F6A68DFE-8671-4160-B4A8-7013D44E51CB}" destId="{52A667BB-500C-4CD0-B771-784C6AC19FBA}" srcOrd="0" destOrd="0" parTransId="{7D3847D4-1AA4-4107-9F73-5EBBC968218B}" sibTransId="{0C0524B3-F9CC-4B76-9052-4A440475A505}"/>
    <dgm:cxn modelId="{66E3993D-0009-4E3D-9595-ACC02B76B35B}" srcId="{F0E5EC29-B935-43FC-A8DC-52B0A9EC61B2}" destId="{905B648B-5517-41B9-918D-DF4373E4CB86}" srcOrd="0" destOrd="0" parTransId="{444403B0-AA7C-4AB4-88D1-0DB3B1A9372E}" sibTransId="{89B76813-B16A-45F7-8397-F70D13B34855}"/>
    <dgm:cxn modelId="{25B26740-8CE8-46D3-93E3-CC3BA648106B}" type="presOf" srcId="{C2ADA40F-7FD2-4BE7-A6A4-5DF94DFB3EDF}" destId="{12C1161B-045F-4C04-A313-E29554BBDE91}" srcOrd="0" destOrd="0" presId="urn:microsoft.com/office/officeart/2005/8/layout/vList5"/>
    <dgm:cxn modelId="{36E9C54B-A27D-41E7-968C-568F35548C59}" type="presOf" srcId="{81B25BD4-7170-46DC-9005-D31BF0FA76D6}" destId="{57C4B712-EE35-450A-B883-71F107516DEB}" srcOrd="0" destOrd="1" presId="urn:microsoft.com/office/officeart/2005/8/layout/vList5"/>
    <dgm:cxn modelId="{D227E64B-98B2-4587-BE11-AB4D1B728D93}" srcId="{A3DD26F5-7A4C-4FE7-BB87-09033191052E}" destId="{911D3D38-4878-4487-9C38-283A49674C08}" srcOrd="1" destOrd="0" parTransId="{A40D3603-7856-467A-B50A-7C88CDD908FE}" sibTransId="{AC0EC7E2-0D05-4827-961D-4CBE00EB9039}"/>
    <dgm:cxn modelId="{DFF87951-2B75-4795-9F0C-0C85DB3E645E}" type="presOf" srcId="{52A667BB-500C-4CD0-B771-784C6AC19FBA}" destId="{1015202B-F803-41E6-ACBE-EFE0F11981FE}" srcOrd="0" destOrd="0" presId="urn:microsoft.com/office/officeart/2005/8/layout/vList5"/>
    <dgm:cxn modelId="{A384E351-A210-4AC9-96B7-16E4943900F9}" type="presOf" srcId="{31B6847F-7FC0-407B-8FCB-1885E7C41A7C}" destId="{FC5A03C8-A193-4988-89F9-C15C3F413212}" srcOrd="0" destOrd="0" presId="urn:microsoft.com/office/officeart/2005/8/layout/vList5"/>
    <dgm:cxn modelId="{BA111658-91AF-477E-812F-008906452E03}" srcId="{F0E5EC29-B935-43FC-A8DC-52B0A9EC61B2}" destId="{F6A68DFE-8671-4160-B4A8-7013D44E51CB}" srcOrd="3" destOrd="0" parTransId="{817F9D70-A8E6-46A2-8C98-2FEB24F04C0E}" sibTransId="{1725503C-5F2B-4797-B086-3696F50210F3}"/>
    <dgm:cxn modelId="{2BA4CA5E-D3D0-40CC-BC78-32D4D0708F1C}" type="presOf" srcId="{F6A68DFE-8671-4160-B4A8-7013D44E51CB}" destId="{B9D1539B-EC1A-4FB6-9BB8-5AD744B651B6}" srcOrd="0" destOrd="0" presId="urn:microsoft.com/office/officeart/2005/8/layout/vList5"/>
    <dgm:cxn modelId="{02D0C366-AF0B-4F8E-BE5C-5DC1E2150FAB}" srcId="{F6A68DFE-8671-4160-B4A8-7013D44E51CB}" destId="{469ED81A-88C1-4923-9697-6E2619930091}" srcOrd="1" destOrd="0" parTransId="{5E83756F-3176-47E1-A338-64B0F829793B}" sibTransId="{8C45754F-B2E9-4B2B-B3D4-55C19E55379B}"/>
    <dgm:cxn modelId="{0955CE68-5449-4B12-B019-BF188CF1F836}" srcId="{F0E5EC29-B935-43FC-A8DC-52B0A9EC61B2}" destId="{31B6847F-7FC0-407B-8FCB-1885E7C41A7C}" srcOrd="4" destOrd="0" parTransId="{175FC084-C7CD-4AD5-99B2-AB3C76E38132}" sibTransId="{63D2B4AB-EFE8-4EBA-AC89-EB13FFB77A2B}"/>
    <dgm:cxn modelId="{DA134575-38DB-4E29-A675-6AAA93E6729A}" type="presOf" srcId="{A3DD26F5-7A4C-4FE7-BB87-09033191052E}" destId="{F9B13E8C-0FA6-4389-81A2-1617E638414A}" srcOrd="0" destOrd="0" presId="urn:microsoft.com/office/officeart/2005/8/layout/vList5"/>
    <dgm:cxn modelId="{A152E675-CAE8-43C2-8B26-2590A12E4D9D}" srcId="{905B648B-5517-41B9-918D-DF4373E4CB86}" destId="{81B25BD4-7170-46DC-9005-D31BF0FA76D6}" srcOrd="1" destOrd="0" parTransId="{19902BE4-BB93-4A3F-8D8F-2475B70B6EAF}" sibTransId="{78273206-6345-4914-BEBF-6064DB044DF5}"/>
    <dgm:cxn modelId="{8505AD78-F658-45A9-8B3F-ECD78B62A998}" type="presOf" srcId="{469ED81A-88C1-4923-9697-6E2619930091}" destId="{1015202B-F803-41E6-ACBE-EFE0F11981FE}" srcOrd="0" destOrd="1" presId="urn:microsoft.com/office/officeart/2005/8/layout/vList5"/>
    <dgm:cxn modelId="{57B5AD7F-3A3C-4E8C-9602-0C158FB61594}" type="presOf" srcId="{F0E5EC29-B935-43FC-A8DC-52B0A9EC61B2}" destId="{1DFCA981-FC5D-4CD2-82E1-3A1132AB10E0}" srcOrd="0" destOrd="0" presId="urn:microsoft.com/office/officeart/2005/8/layout/vList5"/>
    <dgm:cxn modelId="{713F9590-91E3-4227-AFED-E57399C303F8}" srcId="{C2ADA40F-7FD2-4BE7-A6A4-5DF94DFB3EDF}" destId="{968DE21C-1ADB-4549-85D1-3D19F5CB7995}" srcOrd="0" destOrd="0" parTransId="{1FF8A868-C726-4FBE-82C9-EA260D6174C9}" sibTransId="{52A976F2-260E-4A52-9C50-F9580FCFDD9C}"/>
    <dgm:cxn modelId="{45160DBC-6203-496E-81DA-DAF8720EF0E1}" type="presOf" srcId="{905B648B-5517-41B9-918D-DF4373E4CB86}" destId="{78789BBE-4898-4099-9C91-99A0869FA37D}" srcOrd="0" destOrd="0" presId="urn:microsoft.com/office/officeart/2005/8/layout/vList5"/>
    <dgm:cxn modelId="{DBC2CAC4-194D-4AC1-9349-A3F18CB50C96}" type="presOf" srcId="{05D52169-53A1-419D-AE13-92A6DDCD8A3C}" destId="{A149E8D8-6B57-420B-A154-DCF9B92EDD3B}" srcOrd="0" destOrd="0" presId="urn:microsoft.com/office/officeart/2005/8/layout/vList5"/>
    <dgm:cxn modelId="{14F838C7-4C38-4606-8EC2-1C8E0E73D446}" type="presOf" srcId="{968DE21C-1ADB-4549-85D1-3D19F5CB7995}" destId="{D7F731B8-EDAE-434B-9AC4-4F52E56AF9D5}" srcOrd="0" destOrd="0" presId="urn:microsoft.com/office/officeart/2005/8/layout/vList5"/>
    <dgm:cxn modelId="{1B93CCD1-75B4-4EAA-80DE-C9CDCF5523CC}" type="presOf" srcId="{2A6803AC-3514-4198-B128-69CD82766CFC}" destId="{D7F731B8-EDAE-434B-9AC4-4F52E56AF9D5}" srcOrd="0" destOrd="1" presId="urn:microsoft.com/office/officeart/2005/8/layout/vList5"/>
    <dgm:cxn modelId="{42F217DB-16AB-4B52-B5BC-F9F6DD2488C0}" type="presOf" srcId="{1892D0D8-3048-4663-B368-EA8F196753F5}" destId="{57C4B712-EE35-450A-B883-71F107516DEB}" srcOrd="0" destOrd="0" presId="urn:microsoft.com/office/officeart/2005/8/layout/vList5"/>
    <dgm:cxn modelId="{125382DF-767C-4ACC-80CF-89EA2205E684}" type="presOf" srcId="{A491FD41-192C-4D28-8F6F-06396170B6F7}" destId="{A149E8D8-6B57-420B-A154-DCF9B92EDD3B}" srcOrd="0" destOrd="1" presId="urn:microsoft.com/office/officeart/2005/8/layout/vList5"/>
    <dgm:cxn modelId="{1C5182EC-908F-4CA6-977D-3D7E78A40DB0}" srcId="{905B648B-5517-41B9-918D-DF4373E4CB86}" destId="{1892D0D8-3048-4663-B368-EA8F196753F5}" srcOrd="0" destOrd="0" parTransId="{C24A4B55-BF30-4222-9D81-E23CA1D8D159}" sibTransId="{F06BA536-4B4B-41E7-824D-1AAB306DB33D}"/>
    <dgm:cxn modelId="{1D843DEE-0356-4FC9-A748-6AD54116F4FF}" srcId="{F0E5EC29-B935-43FC-A8DC-52B0A9EC61B2}" destId="{A3DD26F5-7A4C-4FE7-BB87-09033191052E}" srcOrd="1" destOrd="0" parTransId="{36FD9F39-FBD6-4A3E-A105-5B4568F07749}" sibTransId="{953F582A-91AF-42B8-B2DA-4608C2DD8D71}"/>
    <dgm:cxn modelId="{815E8706-9D7A-40AA-B737-189DD4439366}" type="presParOf" srcId="{1DFCA981-FC5D-4CD2-82E1-3A1132AB10E0}" destId="{DB0BD9BE-1482-41E0-A7C0-E083D02C46FB}" srcOrd="0" destOrd="0" presId="urn:microsoft.com/office/officeart/2005/8/layout/vList5"/>
    <dgm:cxn modelId="{A04E6886-1105-4523-BFB5-E6D11E7666BE}" type="presParOf" srcId="{DB0BD9BE-1482-41E0-A7C0-E083D02C46FB}" destId="{78789BBE-4898-4099-9C91-99A0869FA37D}" srcOrd="0" destOrd="0" presId="urn:microsoft.com/office/officeart/2005/8/layout/vList5"/>
    <dgm:cxn modelId="{C69DCAB9-374A-4CEE-8FEE-73473A6C1EBE}" type="presParOf" srcId="{DB0BD9BE-1482-41E0-A7C0-E083D02C46FB}" destId="{57C4B712-EE35-450A-B883-71F107516DEB}" srcOrd="1" destOrd="0" presId="urn:microsoft.com/office/officeart/2005/8/layout/vList5"/>
    <dgm:cxn modelId="{B27778B5-66B8-4F37-AF23-EFFA0AD41794}" type="presParOf" srcId="{1DFCA981-FC5D-4CD2-82E1-3A1132AB10E0}" destId="{323B1D3F-5F3E-4FE1-8585-8E19C7034BCE}" srcOrd="1" destOrd="0" presId="urn:microsoft.com/office/officeart/2005/8/layout/vList5"/>
    <dgm:cxn modelId="{933B6505-8BE2-4248-A8E7-48DD0CA81D39}" type="presParOf" srcId="{1DFCA981-FC5D-4CD2-82E1-3A1132AB10E0}" destId="{5AF48F84-71A8-45BF-9187-874F196C425B}" srcOrd="2" destOrd="0" presId="urn:microsoft.com/office/officeart/2005/8/layout/vList5"/>
    <dgm:cxn modelId="{B44A2AEC-031A-4B35-AFF6-E2870A231308}" type="presParOf" srcId="{5AF48F84-71A8-45BF-9187-874F196C425B}" destId="{F9B13E8C-0FA6-4389-81A2-1617E638414A}" srcOrd="0" destOrd="0" presId="urn:microsoft.com/office/officeart/2005/8/layout/vList5"/>
    <dgm:cxn modelId="{FE3C040F-15D0-40E9-B5C3-93309B41B0A8}" type="presParOf" srcId="{5AF48F84-71A8-45BF-9187-874F196C425B}" destId="{37A6B501-4217-48D9-A852-741DD34D4155}" srcOrd="1" destOrd="0" presId="urn:microsoft.com/office/officeart/2005/8/layout/vList5"/>
    <dgm:cxn modelId="{42BE5EF4-126B-4A9C-B291-6CDA92047706}" type="presParOf" srcId="{1DFCA981-FC5D-4CD2-82E1-3A1132AB10E0}" destId="{9EB5782C-335D-4D14-9E37-F47B7BEE0957}" srcOrd="3" destOrd="0" presId="urn:microsoft.com/office/officeart/2005/8/layout/vList5"/>
    <dgm:cxn modelId="{9941EBBB-7EC6-4C83-AE65-50AEABAB7197}" type="presParOf" srcId="{1DFCA981-FC5D-4CD2-82E1-3A1132AB10E0}" destId="{BA077992-5F1F-4A89-922C-380EB13DF06C}" srcOrd="4" destOrd="0" presId="urn:microsoft.com/office/officeart/2005/8/layout/vList5"/>
    <dgm:cxn modelId="{ED633999-DEC8-400F-9FDE-4601D0E27499}" type="presParOf" srcId="{BA077992-5F1F-4A89-922C-380EB13DF06C}" destId="{12C1161B-045F-4C04-A313-E29554BBDE91}" srcOrd="0" destOrd="0" presId="urn:microsoft.com/office/officeart/2005/8/layout/vList5"/>
    <dgm:cxn modelId="{86C84709-A823-425B-85E4-D9149F456910}" type="presParOf" srcId="{BA077992-5F1F-4A89-922C-380EB13DF06C}" destId="{D7F731B8-EDAE-434B-9AC4-4F52E56AF9D5}" srcOrd="1" destOrd="0" presId="urn:microsoft.com/office/officeart/2005/8/layout/vList5"/>
    <dgm:cxn modelId="{9BF39F16-B37A-4E08-8735-45EFECDB571D}" type="presParOf" srcId="{1DFCA981-FC5D-4CD2-82E1-3A1132AB10E0}" destId="{E897DF53-0DD5-4B6B-952D-ADFE9CC2431D}" srcOrd="5" destOrd="0" presId="urn:microsoft.com/office/officeart/2005/8/layout/vList5"/>
    <dgm:cxn modelId="{BD9D28FA-770D-4C59-B2CA-A1CE8F843F08}" type="presParOf" srcId="{1DFCA981-FC5D-4CD2-82E1-3A1132AB10E0}" destId="{BB393C05-5A82-4C38-92ED-8F9CD53DEA9C}" srcOrd="6" destOrd="0" presId="urn:microsoft.com/office/officeart/2005/8/layout/vList5"/>
    <dgm:cxn modelId="{B685A7AB-0469-4FED-8103-66AEDDC5106D}" type="presParOf" srcId="{BB393C05-5A82-4C38-92ED-8F9CD53DEA9C}" destId="{B9D1539B-EC1A-4FB6-9BB8-5AD744B651B6}" srcOrd="0" destOrd="0" presId="urn:microsoft.com/office/officeart/2005/8/layout/vList5"/>
    <dgm:cxn modelId="{5A1F02FF-05B3-42A8-A65B-8A4FFD44703A}" type="presParOf" srcId="{BB393C05-5A82-4C38-92ED-8F9CD53DEA9C}" destId="{1015202B-F803-41E6-ACBE-EFE0F11981FE}" srcOrd="1" destOrd="0" presId="urn:microsoft.com/office/officeart/2005/8/layout/vList5"/>
    <dgm:cxn modelId="{E4E0DF12-7680-4632-817A-A89A380E71F2}" type="presParOf" srcId="{1DFCA981-FC5D-4CD2-82E1-3A1132AB10E0}" destId="{C6FCC61E-1B19-4E48-A843-35F8FD29BDFF}" srcOrd="7" destOrd="0" presId="urn:microsoft.com/office/officeart/2005/8/layout/vList5"/>
    <dgm:cxn modelId="{75C56E8F-0DF8-4C56-B9E8-0E3204CF40D0}" type="presParOf" srcId="{1DFCA981-FC5D-4CD2-82E1-3A1132AB10E0}" destId="{0BBD14F3-2DF0-4B72-A4D4-5442232D43F8}" srcOrd="8" destOrd="0" presId="urn:microsoft.com/office/officeart/2005/8/layout/vList5"/>
    <dgm:cxn modelId="{C9C6CD79-099B-4942-8DE3-9ECBF77D0ABA}" type="presParOf" srcId="{0BBD14F3-2DF0-4B72-A4D4-5442232D43F8}" destId="{FC5A03C8-A193-4988-89F9-C15C3F413212}" srcOrd="0" destOrd="0" presId="urn:microsoft.com/office/officeart/2005/8/layout/vList5"/>
    <dgm:cxn modelId="{2FF4406F-16EA-4B42-A743-72D3CF893AE7}" type="presParOf" srcId="{0BBD14F3-2DF0-4B72-A4D4-5442232D43F8}" destId="{A149E8D8-6B57-420B-A154-DCF9B92EDD3B}" srcOrd="1" destOrd="0" presId="urn:microsoft.com/office/officeart/2005/8/layout/vList5"/>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7C4B712-EE35-450A-B883-71F107516DEB}">
      <dsp:nvSpPr>
        <dsp:cNvPr id="0" name=""/>
        <dsp:cNvSpPr/>
      </dsp:nvSpPr>
      <dsp:spPr>
        <a:xfrm rot="5400000">
          <a:off x="3493240" y="-1426648"/>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577850">
            <a:lnSpc>
              <a:spcPct val="90000"/>
            </a:lnSpc>
            <a:spcBef>
              <a:spcPct val="0"/>
            </a:spcBef>
            <a:spcAft>
              <a:spcPct val="15000"/>
            </a:spcAft>
            <a:buChar char="•"/>
          </a:pPr>
          <a:r>
            <a:rPr lang="vi-VN" sz="1300" b="0" kern="1200">
              <a:latin typeface="Times New Roman"/>
              <a:ea typeface="Times New Roman"/>
              <a:cs typeface="Times New Roman"/>
            </a:rPr>
            <a:t>Điểm GFCI, dữ liệu Ngân hàng Thế giới</a:t>
          </a:r>
        </a:p>
        <a:p>
          <a:pPr marL="114300" lvl="1" indent="-114300" algn="l" defTabSz="577850">
            <a:lnSpc>
              <a:spcPct val="90000"/>
            </a:lnSpc>
            <a:spcBef>
              <a:spcPct val="0"/>
            </a:spcBef>
            <a:spcAft>
              <a:spcPct val="15000"/>
            </a:spcAft>
            <a:buChar char="•"/>
          </a:pPr>
          <a:r>
            <a:rPr lang="vi-VN" sz="1300" b="0" kern="1200">
              <a:latin typeface="Times New Roman"/>
              <a:ea typeface="Times New Roman"/>
              <a:cs typeface="Times New Roman"/>
            </a:rPr>
            <a:t>Giá, khối lượng, công bố của ba sàn</a:t>
          </a:r>
        </a:p>
      </dsp:txBody>
      <dsp:txXfrm rot="-5400000">
        <a:off x="1995840" y="97765"/>
        <a:ext cx="3521147" cy="499333"/>
      </dsp:txXfrm>
    </dsp:sp>
    <dsp:sp modelId="{78789BBE-4898-4099-9C91-99A0869FA37D}">
      <dsp:nvSpPr>
        <dsp:cNvPr id="0" name=""/>
        <dsp:cNvSpPr/>
      </dsp:nvSpPr>
      <dsp:spPr>
        <a:xfrm>
          <a:off x="0" y="1582"/>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1. Dữ liệu</a:t>
          </a:r>
        </a:p>
      </dsp:txBody>
      <dsp:txXfrm>
        <a:off x="33766" y="35348"/>
        <a:ext cx="1928308" cy="624167"/>
      </dsp:txXfrm>
    </dsp:sp>
    <dsp:sp modelId="{37A6B501-4217-48D9-A852-741DD34D4155}">
      <dsp:nvSpPr>
        <dsp:cNvPr id="0" name=""/>
        <dsp:cNvSpPr/>
      </dsp:nvSpPr>
      <dsp:spPr>
        <a:xfrm rot="5400000">
          <a:off x="3493240" y="-700364"/>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577850">
            <a:lnSpc>
              <a:spcPct val="90000"/>
            </a:lnSpc>
            <a:spcBef>
              <a:spcPct val="0"/>
            </a:spcBef>
            <a:spcAft>
              <a:spcPct val="15000"/>
            </a:spcAft>
            <a:buChar char="•"/>
          </a:pPr>
          <a:r>
            <a:rPr lang="vi-VN" sz="1300" b="0" kern="1200">
              <a:latin typeface="Times New Roman"/>
              <a:ea typeface="Times New Roman"/>
              <a:cs typeface="Times New Roman"/>
            </a:rPr>
            <a:t>Thanh khoản, hiệu quả, minh bạch</a:t>
          </a:r>
        </a:p>
        <a:p>
          <a:pPr marL="114300" lvl="1" indent="-114300" algn="l" defTabSz="577850">
            <a:lnSpc>
              <a:spcPct val="90000"/>
            </a:lnSpc>
            <a:spcBef>
              <a:spcPct val="0"/>
            </a:spcBef>
            <a:spcAft>
              <a:spcPct val="15000"/>
            </a:spcAft>
            <a:buChar char="•"/>
          </a:pPr>
          <a:r>
            <a:rPr lang="vi-VN" sz="1300" b="0" kern="1200">
              <a:latin typeface="Times New Roman"/>
              <a:ea typeface="Times New Roman"/>
              <a:cs typeface="Times New Roman"/>
            </a:rPr>
            <a:t>Trước hợp nhất, HNX so với HOSE: H2</a:t>
          </a:r>
        </a:p>
      </dsp:txBody>
      <dsp:txXfrm rot="-5400000">
        <a:off x="1995840" y="824049"/>
        <a:ext cx="3521147" cy="499333"/>
      </dsp:txXfrm>
    </dsp:sp>
    <dsp:sp modelId="{F9B13E8C-0FA6-4389-81A2-1617E638414A}">
      <dsp:nvSpPr>
        <dsp:cNvPr id="0" name=""/>
        <dsp:cNvSpPr/>
      </dsp:nvSpPr>
      <dsp:spPr>
        <a:xfrm>
          <a:off x="0" y="727866"/>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2. Chỉ số chất lượng thị trường</a:t>
          </a:r>
        </a:p>
      </dsp:txBody>
      <dsp:txXfrm>
        <a:off x="33766" y="761632"/>
        <a:ext cx="1928308" cy="624167"/>
      </dsp:txXfrm>
    </dsp:sp>
    <dsp:sp modelId="{D7F731B8-EDAE-434B-9AC4-4F52E56AF9D5}">
      <dsp:nvSpPr>
        <dsp:cNvPr id="0" name=""/>
        <dsp:cNvSpPr/>
      </dsp:nvSpPr>
      <dsp:spPr>
        <a:xfrm rot="5400000">
          <a:off x="3493240" y="25919"/>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577850">
            <a:lnSpc>
              <a:spcPct val="90000"/>
            </a:lnSpc>
            <a:spcBef>
              <a:spcPct val="0"/>
            </a:spcBef>
            <a:spcAft>
              <a:spcPct val="15000"/>
            </a:spcAft>
            <a:buChar char="•"/>
          </a:pPr>
          <a:r>
            <a:rPr lang="vi-VN" sz="1300" b="0" kern="1200">
              <a:latin typeface="Times New Roman"/>
              <a:ea typeface="Times New Roman"/>
              <a:cs typeface="Times New Roman"/>
            </a:rPr>
            <a:t>Hồi quy dữ liệu bảng điểm GFCI</a:t>
          </a:r>
        </a:p>
        <a:p>
          <a:pPr marL="114300" lvl="1" indent="-114300" algn="l" defTabSz="577850">
            <a:lnSpc>
              <a:spcPct val="90000"/>
            </a:lnSpc>
            <a:spcBef>
              <a:spcPct val="0"/>
            </a:spcBef>
            <a:spcAft>
              <a:spcPct val="15000"/>
            </a:spcAft>
            <a:buChar char="•"/>
          </a:pPr>
          <a:r>
            <a:rPr lang="vi-VN" sz="1300" b="0" kern="1200">
              <a:latin typeface="Times New Roman"/>
              <a:ea typeface="Times New Roman"/>
              <a:cs typeface="Times New Roman"/>
            </a:rPr>
            <a:t>Kiểm định H1</a:t>
          </a:r>
        </a:p>
      </dsp:txBody>
      <dsp:txXfrm rot="-5400000">
        <a:off x="1995840" y="1550333"/>
        <a:ext cx="3521147" cy="499333"/>
      </dsp:txXfrm>
    </dsp:sp>
    <dsp:sp modelId="{12C1161B-045F-4C04-A313-E29554BBDE91}">
      <dsp:nvSpPr>
        <dsp:cNvPr id="0" name=""/>
        <dsp:cNvSpPr/>
      </dsp:nvSpPr>
      <dsp:spPr>
        <a:xfrm>
          <a:off x="0" y="1454150"/>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3. Bằng chứng quốc tế</a:t>
          </a:r>
        </a:p>
      </dsp:txBody>
      <dsp:txXfrm>
        <a:off x="33766" y="1487916"/>
        <a:ext cx="1928308" cy="624167"/>
      </dsp:txXfrm>
    </dsp:sp>
    <dsp:sp modelId="{1015202B-F803-41E6-ACBE-EFE0F11981FE}">
      <dsp:nvSpPr>
        <dsp:cNvPr id="0" name=""/>
        <dsp:cNvSpPr/>
      </dsp:nvSpPr>
      <dsp:spPr>
        <a:xfrm rot="5400000">
          <a:off x="3493240" y="752204"/>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577850">
            <a:lnSpc>
              <a:spcPct val="90000"/>
            </a:lnSpc>
            <a:spcBef>
              <a:spcPct val="0"/>
            </a:spcBef>
            <a:spcAft>
              <a:spcPct val="15000"/>
            </a:spcAft>
            <a:buChar char="•"/>
          </a:pPr>
          <a:r>
            <a:rPr lang="vi-VN" sz="1300" b="0" kern="1200">
              <a:latin typeface="Times New Roman"/>
              <a:ea typeface="Times New Roman"/>
              <a:cs typeface="Times New Roman"/>
            </a:rPr>
            <a:t>Khác biệt kép quanh 28/12/2026: H3</a:t>
          </a:r>
        </a:p>
        <a:p>
          <a:pPr marL="114300" lvl="1" indent="-114300" algn="l" defTabSz="577850">
            <a:lnSpc>
              <a:spcPct val="90000"/>
            </a:lnSpc>
            <a:spcBef>
              <a:spcPct val="0"/>
            </a:spcBef>
            <a:spcAft>
              <a:spcPct val="15000"/>
            </a:spcAft>
            <a:buChar char="•"/>
          </a:pPr>
          <a:r>
            <a:rPr lang="vi-VN" sz="1300" b="0" kern="1200">
              <a:latin typeface="Times New Roman"/>
              <a:ea typeface="Times New Roman"/>
              <a:cs typeface="Times New Roman"/>
            </a:rPr>
            <a:t>Khả năng đầu tư trước và sau: H4 (ước lượng)</a:t>
          </a:r>
        </a:p>
      </dsp:txBody>
      <dsp:txXfrm rot="-5400000">
        <a:off x="1995840" y="2276618"/>
        <a:ext cx="3521147" cy="499333"/>
      </dsp:txXfrm>
    </dsp:sp>
    <dsp:sp modelId="{B9D1539B-EC1A-4FB6-9BB8-5AD744B651B6}">
      <dsp:nvSpPr>
        <dsp:cNvPr id="0" name=""/>
        <dsp:cNvSpPr/>
      </dsp:nvSpPr>
      <dsp:spPr>
        <a:xfrm>
          <a:off x="0" y="2180434"/>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4. Sự kiện chuyển sàn</a:t>
          </a:r>
        </a:p>
      </dsp:txBody>
      <dsp:txXfrm>
        <a:off x="33766" y="2214200"/>
        <a:ext cx="1928308" cy="624167"/>
      </dsp:txXfrm>
    </dsp:sp>
    <dsp:sp modelId="{A149E8D8-6B57-420B-A154-DCF9B92EDD3B}">
      <dsp:nvSpPr>
        <dsp:cNvPr id="0" name=""/>
        <dsp:cNvSpPr/>
      </dsp:nvSpPr>
      <dsp:spPr>
        <a:xfrm rot="5400000">
          <a:off x="3493240" y="1478488"/>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577850">
            <a:lnSpc>
              <a:spcPct val="90000"/>
            </a:lnSpc>
            <a:spcBef>
              <a:spcPct val="0"/>
            </a:spcBef>
            <a:spcAft>
              <a:spcPct val="15000"/>
            </a:spcAft>
            <a:buChar char="•"/>
          </a:pPr>
          <a:r>
            <a:rPr lang="vi-VN" sz="1300" b="0" kern="1200">
              <a:latin typeface="Times New Roman"/>
              <a:ea typeface="Times New Roman"/>
              <a:cs typeface="Times New Roman"/>
            </a:rPr>
            <a:t>Tổng hợp định hướng chuyên môn hóa</a:t>
          </a:r>
        </a:p>
        <a:p>
          <a:pPr marL="114300" lvl="1" indent="-114300" algn="l" defTabSz="577850">
            <a:lnSpc>
              <a:spcPct val="90000"/>
            </a:lnSpc>
            <a:spcBef>
              <a:spcPct val="0"/>
            </a:spcBef>
            <a:spcAft>
              <a:spcPct val="15000"/>
            </a:spcAft>
            <a:buChar char="•"/>
          </a:pPr>
          <a:r>
            <a:rPr lang="vi-VN" sz="1300" b="0" kern="1200">
              <a:latin typeface="Times New Roman"/>
              <a:ea typeface="Times New Roman"/>
              <a:cs typeface="Times New Roman"/>
            </a:rPr>
            <a:t>Đề xuất chính sách, hạ tầng dữ liệu</a:t>
          </a:r>
        </a:p>
      </dsp:txBody>
      <dsp:txXfrm rot="-5400000">
        <a:off x="1995840" y="3002902"/>
        <a:ext cx="3521147" cy="499333"/>
      </dsp:txXfrm>
    </dsp:sp>
    <dsp:sp modelId="{FC5A03C8-A193-4988-89F9-C15C3F413212}">
      <dsp:nvSpPr>
        <dsp:cNvPr id="0" name=""/>
        <dsp:cNvSpPr/>
      </dsp:nvSpPr>
      <dsp:spPr>
        <a:xfrm>
          <a:off x="0" y="2906718"/>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5. Hàm ý cho Hà Nội</a:t>
          </a:r>
        </a:p>
      </dsp:txBody>
      <dsp:txXfrm>
        <a:off x="33766" y="2940484"/>
        <a:ext cx="1928308" cy="624167"/>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BB31A-01DF-BC4D-BED6-F8879BC37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12438</Words>
  <Characters>70900</Characters>
  <Application>Microsoft Office Word</Application>
  <DocSecurity>0</DocSecurity>
  <Lines>590</Lines>
  <Paragraphs>166</Paragraphs>
  <ScaleCrop>false</ScaleCrop>
  <Company/>
  <LinksUpToDate>false</LinksUpToDate>
  <CharactersWithSpaces>83172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 D2.2026 - Đề cương nghiên cứu - Nguyễn Văn Trung</dc:title>
  <dc:creator>Tatyana Bardeen</dc:creator>
  <cp:keywords/>
  <cp:lastModifiedBy>Tatyana Bardeen</cp:lastModifiedBy>
  <cp:revision>2</cp:revision>
  <dcterms:created xsi:type="dcterms:W3CDTF">2026-10-17T16:09:00Z</dcterms:created>
  <dcterms:modified xsi:type="dcterms:W3CDTF">2026-10-17T16:09:00Z</dcterms:modified>
</cp:coreProperties>
</file>