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ARIMA: mô hình tự hồi quy tích hợp trung bình trượt (Autoregressive Integrated Moving Average)</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CS: rổ cổ phiếu chuyển sàn</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GDP: tổng sản phẩm trong nước (Gross Domestic Product)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GFCI: Chỉ số Trung tâm Tài chính Toàn cầu (Global Financial Centres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 rổ cổ phiếu HOSE được ghép với rổ CS (khác với H1–H4, ký hiệu các giả thuyết)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HNX: Sở Giao dịch Chứng khoán Hà Nội</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HOSE: Sở Giao dịch Chứng khoán Thành phố Hồ Chí Minh</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MQI: Chỉ số chất lượng thị trường vốn (Market Quality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OECD: Tổ chức Hợp tác và Phát triển Kinh tế (Organisation for Economic Co-operation and Development)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OSF: Open Science Framework</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SMD: chỉ báo phát triển thị trường cổ phiếu (Stock Market Development)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UPCoM: thị trường giao dịch cổ phiếu của công ty đại chúng chưa niêm yết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VNX: Sở Giao dịch Chứng khoán Việt Nam</w:t>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 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còn Đà Nẵng lần đầu vào chỉ số ở vị trí 71 (VietnamPlus, 2026a, 2026b) [CẦN ĐỐI CHIẾU báo cáo gốc]; thí sinh chưa thấy Hà Nội trong bảng xếp hạng. 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Thời báo Tài chính Việt Nam (2026), lịch do Sở Giao dịch Chứng khoán Việt Nam (VNX) công bố ngày 30/9/2026 ấn định phiên giao dịch cuối của cổ phiếu niêm yết tại HNX là ngày 23/12/2026 và ngày bắt đầu giao dịch trên HOSE là ngày 28/12/2026 [CẦN ĐỐI CHIẾU thông báo gốc của VNX]. 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mốc này do Thông tư số 69/2023/TT-BTC đặt, thay cho khung từ ngày 01/01/2025 đến hết ngày 30/6/2025 của Thông tư số 57/2021/TT-BTC, và Thông tư số 139/2025/TT-BTC không sửa mốc này. Lịch chuyển UPCoM chưa được công bố tại thời điểm viết đề cương [CẦN XÁC MINH kế hoạch chuyển cổ phiếu đăng ký giao dịch do VNX xây dựng và báo cáo Ủy ban Chứng khoán Nhà nước theo khoản 4 Điều 4 Thông tư số 57/2021/TT-BTC].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 Cặp Hà Nội và Thành phố Hồ Chí Minh có thể so sánh với cặp Bắc Kinh và Thượng Hải. Bắc Kinh là một trung tâm tài chính lớn dù không có sở giao dịch chứng khoán tầm quốc gia trong phần lớn giai đoạn phát triển của mình (Naeem, 2023) [CẦN XÁC MINH năm thành lập Sở Giao dịch Chứng khoán Bắc Kinh]. Trường hợp này cho thấy một thành phố có thể giữ vai trò trung tâm tài chính mà không cần sàn cổ phiếu, và đặt ra cho Hà Nội câu hỏi chuyên môn hóa (Yao, 2012) sau đợt hợp nhất.</w:t>
      </w:r>
    </w:p>
    <w:p>
      <w:pPr>
        <w:pStyle w:val="BodyText"/>
      </w:pPr>
      <w:r>
        <w:t xml:space="preserve">Bằng chứng quốc tế cho thấy sàn giao dịch ảnh hưởng tới chất lượng giao dịch của cùng một cổ phiếu. Amihud và cộng sự (1997) nghiên cứu việc Sở Giao dịch Chứng khoán Tel Aviv chuyển dần cổ phiếu từ một phiên khớp lệnh định kỳ mỗi ngày sang cơ chế có thêm các phiên giao dịch liên tục, và thấy lợi suất bất thường tích lũy điều chỉnh theo thị trường đạt khoảng 5,5% trong giai đoạn từ năm ngày trước công bố đến 30 ngày sau khi cổ phiếu giao dịch theo cơ chế mới, đồng thời mức tăng thanh khoản đi cùng mức tăng giá. Nielsson (2009) thấy việc hình thành Euronext làm thanh khoản tăng ở doanh nghiệp lớn và doanh nghiệp có doanh thu nước ngoài, nhưng không tăng ở doanh nghiệp nhỏ. Ngược lại, Hisada (2018) nghiên cứu việc hợp nhất Sở Giao dịch Chứng khoán Tokyo và Sở Giao dịch Chứng khoán Osaka, với thị trường cổ phiếu của hai sở được hợp nhất ngày 16/7/2013, trên mẫu các cổ phiếu niêm yết tại Tokyo không niêm yết kép tại Osaka, và thấy thanh khoản của nhóm cổ phiếu này tăng trong ngắn hạn nhờ hiệu ứng cộng hưởng và tâm lý nhà đầu tư, trong đó hiệu ứng tâm lý mạnh hơn ở cổ phiếu nhỏ, rồi giảm sau một năm. Đợt hợp nhất ở Việt Nam đổi sàn của khoảng 300 doanh nghiệp trong cùng một ngày [CẦN ĐỐI CHIẾU danh sách VNX].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Mục tiêu (iv) là tổng hợp các kết quả thành định hướng chuyên môn hóa và hạ tầng dữ liệu cho thị trường vốn Hà Nội; mục tiêu này là tổng hợp định tính, không kiểm định giả thuyết.</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và một thước đo dùng chung.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Thứ ba, Chỉ số khả năng đầu tư là một thước đo mà các dịch vụ đầu tư mới có thể dùng để so sánh, không phải một sản phẩm của bài toán. Hai chỉ số và tệp đăng ký trước là sản phẩm có được dù kết quả kiểm định ra sao.</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 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 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 Nielsson (2009) thấy lợi ích thanh khoản của việc hình thành Euronext dồn vào doanh nghiệp lớn, còn Hisada (2018) thấy thanh khoản của các cổ phiếu sẵn có trên Sở Giao dịch Chứng khoán Tokyo tăng trong ngắn hạn sau khi thị trường cổ phiếu của Osaka được hợp nhất vào Tokyo năm 2013, hiệu ứng tâm lý mạnh hơn ở cổ phiếu nhỏ, với thước đo là vòng quay và độ phi thanh khoản Amihud. Wójcik (2007) phân tích quan hệ hai chiều giữa sàn chứng khoán và trung tâm tài chính. Bằng chứng về hợp nhất sàn chủ yếu đến từ thị trường phát triển; chẳng hạn, Arnold và cộng sự (1999, dẫn theo Hisada, 2018) thấy hợp nhất sàn làm thanh khoản tăng.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 Naeem, 2023; Lai, 2012)</w:t>
            </w:r>
          </w:p>
        </w:tc>
        <w:tc>
          <w:tcPr>
            <w:tcW w:w="0" w:type="auto"/>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0" w:type="auto"/>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0" w:type="auto"/>
          </w:tcPr>
          <w:p w14:paraId="7892E17D" w14:textId="77777777" w:rsidR="005D3DB2" w:rsidRDefault="00000000">
            <w:pPr>
              <w:pStyle w:val="Compact"/>
            </w:pPr>
            <w:r>
              <w:t xml:space="preserve">Chất lượng thị trường (Amihud, 2002; Lesmond, 2005; Fong và cộng sự, 2017)</w:t>
            </w:r>
          </w:p>
        </w:tc>
        <w:tc>
          <w:tcPr>
            <w:tcW w:w="0" w:type="auto"/>
          </w:tcPr>
          <w:p w14:paraId="35E17D8F" w14:textId="77777777" w:rsidR="005D3DB2" w:rsidRDefault="00000000">
            <w:pPr>
              <w:pStyle w:val="Compact"/>
            </w:pPr>
            <w:r>
              <w:t xml:space="preserve">Thước đo thanh khoản, hiệu quả thông tin, minh bạch ở thị trường mới nổi</w:t>
            </w:r>
          </w:p>
        </w:tc>
        <w:tc>
          <w:tcPr>
            <w:tcW w:w="0" w:type="auto"/>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0" w:type="auto"/>
          </w:tcPr>
          <w:p w14:paraId="172955F1" w14:textId="77777777" w:rsidR="005D3DB2" w:rsidRDefault="00000000">
            <w:pPr>
              <w:pStyle w:val="Compact"/>
            </w:pPr>
            <w:r>
              <w:t xml:space="preserve">Đổi sàn và hợp nhất sàn (Huang &amp; Stoll, 1996; Nielsson, 2009; Hisada, 2018)</w:t>
            </w:r>
          </w:p>
        </w:tc>
        <w:tc>
          <w:tcPr>
            <w:tcW w:w="0" w:type="auto"/>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0" w:type="auto"/>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0" w:type="auto"/>
          </w:tcPr>
          <w:p w14:paraId="2246DA5E" w14:textId="77777777" w:rsidR="005D3DB2" w:rsidRDefault="00000000">
            <w:pPr>
              <w:pStyle w:val="Compact"/>
            </w:pPr>
            <w:r>
              <w:t xml:space="preserve">Việt Nam (Vo &amp; Phan, 2017; Goutte và cộng sự, 2025; Nguyễn &amp; Nguyễn, 2026a)</w:t>
            </w:r>
          </w:p>
        </w:tc>
        <w:tc>
          <w:tcPr>
            <w:tcW w:w="0" w:type="auto"/>
          </w:tcPr>
          <w:p w14:paraId="133402BF" w14:textId="77777777" w:rsidR="005D3DB2" w:rsidRDefault="00000000">
            <w:pPr>
              <w:pStyle w:val="Compact"/>
            </w:pPr>
            <w:r>
              <w:t xml:space="preserve">Nghiên cứu tập trung vào HOSE và VN-Index</w:t>
            </w:r>
          </w:p>
        </w:tc>
        <w:tc>
          <w:tcPr>
            <w:tcW w:w="0" w:type="auto"/>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0" w:type="auto"/>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0" w:type="auto"/>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H2: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0" w:type="auto"/>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0" w:type="auto"/>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0" w:type="auto"/>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chạm biên độ, giảm so với nhóm đối chứng (câu hỏi 3)</w:t>
            </w:r>
          </w:p>
        </w:tc>
        <w:tc>
          <w:tcPr>
            <w:tcW w:w="0" w:type="auto"/>
          </w:tcPr>
          <w:p w14:paraId="3D56315F" w14:textId="77777777" w:rsidR="005D3DB2" w:rsidRDefault="00000000">
            <w:pPr>
              <w:pStyle w:val="Compact"/>
            </w:pPr>
            <w:r>
              <w:t xml:space="preserve">Logarit độ phi thanh khoản Amihud trên các ngày có lợi suất tuyệt đối dưới ngưỡng chung, loại ngày liền sau ngày chạm biên độ (chính); vòng quay, tỷ lệ ngày lợi suất bằng 0 (phụ)</w:t>
            </w:r>
          </w:p>
        </w:tc>
        <w:tc>
          <w:tcPr>
            <w:tcW w:w="0" w:type="auto"/>
          </w:tcPr>
          <w:p w14:paraId="2EB0DA83" w14:textId="77777777" w:rsidR="005D3DB2" w:rsidRDefault="00000000">
            <w:pPr>
              <w:pStyle w:val="Compact"/>
            </w:pPr>
            <w:r>
              <w:t xml:space="preserve">Amihud và cộng sự (1997); Nielsson (2009); Hisada (2018); Conley và Taber (2011); Rambachan và Roth (2023)</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0" w:type="auto"/>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0" w:type="auto"/>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(HOSE ±7%, HNX ±10%, UPCoM ±15%) [CẦN XÁC MINH theo từng thời kỳ], nên chỉ số được so sánh cả trên mẫu đối sánh theo quy mô và ngành và cả khi bỏ hai chỉ báo nhạy với biên độ. 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H3 cùng với thay đổi bước giá khi chuyển sàn. 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việc chỉ loại các ngày chạm biên độ chưa đủ, vì sau khi chuyển sàn mọi ngày có lợi suất tuyệt đối từ khoảng 7% đến 10% trở thành ngày chạm biên độ và bị loại, nên các ngày còn lại có lợi suất tuyệt đối nhỏ hơn một cách cơ học. Đề tài vì vậy tính Amihud, ở cả hai nhóm và cả hai giai đoạn, chỉ trên các ngày có lợi suất tuyệt đối dưới một ngưỡng chung thấp hơn biên độ ±7% (giá trị cụ thể ghi trong tệp đăng ký) và không liền sau một ngày chạm biên độ; giá trị giao dịch chỉ gồm giao dịch khớp lệnh; tháng có ít hơn số ngày hợp lệ tối thiểu ghi trong tệp đăng ký được coi là thiếu; tỷ lệ ngày bị loại và tỷ lệ tháng thiếu được báo cáo theo nhóm và giai đoạn. Vòng quay, không bị cắt theo biên độ như Amihud, là thước đo đối chiếu. 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(từ năm 2015 cùng China Development Institute) và được thí sinh số hóa từ báo cáo từng kỳ; thí sinh sẽ xin phép Long Finance dùng bộ dữ liệu lịch sử trước khi phân tích; nếu không được phép, phương án dự phòng thứ nhất ở mục 4.3.10 được áp dụng. Bộ này được ghép với các chỉ báo thị trường cổ phiếu cấp quốc gia trong Cơ sở dữ liệu Phát triển Tài chính Toàn cầu (Čihák và cộng sự, 2012) và các chỉ số quản trị nhà nước toàn cầu (Kaufmann và cộng sự, 2011). 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 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 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 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 Đề tài kiểm định H</w:t>
      </w:r>
      <w:r>
        <w:rPr>
          <w:vertAlign w:val="subscript"/>
        </w:rPr>
        <w:t xml:space="preserve">2</w:t>
      </w:r>
      <w:r>
        <w:t xml:space="preserve"> bằng chuỗi chênh lệch chỉ số theo tháng giữa HOSE và sàn niêm yết HNX: H2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 có chuyển chế độ</w:t>
            </w:r>
          </w:p>
        </w:tc>
        <w:tc>
          <w:tcPr>
            <w:tcW w:w="0" w:type="auto"/>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 xml:space="preserve">Giảm tỷ trọng rủi ro theo xác suất trạng thái căng thẳng do mô hình tự ước lượng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 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H3 cùng kết quả mô phỏng kích thước của kiểm định; tập ngày giả định cho suy luận hoán vị; ngưỡng lợi suất tuyệt đối và số ngày hợp lệ tối thiểu khi tính Amihud; quy tắc chọn cửa sổ trước theo điểm gãy;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lấy từ giá chào đóng cửa nếu nhà cung cấp dữ liệu có, nếu không thì dùng chênh lệch ước lượng từ giá cao nhất và thấp nhất theo tháng (Corwin &amp; Schultz, 2012),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 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 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khoảng cách của M1, không cần ước lượng, được báo cáo riêng như phép so sánh sạch nhất. 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biên độ ±7%) và không liền sau một ngày chạm biên độ;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w:t>
      </w:r>
      <w:r>
        <w:rPr>
          <w:vertAlign w:val="subscript"/>
        </w:rPr>
        <w:t xml:space="preserve">t</w:t>
      </w:r>
      <w:r>
        <w:t xml:space="preserve"> bằng 1 từ tháng 1/2027; phương trình (5) được ước lượng trên giai đoạn tham chiếu (đến tháng 6/2025) và giai đoạn sau sự kiện (từ tháng 1/2027), còn các tháng từ 7/2025 đến 12/2026, gồm tháng chuyển sàn, chỉ được ước lượng trong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 Vì mọi cổ phiếu chuyển sàn cùng một ngày, suy luận chính dựa trên chuỗi chênh lệch theo tháng giữa nhóm xử lý và nhóm đối chứng: gọi dₜ là chênh lệch trung bình logarit Amihud giữa các cổ phiếu chuyển sàn và các cổ phiếu đối chứng ghép cặp trong tháng t, mỗi cặp có dữ liệu trong tháng có trọng số bằng nhau; thống kê kiểm định là trung bình của dₜ trong giai đoạn sau sự kiện trừ trung bình của dₜ trong cửa sổ trước. Giá trị p chính được tính bằng bootstrap tự hồi quy trên chuỗi dₜ: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 Suy luận trên các ngày giả định trong giai đoạn tham chiếu, với cùng cấu trúc cửa sổ trước, 18 tháng loại trừ và 24 tháng sau, theo tinh thần của Conley và Taber (2011), chỉ được báo cáo như kiểm tra bổ sung: các cửa sổ giả chồng lấn nhau và chỉ tạo ra khoảng sáu cửa sổ độc lập, và mô phỏng sơ bộ của thí sinh với chuỗi tự hồi quy bậc một cho thấy kiểm định này bác bỏ giả thuyết không thường xuyên hơn đáng kể so với mức danh nghĩa. Sai số chuẩn phân cụm theo cổ phiếu và theo tháng chỉ được báo cáo để so sánh. H3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chỉ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và báo cáo độ nhạy của kết luận khi xu hướng song song bị vi phạm ở mức tương đương độ lệch lớn nhất của các hệ số này, tức các tháng trước giai đoạn chuyển tiếp (Rambachan &amp; Roth, 2023). 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 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Vì điểm GFCI gộp kết quả khảo sát với các nhân tố định lượng, trong đó có nhóm phát triển khu vực tài chính như khối lượng giao dịch, một phần lấy từ Liên đoàn các Sở Giao dịch Thế giới (Naeem, 2023),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 Thứ hai, nhóm đối chứng không chịu tác động của sự kiện. Ba thay đổi trùng thời gian tác động lên nhóm đối chứng HOSE: FTSE Russell đưa cổ phiếu Việt Nam vào chỉ số theo bốn đợt từ tháng 9/2026 đến tháng 9/2027; HOSE phân loại cổ phiếu vào Bảng Chính và Bảng Tiêu chuẩn từ ngày 28/12/2026; và HOSE tiếp nhận khoảng 300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[CẦN XÁC MINH các mốc FTSE và phân bảng]. 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 Amihud và cộng sự (1997) ghi nhận thanh khoản lan tỏa giữa các cổ phiếu liên quan; nếu nhóm đối chứng HOSE mất thanh khoản do dòng lệnh chuyển sang cổ phiếu chuyển sàn, δ phóng đại tác động, nên ước lượng với nhóm đối chứng UPCoM được trình bày như một cận khác. Ngược lại, Hisada (2018) cho thấy thanh khoản của cổ phiếu sẵn có trên sàn tiếp nhận cũng tăng trong ngắn hạn quanh đợt hợp nhất Tokyo–Osaka; nếu điều tương tự xảy ra với nhóm đối chứng HOSE, δ đánh giá thấp tác động. Thứ ba, việc rời mẫu không liên quan đến sự kiện: đề tài báo cáo tỷ lệ mã hủy niêm yết sau sự kiện ở từng nhóm và ước lượng lại trên bảng cân bằng.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H3 phụ thuộc vào số tháng trước và sau sự kiện và vào phương sai và mức tự tương quan của chuỗi chênh lệch theo tháng; công suất chỉ phụ thuộc yếu vào số cổ phiếu, vì mọi cổ phiếu chuyển sàn cùng một ngày và phần nhiễu riêng của từng mã đã được bình quân trong chuỗi chênh lệch.</w:t>
      </w:r>
      <w:r>
        <w:rPr>
          <w:vertAlign w:val="subscript"/>
        </w:rPr>
        <w:t xml:space="preserve"/>
      </w:r>
      <w:r>
        <w:t xml:space="preserve"> Với giả định chuỗi chênh lệch theo tháng là một quá trình tự hồi quy bậc một có hệ số φ và độ lệch chuẩn σ, giai đoạn trước dài 193 tháng (6/2009–6/2025), 18 tháng chuyển tiếp bị loại và giai đoạn sau dài 24 tháng, hiệu ứng nhỏ nhất phát hiện được của δ ở công suất 80% và mức ý nghĩa một phía 0,05/3 xấp xỉ 0,64σ khi φ = 0, 1,24σ khi φ = 0,6 và 1,76σ khi φ = 0,8. 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H3, và ghi kết quả vào tệp đăng ký trước ngày 28/12/2026. 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phân cụm theo quốc gia cho H</w:t>
      </w:r>
      <w:r>
        <w:rPr>
          <w:vertAlign w:val="subscript"/>
        </w:rPr>
        <w:t xml:space="preserve">1</w:t>
      </w:r>
      <w:r>
        <w:t xml:space="preserve">, giá trị p bootstrap khối cho H2 và giá trị p bootstrap tự hồi quy cho H3.</w:t>
      </w:r>
      <w:r>
        <w:rPr>
          <w:vertAlign w:val="subscript"/>
        </w:rPr>
        <w:t xml:space="preserve"/>
      </w:r>
      <w:r>
        <w:t xml:space="preserve"/>
      </w:r>
      <w:r>
        <w:rPr>
          <w:vertAlign w:val="subscript"/>
        </w:rPr>
        <w:t xml:space="preserve"/>
      </w:r>
      <w:r>
        <w:t xml:space="preserve"> Ở H1, đề tài kiểm tra độ bền trên mẫu các trung tâm có ít nhất năm kỳ và trên mẫu cân bằng gồm các trung tâm có mặt ở mọi kỳ được dùng, vì điểm z theo kỳ thay đổi khi tập trung tâm thay đổi,</w:t>
      </w:r>
      <w:r>
        <w:rPr>
          <w:vertAlign w:val="subscript"/>
        </w:rPr>
        <w:t xml:space="preserve"/>
      </w:r>
      <w:r>
        <w:t xml:space="preserve"> và đối chiếu danh sách nhân tố công bố của từng kỳ GFCI với các thành phần của SMD, báo cáo tỷ lệ kỳ có trùng lặp; nếu trùng lặp ở phần lớn các kỳ, kết quả H1 được trình bày như liên hệ mô tả. 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dùng các mã đã tự chuyển từ HNX sang HOSE trước năm 2026. Nếu cổ phiếu UPCoM được chuyển sang HOSE cùng đợt hoặc trong 24 tháng sau sự kiện, nhóm đối chứng UPCoM chỉ được dùng đến tháng liền trước ngày chuyển của UPCoM, Chỉ số chất lượng thị trường vốn của UPCoM dừng tại tháng đó, và ước lượng chính chỉ dựa vào nhóm đối chứng HOSE.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 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Ủy ban nhân dân thành phố Hà Nội, Ủy ban Chứng khoán Nhà nước, HNX, HOSE và các tổ chức đầu tư.</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 xml:space="preserve">Tổng quan tài liệu và khung phân tích</w:t>
            </w:r>
          </w:p>
        </w:tc>
        <w:tc>
          <w:tcPr>
            <w:tcW w:w="0" w:type="auto"/>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 xml:space="preserve">Dữ liệu và phương pháp</w:t>
            </w:r>
          </w:p>
        </w:tc>
        <w:tc>
          <w:tcPr>
            <w:tcW w:w="0" w:type="auto"/>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0" w:type="auto"/>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Chất lượng thị trường vốn trước hợp nhất: HNX, UPCoM và HOSE</w:t>
            </w:r>
          </w:p>
        </w:tc>
        <w:tc>
          <w:tcPr>
            <w:tcW w:w="0" w:type="auto"/>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Tác động của việc chuyển sàn và định hướng cho thị trường vốn Hà Nội</w:t>
            </w:r>
          </w:p>
        </w:tc>
        <w:tc>
          <w:tcPr>
            <w:tcW w:w="0" w:type="auto"/>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theo quy mô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quản lý,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(H1) và so sánh vai trò của Hà Nội với các trung tâm trong khu vực.</w:t>
      </w:r>
      <w:r>
        <w:rPr>
          <w:vertAlign w:val="subscript"/>
        </w:rPr>
        <w:t xml:space="preserve"/>
      </w:r>
      <w:r>
        <w:t xml:space="preserve">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0" w:type="auto"/>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0" w:type="auto"/>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0" w:type="auto"/>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0" w:type="auto"/>
          </w:tcPr>
          <w:p w14:paraId="4CC80AB9" w14:textId="77777777" w:rsidR="005D3DB2" w:rsidRDefault="00000000">
            <w:pPr>
              <w:pStyle w:val="Compact"/>
            </w:pPr>
            <w:r>
              <w:t xml:space="preserve">Bài báo 3;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 xml:space="preserve">Không</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 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 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Nguyễn và Nguyễn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w:t>
      </w:r>
      <w:r>
        <w:t xml:space="preserve"> [CẦN BỔ SUNG trích yếu đầy đủ theo bản chính].</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Thời báo Tài chính Việt Nam. (2026). Chốt thời điểm chuyển toàn bộ cổ phiếu niêm yết về HOSE. </w:t>
      </w:r>
      <w:r>
        <w:rPr>
          <w:i/>
          <w:iCs/>
        </w:rPr>
        <w:t xml:space="preserve">Thời báo Tài chính Việt Nam</w:t>
      </w:r>
      <w:r>
        <w:t xml:space="preserve">. https://thoibaotaichinhvietnam.vn/chot-thoi-diem-chuyen-toan-bo-co-phieu-niem-yet-ve-hose-204623.html</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w:t>
      </w:r>
      <w:r>
        <w:t xml:space="preserve">, </w:t>
      </w:r>
      <w:r>
        <w:rPr>
          <w:i/>
          <w:iCs/>
        </w:rPr>
        <w:t xml:space="preserve">45</w:t>
      </w:r>
      <w:r>
        <w:t xml:space="preserve">(3), 365–390.</w:t>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w:t>
      </w:r>
      <w:r>
        <w:t xml:space="preserve">, </w:t>
      </w:r>
      <w:r>
        <w:rPr>
          <w:i/>
          <w:iCs/>
        </w:rPr>
        <w:t xml:space="preserve">67</w:t>
      </w:r>
      <w:r>
        <w:t xml:space="preserve">(2), 719–760.</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w:t>
      </w:r>
      <w:r>
        <w:t xml:space="preserve">, </w:t>
      </w:r>
      <w:r>
        <w:rPr>
          <w:i/>
          <w:iCs/>
        </w:rPr>
        <w:t xml:space="preserve">28</w:t>
      </w:r>
      <w:r>
        <w:t xml:space="preserve">(1), 62–81.</w:t>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w:t>
      </w:r>
      <w:r>
        <w:t xml:space="preserve">, </w:t>
      </w:r>
      <w:r>
        <w:rPr>
          <w:i/>
          <w:iCs/>
        </w:rPr>
        <w:t xml:space="preserve">49</w:t>
      </w:r>
      <w:r>
        <w:t xml:space="preserve">(6), 1275–1296.</w:t>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pPr>
        <w:pStyle w:val="Reference"/>
      </w:pPr>
      <w:r>
        <w:t xml:space="preserve">VietnamPlus. (2026a). Ho Chi Minh City jumps 17 places in Global Financial Centres Index. </w:t>
      </w:r>
      <w:r>
        <w:rPr>
          <w:i/>
          <w:iCs/>
        </w:rPr>
        <w:t xml:space="preserve">VietnamPlus</w:t>
      </w:r>
      <w:r>
        <w:t xml:space="preserve">. https://en.vietnamplus.vn/ho-chi-minh-city-jumps-17-places-in-global-financial-centres-index-post352894.vnp</w:t>
      </w:r>
    </w:p>
    <w:p>
      <w:pPr>
        <w:pStyle w:val="Reference"/>
      </w:pPr>
      <w:r>
        <w:t xml:space="preserve">VietnamPlus. (2026b). Vietnam International Financial Centre in Da Nang ranked 71st globally. </w:t>
      </w:r>
      <w:r>
        <w:rPr>
          <w:i/>
          <w:iCs/>
        </w:rPr>
        <w:t xml:space="preserve">VietnamPlus</w:t>
      </w:r>
      <w:r>
        <w:t xml:space="preserve">. https://en.vietnamplus.vn/vietnam-international-financial-centre-in-da-nang-ranked-71st-globally-post352933.vnp</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