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E84A66" w:rsidRDefault="00060072" w:rsidP="00416AAF">
      <w:pPr>
        <w:spacing w:before="120" w:after="120" w:line="360" w:lineRule="auto"/>
        <w:jc w:val="center"/>
        <w:rPr>
          <w:rFonts w:ascii="Times New Roman" w:hAnsi="Times New Roman" w:cs="Times New Roman"/>
          <w:b/>
          <w:sz w:val="24"/>
          <w:szCs w:val="24"/>
          <w:lang w:val="en-US"/>
        </w:rPr>
      </w:pPr>
      <w:r w:rsidRPr="00E84A66">
        <w:rPr>
          <w:rFonts w:ascii="Times New Roman" w:hAnsi="Times New Roman" w:cs="Times New Roman"/>
          <w:b/>
          <w:sz w:val="24"/>
          <w:szCs w:val="24"/>
          <w:lang w:val="en-US"/>
        </w:rPr>
        <w:t>TCHE 303 – MONEY AND BANKING</w:t>
      </w:r>
    </w:p>
    <w:p w:rsidR="00060072" w:rsidRPr="00E84A66" w:rsidRDefault="00060072" w:rsidP="00416AAF">
      <w:pPr>
        <w:spacing w:before="120" w:after="120" w:line="360" w:lineRule="auto"/>
        <w:jc w:val="center"/>
        <w:rPr>
          <w:rFonts w:ascii="Times New Roman" w:hAnsi="Times New Roman" w:cs="Times New Roman"/>
          <w:b/>
          <w:sz w:val="24"/>
          <w:szCs w:val="24"/>
          <w:lang w:val="en-US"/>
        </w:rPr>
      </w:pPr>
      <w:r w:rsidRPr="00E84A66">
        <w:rPr>
          <w:rFonts w:ascii="Times New Roman" w:hAnsi="Times New Roman" w:cs="Times New Roman"/>
          <w:b/>
          <w:noProof/>
          <w:sz w:val="24"/>
          <w:szCs w:val="24"/>
          <w:lang w:val="en-US" w:eastAsia="ja-JP"/>
        </w:rPr>
        <mc:AlternateContent>
          <mc:Choice Requires="wps">
            <w:drawing>
              <wp:anchor distT="0" distB="0" distL="114300" distR="114300" simplePos="0" relativeHeight="251659264" behindDoc="0" locked="0" layoutInCell="1" allowOverlap="1" wp14:anchorId="2E65D6D2" wp14:editId="13EF09D6">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EAB959"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sidRPr="00E84A66">
        <w:rPr>
          <w:rFonts w:ascii="Times New Roman" w:hAnsi="Times New Roman" w:cs="Times New Roman"/>
          <w:b/>
          <w:sz w:val="24"/>
          <w:szCs w:val="24"/>
          <w:lang w:val="en-US"/>
        </w:rPr>
        <w:t xml:space="preserve">TUTORIAL ASSIGNMENT </w:t>
      </w:r>
      <w:r w:rsidR="00E71A3F">
        <w:rPr>
          <w:rFonts w:ascii="Times New Roman" w:hAnsi="Times New Roman" w:cs="Times New Roman"/>
          <w:b/>
          <w:sz w:val="24"/>
          <w:szCs w:val="24"/>
          <w:lang w:val="en-US"/>
        </w:rPr>
        <w:t>8</w:t>
      </w:r>
    </w:p>
    <w:p w:rsidR="00B96598" w:rsidRDefault="00B96598" w:rsidP="00B96598">
      <w:pPr>
        <w:numPr>
          <w:ilvl w:val="0"/>
          <w:numId w:val="11"/>
        </w:numPr>
        <w:rPr>
          <w:rFonts w:ascii="Times New Roman" w:hAnsi="Times New Roman"/>
          <w:sz w:val="24"/>
          <w:szCs w:val="24"/>
        </w:rPr>
      </w:pPr>
      <w:r w:rsidRPr="00B96598">
        <w:rPr>
          <w:rFonts w:ascii="Times New Roman" w:hAnsi="Times New Roman"/>
          <w:sz w:val="24"/>
          <w:szCs w:val="24"/>
        </w:rPr>
        <w:t xml:space="preserve">Why could eliminating the central bank’s independence lead to a more pronounced political business cycle? </w:t>
      </w:r>
      <w:r w:rsidR="00E04065">
        <w:rPr>
          <w:rFonts w:ascii="Times New Roman" w:hAnsi="Times New Roman"/>
          <w:b/>
          <w:bCs/>
          <w:i/>
          <w:iCs/>
          <w:sz w:val="24"/>
          <w:szCs w:val="24"/>
        </w:rPr>
        <w:t>This will make it more shortsighted and subject to political intervention. Thus, when political gains could be achieved by expansionary policy before an election, the Fed might be more likely to engage in this activity (lower interest rate or raise money supply to stimulate the economy, gain encouragement from citizens) -&gt; pronounced political business cycles might result.</w:t>
      </w:r>
    </w:p>
    <w:p w:rsidR="00B96598" w:rsidRDefault="00B96598" w:rsidP="00B96598">
      <w:pPr>
        <w:numPr>
          <w:ilvl w:val="0"/>
          <w:numId w:val="11"/>
        </w:numPr>
        <w:rPr>
          <w:rFonts w:ascii="Times New Roman" w:hAnsi="Times New Roman"/>
          <w:sz w:val="24"/>
          <w:szCs w:val="24"/>
        </w:rPr>
      </w:pPr>
      <w:r w:rsidRPr="00B96598">
        <w:rPr>
          <w:rFonts w:ascii="Times New Roman" w:hAnsi="Times New Roman"/>
          <w:sz w:val="24"/>
          <w:szCs w:val="24"/>
        </w:rPr>
        <w:t xml:space="preserve">“The independence of the Fed leaves it completely unaccountable for its actions.” Is this statement true, false, or uncertain? Explain your answer. </w:t>
      </w:r>
      <w:r w:rsidR="00E04065">
        <w:rPr>
          <w:rFonts w:ascii="Times New Roman" w:hAnsi="Times New Roman"/>
          <w:b/>
          <w:bCs/>
          <w:i/>
          <w:iCs/>
          <w:sz w:val="24"/>
          <w:szCs w:val="24"/>
        </w:rPr>
        <w:t xml:space="preserve">False. The Fed is still subject to political pressure because congress can pass legislation limiting the fed’s power. If the Fed perform badly, Congress can therefore make the fed accountable </w:t>
      </w:r>
      <w:proofErr w:type="gramStart"/>
      <w:r w:rsidR="00E04065">
        <w:rPr>
          <w:rFonts w:ascii="Times New Roman" w:hAnsi="Times New Roman"/>
          <w:b/>
          <w:bCs/>
          <w:i/>
          <w:iCs/>
          <w:sz w:val="24"/>
          <w:szCs w:val="24"/>
        </w:rPr>
        <w:t>by passing</w:t>
      </w:r>
      <w:proofErr w:type="gramEnd"/>
      <w:r w:rsidR="00E04065">
        <w:rPr>
          <w:rFonts w:ascii="Times New Roman" w:hAnsi="Times New Roman"/>
          <w:b/>
          <w:bCs/>
          <w:i/>
          <w:iCs/>
          <w:sz w:val="24"/>
          <w:szCs w:val="24"/>
        </w:rPr>
        <w:t xml:space="preserve"> legislation that the fed does not like.</w:t>
      </w:r>
    </w:p>
    <w:p w:rsidR="00B96598" w:rsidRPr="00B45A88" w:rsidRDefault="00B96598" w:rsidP="00B96598">
      <w:pPr>
        <w:numPr>
          <w:ilvl w:val="0"/>
          <w:numId w:val="11"/>
        </w:numPr>
        <w:rPr>
          <w:rFonts w:ascii="Times New Roman" w:hAnsi="Times New Roman"/>
          <w:b/>
          <w:bCs/>
          <w:i/>
          <w:iCs/>
          <w:sz w:val="24"/>
          <w:szCs w:val="24"/>
        </w:rPr>
      </w:pPr>
      <w:r w:rsidRPr="00B96598">
        <w:rPr>
          <w:rFonts w:ascii="Times New Roman" w:hAnsi="Times New Roman"/>
          <w:sz w:val="24"/>
          <w:szCs w:val="24"/>
        </w:rPr>
        <w:t>“The independence of the central bank has meant that it takes the long view and not the short view.” Is this statement true, false, or uncertain? Explain your answer.</w:t>
      </w:r>
      <w:r w:rsidR="00B45A88">
        <w:rPr>
          <w:rFonts w:ascii="Times New Roman" w:hAnsi="Times New Roman"/>
          <w:sz w:val="24"/>
          <w:szCs w:val="24"/>
        </w:rPr>
        <w:t xml:space="preserve"> </w:t>
      </w:r>
      <w:r w:rsidR="00B45A88" w:rsidRPr="00B45A88">
        <w:rPr>
          <w:rFonts w:ascii="Times New Roman" w:hAnsi="Times New Roman"/>
          <w:b/>
          <w:bCs/>
          <w:i/>
          <w:iCs/>
          <w:sz w:val="24"/>
          <w:szCs w:val="24"/>
        </w:rPr>
        <w:t xml:space="preserve">Uncertain. Although independence may help the Fed take the long view, because its personnel are not directly affected by </w:t>
      </w:r>
      <w:r w:rsidR="00B45A88">
        <w:rPr>
          <w:rFonts w:ascii="Times New Roman" w:hAnsi="Times New Roman"/>
          <w:b/>
          <w:bCs/>
          <w:i/>
          <w:iCs/>
          <w:sz w:val="24"/>
          <w:szCs w:val="24"/>
        </w:rPr>
        <w:t>the electoral motivations</w:t>
      </w:r>
      <w:r w:rsidR="00B45A88" w:rsidRPr="00B45A88">
        <w:rPr>
          <w:rFonts w:ascii="Times New Roman" w:hAnsi="Times New Roman"/>
          <w:b/>
          <w:bCs/>
          <w:i/>
          <w:iCs/>
          <w:sz w:val="24"/>
          <w:szCs w:val="24"/>
        </w:rPr>
        <w:t xml:space="preserve">, the Fed can still be influenced by political pressure. In addition, the lack of Fed accountability because of its independence may make the Fed more irresponsible. </w:t>
      </w:r>
      <w:proofErr w:type="gramStart"/>
      <w:r w:rsidR="00B45A88" w:rsidRPr="00B45A88">
        <w:rPr>
          <w:rFonts w:ascii="Times New Roman" w:hAnsi="Times New Roman"/>
          <w:b/>
          <w:bCs/>
          <w:i/>
          <w:iCs/>
          <w:sz w:val="24"/>
          <w:szCs w:val="24"/>
        </w:rPr>
        <w:t>Thus</w:t>
      </w:r>
      <w:proofErr w:type="gramEnd"/>
      <w:r w:rsidR="00B45A88" w:rsidRPr="00B45A88">
        <w:rPr>
          <w:rFonts w:ascii="Times New Roman" w:hAnsi="Times New Roman"/>
          <w:b/>
          <w:bCs/>
          <w:i/>
          <w:iCs/>
          <w:sz w:val="24"/>
          <w:szCs w:val="24"/>
        </w:rPr>
        <w:t xml:space="preserve"> it is not absolutely clear that the Fed is more far sighted as a result of its independence.</w:t>
      </w:r>
    </w:p>
    <w:p w:rsidR="00B96598" w:rsidRDefault="00B96598" w:rsidP="00B96598">
      <w:pPr>
        <w:numPr>
          <w:ilvl w:val="0"/>
          <w:numId w:val="11"/>
        </w:numPr>
        <w:rPr>
          <w:rFonts w:ascii="Times New Roman" w:hAnsi="Times New Roman"/>
          <w:sz w:val="24"/>
          <w:szCs w:val="24"/>
        </w:rPr>
      </w:pPr>
      <w:r w:rsidRPr="00B96598">
        <w:rPr>
          <w:rFonts w:ascii="Times New Roman" w:hAnsi="Times New Roman"/>
          <w:sz w:val="24"/>
          <w:szCs w:val="24"/>
        </w:rPr>
        <w:t>While the Fed promotes secrecy by not releasing the minutes of the FOMC meetings to Congress or the public immediately, the ECB holds a press conference after each of its meetings. Discuss the pros and cons of each of these policies.</w:t>
      </w:r>
    </w:p>
    <w:tbl>
      <w:tblPr>
        <w:tblStyle w:val="TableGrid"/>
        <w:tblW w:w="0" w:type="auto"/>
        <w:tblInd w:w="720" w:type="dxa"/>
        <w:tblLook w:val="04A0" w:firstRow="1" w:lastRow="0" w:firstColumn="1" w:lastColumn="0" w:noHBand="0" w:noVBand="1"/>
      </w:tblPr>
      <w:tblGrid>
        <w:gridCol w:w="2130"/>
        <w:gridCol w:w="2130"/>
        <w:gridCol w:w="2131"/>
        <w:gridCol w:w="2131"/>
      </w:tblGrid>
      <w:tr w:rsidR="00B45A88" w:rsidTr="000B24EE">
        <w:tc>
          <w:tcPr>
            <w:tcW w:w="4260" w:type="dxa"/>
            <w:gridSpan w:val="2"/>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Fed</w:t>
            </w:r>
          </w:p>
        </w:tc>
        <w:tc>
          <w:tcPr>
            <w:tcW w:w="4262" w:type="dxa"/>
            <w:gridSpan w:val="2"/>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ECB</w:t>
            </w:r>
          </w:p>
        </w:tc>
      </w:tr>
      <w:tr w:rsidR="00B45A88" w:rsidTr="00B45A88">
        <w:tc>
          <w:tcPr>
            <w:tcW w:w="2130" w:type="dxa"/>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pros</w:t>
            </w:r>
          </w:p>
        </w:tc>
        <w:tc>
          <w:tcPr>
            <w:tcW w:w="2130" w:type="dxa"/>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cons</w:t>
            </w:r>
          </w:p>
        </w:tc>
        <w:tc>
          <w:tcPr>
            <w:tcW w:w="2131" w:type="dxa"/>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pros</w:t>
            </w:r>
          </w:p>
        </w:tc>
        <w:tc>
          <w:tcPr>
            <w:tcW w:w="2131" w:type="dxa"/>
          </w:tcPr>
          <w:p w:rsidR="00B45A88" w:rsidRPr="00BC39BC" w:rsidRDefault="00B45A88" w:rsidP="00BC39BC">
            <w:pPr>
              <w:jc w:val="center"/>
              <w:rPr>
                <w:rFonts w:ascii="Times New Roman" w:hAnsi="Times New Roman"/>
                <w:b/>
                <w:bCs/>
                <w:sz w:val="24"/>
                <w:szCs w:val="24"/>
              </w:rPr>
            </w:pPr>
            <w:r w:rsidRPr="00BC39BC">
              <w:rPr>
                <w:rFonts w:ascii="Times New Roman" w:hAnsi="Times New Roman"/>
                <w:b/>
                <w:bCs/>
                <w:sz w:val="24"/>
                <w:szCs w:val="24"/>
              </w:rPr>
              <w:t>cons</w:t>
            </w:r>
          </w:p>
        </w:tc>
      </w:tr>
      <w:tr w:rsidR="00B45A88" w:rsidTr="00B45A88">
        <w:tc>
          <w:tcPr>
            <w:tcW w:w="2130" w:type="dxa"/>
          </w:tcPr>
          <w:p w:rsidR="00B45A88" w:rsidRDefault="00B45A88" w:rsidP="00B45A88">
            <w:pPr>
              <w:pStyle w:val="ListParagraph"/>
              <w:numPr>
                <w:ilvl w:val="0"/>
                <w:numId w:val="13"/>
              </w:numPr>
              <w:ind w:left="90" w:hanging="180"/>
              <w:rPr>
                <w:rFonts w:ascii="Times New Roman" w:hAnsi="Times New Roman"/>
                <w:sz w:val="24"/>
                <w:szCs w:val="24"/>
              </w:rPr>
            </w:pPr>
            <w:r>
              <w:rPr>
                <w:rFonts w:ascii="Times New Roman" w:hAnsi="Times New Roman"/>
                <w:sz w:val="24"/>
                <w:szCs w:val="24"/>
              </w:rPr>
              <w:t>T</w:t>
            </w:r>
            <w:r w:rsidRPr="00B45A88">
              <w:rPr>
                <w:rFonts w:ascii="Times New Roman" w:hAnsi="Times New Roman"/>
                <w:sz w:val="24"/>
                <w:szCs w:val="24"/>
              </w:rPr>
              <w:t xml:space="preserve">he Fed maintains </w:t>
            </w:r>
            <w:r w:rsidRPr="00B45A88">
              <w:rPr>
                <w:rFonts w:ascii="Times New Roman" w:hAnsi="Times New Roman"/>
                <w:b/>
                <w:bCs/>
                <w:sz w:val="24"/>
                <w:szCs w:val="24"/>
              </w:rPr>
              <w:t>flexibility</w:t>
            </w:r>
            <w:r w:rsidRPr="00B45A88">
              <w:rPr>
                <w:rFonts w:ascii="Times New Roman" w:hAnsi="Times New Roman"/>
                <w:sz w:val="24"/>
                <w:szCs w:val="24"/>
              </w:rPr>
              <w:t xml:space="preserve"> in adjusting its policies as economic conditions evolve</w:t>
            </w:r>
            <w:r>
              <w:rPr>
                <w:rFonts w:ascii="Times New Roman" w:hAnsi="Times New Roman"/>
                <w:sz w:val="24"/>
                <w:szCs w:val="24"/>
              </w:rPr>
              <w:t>.</w:t>
            </w:r>
          </w:p>
          <w:p w:rsidR="00B45A88" w:rsidRPr="00B45A88" w:rsidRDefault="00B45A88" w:rsidP="00B45A88">
            <w:pPr>
              <w:pStyle w:val="ListParagraph"/>
              <w:numPr>
                <w:ilvl w:val="0"/>
                <w:numId w:val="13"/>
              </w:numPr>
              <w:ind w:left="90" w:hanging="180"/>
              <w:rPr>
                <w:rFonts w:ascii="Times New Roman" w:hAnsi="Times New Roman"/>
                <w:sz w:val="24"/>
                <w:szCs w:val="24"/>
              </w:rPr>
            </w:pPr>
            <w:r>
              <w:rPr>
                <w:rFonts w:ascii="Times New Roman" w:hAnsi="Times New Roman"/>
                <w:sz w:val="24"/>
                <w:szCs w:val="24"/>
              </w:rPr>
              <w:t>A</w:t>
            </w:r>
            <w:r w:rsidRPr="00B45A88">
              <w:rPr>
                <w:rFonts w:ascii="Times New Roman" w:hAnsi="Times New Roman"/>
                <w:sz w:val="24"/>
                <w:szCs w:val="24"/>
              </w:rPr>
              <w:t>void sudden market reactions and excessive volatility</w:t>
            </w:r>
            <w:r>
              <w:rPr>
                <w:rFonts w:ascii="Times New Roman" w:hAnsi="Times New Roman"/>
                <w:sz w:val="24"/>
                <w:szCs w:val="24"/>
              </w:rPr>
              <w:t>.</w:t>
            </w:r>
          </w:p>
        </w:tc>
        <w:tc>
          <w:tcPr>
            <w:tcW w:w="2130" w:type="dxa"/>
          </w:tcPr>
          <w:p w:rsidR="00B45A88" w:rsidRDefault="00B45A88" w:rsidP="00B45A88">
            <w:pPr>
              <w:pStyle w:val="ListParagraph"/>
              <w:numPr>
                <w:ilvl w:val="0"/>
                <w:numId w:val="13"/>
              </w:numPr>
              <w:ind w:left="114" w:hanging="180"/>
              <w:rPr>
                <w:rFonts w:ascii="Times New Roman" w:hAnsi="Times New Roman"/>
                <w:sz w:val="24"/>
                <w:szCs w:val="24"/>
              </w:rPr>
            </w:pPr>
            <w:r w:rsidRPr="00B45A88">
              <w:rPr>
                <w:rFonts w:ascii="Times New Roman" w:hAnsi="Times New Roman"/>
                <w:sz w:val="24"/>
                <w:szCs w:val="24"/>
              </w:rPr>
              <w:t>lacking transparency and accountability</w:t>
            </w:r>
            <w:r>
              <w:rPr>
                <w:rFonts w:ascii="Times New Roman" w:hAnsi="Times New Roman"/>
                <w:sz w:val="24"/>
                <w:szCs w:val="24"/>
              </w:rPr>
              <w:t>.</w:t>
            </w:r>
          </w:p>
          <w:p w:rsidR="00B45A88" w:rsidRPr="00B45A88" w:rsidRDefault="00B45A88" w:rsidP="00B45A88">
            <w:pPr>
              <w:pStyle w:val="ListParagraph"/>
              <w:numPr>
                <w:ilvl w:val="0"/>
                <w:numId w:val="13"/>
              </w:numPr>
              <w:ind w:left="114" w:hanging="180"/>
              <w:rPr>
                <w:rFonts w:ascii="Times New Roman" w:hAnsi="Times New Roman"/>
                <w:sz w:val="24"/>
                <w:szCs w:val="24"/>
              </w:rPr>
            </w:pPr>
            <w:r>
              <w:rPr>
                <w:rFonts w:ascii="Times New Roman" w:hAnsi="Times New Roman"/>
                <w:sz w:val="24"/>
                <w:szCs w:val="24"/>
              </w:rPr>
              <w:t>M</w:t>
            </w:r>
            <w:r w:rsidRPr="00B45A88">
              <w:rPr>
                <w:rFonts w:ascii="Times New Roman" w:hAnsi="Times New Roman"/>
                <w:sz w:val="24"/>
                <w:szCs w:val="24"/>
              </w:rPr>
              <w:t>ake it harder for stakeholders to evaluate the Fed's decisions and hold it accountable for its actions</w:t>
            </w:r>
            <w:r>
              <w:rPr>
                <w:rFonts w:ascii="Times New Roman" w:hAnsi="Times New Roman"/>
                <w:sz w:val="24"/>
                <w:szCs w:val="24"/>
              </w:rPr>
              <w:t>.</w:t>
            </w:r>
          </w:p>
        </w:tc>
        <w:tc>
          <w:tcPr>
            <w:tcW w:w="2131" w:type="dxa"/>
          </w:tcPr>
          <w:p w:rsidR="00B45A88" w:rsidRDefault="00BC39BC" w:rsidP="00BC39BC">
            <w:pPr>
              <w:pStyle w:val="ListParagraph"/>
              <w:numPr>
                <w:ilvl w:val="0"/>
                <w:numId w:val="13"/>
              </w:numPr>
              <w:ind w:left="144" w:hanging="210"/>
              <w:rPr>
                <w:rFonts w:ascii="Times New Roman" w:hAnsi="Times New Roman"/>
                <w:sz w:val="24"/>
                <w:szCs w:val="24"/>
              </w:rPr>
            </w:pPr>
            <w:r>
              <w:rPr>
                <w:rFonts w:ascii="Times New Roman" w:hAnsi="Times New Roman"/>
                <w:sz w:val="24"/>
                <w:szCs w:val="24"/>
              </w:rPr>
              <w:t>P</w:t>
            </w:r>
            <w:r w:rsidRPr="00BC39BC">
              <w:rPr>
                <w:rFonts w:ascii="Times New Roman" w:hAnsi="Times New Roman"/>
                <w:sz w:val="24"/>
                <w:szCs w:val="24"/>
              </w:rPr>
              <w:t>rovides immediate access to information and promotes transparency</w:t>
            </w:r>
            <w:r>
              <w:rPr>
                <w:rFonts w:ascii="Times New Roman" w:hAnsi="Times New Roman"/>
                <w:sz w:val="24"/>
                <w:szCs w:val="24"/>
              </w:rPr>
              <w:t>.</w:t>
            </w:r>
          </w:p>
          <w:p w:rsidR="00BC39BC" w:rsidRPr="00BC39BC" w:rsidRDefault="00BC39BC" w:rsidP="00BC39BC">
            <w:pPr>
              <w:pStyle w:val="ListParagraph"/>
              <w:numPr>
                <w:ilvl w:val="0"/>
                <w:numId w:val="13"/>
              </w:numPr>
              <w:ind w:left="144" w:hanging="210"/>
              <w:rPr>
                <w:rFonts w:ascii="Times New Roman" w:hAnsi="Times New Roman"/>
                <w:sz w:val="24"/>
                <w:szCs w:val="24"/>
              </w:rPr>
            </w:pPr>
            <w:r>
              <w:rPr>
                <w:rFonts w:ascii="Times New Roman" w:hAnsi="Times New Roman"/>
                <w:sz w:val="24"/>
                <w:szCs w:val="24"/>
              </w:rPr>
              <w:t>A</w:t>
            </w:r>
            <w:r w:rsidRPr="00BC39BC">
              <w:rPr>
                <w:rFonts w:ascii="Times New Roman" w:hAnsi="Times New Roman"/>
                <w:sz w:val="24"/>
                <w:szCs w:val="24"/>
              </w:rPr>
              <w:t>lign market expectations and reduce uncertainties.</w:t>
            </w:r>
          </w:p>
        </w:tc>
        <w:tc>
          <w:tcPr>
            <w:tcW w:w="2131" w:type="dxa"/>
          </w:tcPr>
          <w:p w:rsidR="00B45A88" w:rsidRDefault="00BC39BC" w:rsidP="00BC39BC">
            <w:pPr>
              <w:pStyle w:val="ListParagraph"/>
              <w:numPr>
                <w:ilvl w:val="0"/>
                <w:numId w:val="13"/>
              </w:numPr>
              <w:ind w:left="210" w:hanging="186"/>
              <w:rPr>
                <w:rFonts w:ascii="Times New Roman" w:hAnsi="Times New Roman"/>
                <w:sz w:val="24"/>
                <w:szCs w:val="24"/>
              </w:rPr>
            </w:pPr>
            <w:r>
              <w:rPr>
                <w:rFonts w:ascii="Times New Roman" w:hAnsi="Times New Roman"/>
                <w:sz w:val="24"/>
                <w:szCs w:val="24"/>
              </w:rPr>
              <w:t>M</w:t>
            </w:r>
            <w:r w:rsidRPr="00BC39BC">
              <w:rPr>
                <w:rFonts w:ascii="Times New Roman" w:hAnsi="Times New Roman"/>
                <w:sz w:val="24"/>
                <w:szCs w:val="24"/>
              </w:rPr>
              <w:t>arket volatility</w:t>
            </w:r>
            <w:r>
              <w:rPr>
                <w:rFonts w:ascii="Times New Roman" w:hAnsi="Times New Roman"/>
                <w:sz w:val="24"/>
                <w:szCs w:val="24"/>
              </w:rPr>
              <w:t>.</w:t>
            </w:r>
          </w:p>
          <w:p w:rsidR="00BC39BC" w:rsidRPr="00BC39BC" w:rsidRDefault="00BC39BC" w:rsidP="00BC39BC">
            <w:pPr>
              <w:pStyle w:val="ListParagraph"/>
              <w:numPr>
                <w:ilvl w:val="0"/>
                <w:numId w:val="13"/>
              </w:numPr>
              <w:ind w:left="210" w:hanging="186"/>
              <w:rPr>
                <w:rFonts w:ascii="Times New Roman" w:hAnsi="Times New Roman"/>
                <w:sz w:val="24"/>
                <w:szCs w:val="24"/>
              </w:rPr>
            </w:pPr>
            <w:r>
              <w:rPr>
                <w:rFonts w:ascii="Times New Roman" w:hAnsi="Times New Roman"/>
                <w:sz w:val="24"/>
                <w:szCs w:val="24"/>
              </w:rPr>
              <w:t>L</w:t>
            </w:r>
            <w:r w:rsidRPr="00BC39BC">
              <w:rPr>
                <w:rFonts w:ascii="Times New Roman" w:hAnsi="Times New Roman"/>
                <w:sz w:val="24"/>
                <w:szCs w:val="24"/>
              </w:rPr>
              <w:t>imit its flexibility to adjust policies swiftly if economic conditions or circumstances change rapidly</w:t>
            </w:r>
            <w:r>
              <w:rPr>
                <w:rFonts w:ascii="Times New Roman" w:hAnsi="Times New Roman"/>
                <w:sz w:val="24"/>
                <w:szCs w:val="24"/>
              </w:rPr>
              <w:t>.</w:t>
            </w:r>
          </w:p>
        </w:tc>
      </w:tr>
    </w:tbl>
    <w:p w:rsidR="00B45A88" w:rsidRDefault="00B45A88" w:rsidP="00B45A88">
      <w:pPr>
        <w:ind w:left="720"/>
        <w:rPr>
          <w:rFonts w:ascii="Times New Roman" w:hAnsi="Times New Roman"/>
          <w:sz w:val="24"/>
          <w:szCs w:val="24"/>
        </w:rPr>
      </w:pPr>
    </w:p>
    <w:p w:rsidR="00B96598" w:rsidRDefault="00B96598" w:rsidP="00A756B2">
      <w:pPr>
        <w:ind w:left="720"/>
        <w:rPr>
          <w:rFonts w:ascii="Times New Roman" w:hAnsi="Times New Roman"/>
          <w:sz w:val="24"/>
          <w:szCs w:val="24"/>
        </w:rPr>
      </w:pPr>
    </w:p>
    <w:sectPr w:rsidR="00B9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A6D"/>
    <w:multiLevelType w:val="hybridMultilevel"/>
    <w:tmpl w:val="A9884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70598"/>
    <w:multiLevelType w:val="hybridMultilevel"/>
    <w:tmpl w:val="016A7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E643E"/>
    <w:multiLevelType w:val="hybridMultilevel"/>
    <w:tmpl w:val="DD62A7EA"/>
    <w:lvl w:ilvl="0" w:tplc="FCD07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C266D4"/>
    <w:multiLevelType w:val="hybridMultilevel"/>
    <w:tmpl w:val="874ABB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B80776"/>
    <w:multiLevelType w:val="hybridMultilevel"/>
    <w:tmpl w:val="100AB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150A12"/>
    <w:multiLevelType w:val="hybridMultilevel"/>
    <w:tmpl w:val="068EC728"/>
    <w:lvl w:ilvl="0" w:tplc="0809000F">
      <w:start w:val="1"/>
      <w:numFmt w:val="decimal"/>
      <w:lvlText w:val="%1."/>
      <w:lvlJc w:val="left"/>
      <w:pPr>
        <w:ind w:left="720" w:hanging="360"/>
      </w:pPr>
    </w:lvl>
    <w:lvl w:ilvl="1" w:tplc="C1C2A3D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8D5A60"/>
    <w:multiLevelType w:val="hybridMultilevel"/>
    <w:tmpl w:val="F4C0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F6F31"/>
    <w:multiLevelType w:val="hybridMultilevel"/>
    <w:tmpl w:val="3F6805FA"/>
    <w:lvl w:ilvl="0" w:tplc="086EE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3E1B"/>
    <w:multiLevelType w:val="hybridMultilevel"/>
    <w:tmpl w:val="EB5CD656"/>
    <w:lvl w:ilvl="0" w:tplc="DDD00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073EEA"/>
    <w:multiLevelType w:val="hybridMultilevel"/>
    <w:tmpl w:val="F7FC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F1368"/>
    <w:multiLevelType w:val="hybridMultilevel"/>
    <w:tmpl w:val="12ACB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169243">
    <w:abstractNumId w:val="6"/>
  </w:num>
  <w:num w:numId="2" w16cid:durableId="2097825860">
    <w:abstractNumId w:val="3"/>
  </w:num>
  <w:num w:numId="3" w16cid:durableId="1724716537">
    <w:abstractNumId w:val="7"/>
  </w:num>
  <w:num w:numId="4" w16cid:durableId="394739042">
    <w:abstractNumId w:val="0"/>
  </w:num>
  <w:num w:numId="5" w16cid:durableId="42676248">
    <w:abstractNumId w:val="1"/>
  </w:num>
  <w:num w:numId="6" w16cid:durableId="1144153559">
    <w:abstractNumId w:val="12"/>
  </w:num>
  <w:num w:numId="7" w16cid:durableId="1848251252">
    <w:abstractNumId w:val="8"/>
  </w:num>
  <w:num w:numId="8" w16cid:durableId="1523975887">
    <w:abstractNumId w:val="10"/>
  </w:num>
  <w:num w:numId="9" w16cid:durableId="1182163899">
    <w:abstractNumId w:val="4"/>
  </w:num>
  <w:num w:numId="10" w16cid:durableId="1769883066">
    <w:abstractNumId w:val="5"/>
  </w:num>
  <w:num w:numId="11" w16cid:durableId="78790501">
    <w:abstractNumId w:val="11"/>
  </w:num>
  <w:num w:numId="12" w16cid:durableId="394740175">
    <w:abstractNumId w:val="2"/>
  </w:num>
  <w:num w:numId="13" w16cid:durableId="862092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55836"/>
    <w:rsid w:val="00060072"/>
    <w:rsid w:val="00067639"/>
    <w:rsid w:val="00101037"/>
    <w:rsid w:val="00124FB9"/>
    <w:rsid w:val="002634DC"/>
    <w:rsid w:val="00276E63"/>
    <w:rsid w:val="002A0D3F"/>
    <w:rsid w:val="002E384B"/>
    <w:rsid w:val="00373A8E"/>
    <w:rsid w:val="00401039"/>
    <w:rsid w:val="004052E3"/>
    <w:rsid w:val="00416AAF"/>
    <w:rsid w:val="004D1584"/>
    <w:rsid w:val="004E67F7"/>
    <w:rsid w:val="005D0575"/>
    <w:rsid w:val="005F11B0"/>
    <w:rsid w:val="006746FF"/>
    <w:rsid w:val="00695164"/>
    <w:rsid w:val="006B01B5"/>
    <w:rsid w:val="007528A8"/>
    <w:rsid w:val="007A4FAD"/>
    <w:rsid w:val="007F6946"/>
    <w:rsid w:val="008325C0"/>
    <w:rsid w:val="008A01DC"/>
    <w:rsid w:val="008A6561"/>
    <w:rsid w:val="008E7605"/>
    <w:rsid w:val="0090583C"/>
    <w:rsid w:val="00996C2D"/>
    <w:rsid w:val="009D17BA"/>
    <w:rsid w:val="009F44D7"/>
    <w:rsid w:val="00A756B2"/>
    <w:rsid w:val="00AA7D04"/>
    <w:rsid w:val="00B10DC7"/>
    <w:rsid w:val="00B22345"/>
    <w:rsid w:val="00B33698"/>
    <w:rsid w:val="00B45A88"/>
    <w:rsid w:val="00B5628F"/>
    <w:rsid w:val="00B6071B"/>
    <w:rsid w:val="00B6722F"/>
    <w:rsid w:val="00B7026A"/>
    <w:rsid w:val="00B77BDB"/>
    <w:rsid w:val="00B96598"/>
    <w:rsid w:val="00BA7B2D"/>
    <w:rsid w:val="00BC39BC"/>
    <w:rsid w:val="00BE1B3D"/>
    <w:rsid w:val="00C50DCF"/>
    <w:rsid w:val="00C61DC4"/>
    <w:rsid w:val="00CB6C22"/>
    <w:rsid w:val="00D42B2D"/>
    <w:rsid w:val="00D73A69"/>
    <w:rsid w:val="00D81139"/>
    <w:rsid w:val="00D849A9"/>
    <w:rsid w:val="00DF2743"/>
    <w:rsid w:val="00E04065"/>
    <w:rsid w:val="00E260B1"/>
    <w:rsid w:val="00E3436F"/>
    <w:rsid w:val="00E71A3F"/>
    <w:rsid w:val="00E84A66"/>
    <w:rsid w:val="00F0363B"/>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9D87"/>
  <w15:docId w15:val="{6D0A4D53-071B-47BC-B765-B9A6332E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0072"/>
    <w:pPr>
      <w:ind w:left="720"/>
      <w:contextualSpacing/>
    </w:pPr>
  </w:style>
  <w:style w:type="character" w:styleId="Hyperlink">
    <w:name w:val="Hyperlink"/>
    <w:basedOn w:val="DefaultParagraphFont"/>
    <w:unhideWhenUsed/>
    <w:rsid w:val="00067639"/>
    <w:rPr>
      <w:color w:val="0000FF"/>
      <w:u w:val="single"/>
    </w:rPr>
  </w:style>
  <w:style w:type="character" w:styleId="FollowedHyperlink">
    <w:name w:val="FollowedHyperlink"/>
    <w:basedOn w:val="DefaultParagraphFont"/>
    <w:uiPriority w:val="99"/>
    <w:semiHidden/>
    <w:unhideWhenUsed/>
    <w:rsid w:val="002E384B"/>
    <w:rPr>
      <w:color w:val="800080" w:themeColor="followedHyperlink"/>
      <w:u w:val="single"/>
    </w:rPr>
  </w:style>
  <w:style w:type="paragraph" w:styleId="BalloonText">
    <w:name w:val="Balloon Text"/>
    <w:basedOn w:val="Normal"/>
    <w:link w:val="BalloonTextChar"/>
    <w:uiPriority w:val="99"/>
    <w:semiHidden/>
    <w:unhideWhenUsed/>
    <w:rsid w:val="00E26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1"/>
    <w:rPr>
      <w:rFonts w:ascii="Tahoma" w:hAnsi="Tahoma" w:cs="Tahoma"/>
      <w:sz w:val="16"/>
      <w:szCs w:val="16"/>
    </w:rPr>
  </w:style>
  <w:style w:type="table" w:styleId="TableGrid">
    <w:name w:val="Table Grid"/>
    <w:basedOn w:val="TableNormal"/>
    <w:uiPriority w:val="59"/>
    <w:rsid w:val="00B4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13</cp:revision>
  <dcterms:created xsi:type="dcterms:W3CDTF">2012-09-07T05:24:00Z</dcterms:created>
  <dcterms:modified xsi:type="dcterms:W3CDTF">2023-06-20T15:40:00Z</dcterms:modified>
</cp:coreProperties>
</file>