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3378" w:rsidRPr="006E3378" w:rsidRDefault="006E3378" w:rsidP="006E3378">
      <w:pPr>
        <w:spacing w:after="75" w:line="240" w:lineRule="auto"/>
        <w:jc w:val="center"/>
        <w:rPr>
          <w:rFonts w:ascii="Arial" w:eastAsia="Times New Roman" w:hAnsi="Arial" w:cs="Arial"/>
          <w:color w:val="212529"/>
          <w:sz w:val="21"/>
          <w:szCs w:val="21"/>
        </w:rPr>
      </w:pPr>
      <w:bookmarkStart w:id="0" w:name="_GoBack"/>
      <w:bookmarkEnd w:id="0"/>
      <w:r w:rsidRPr="006E3378">
        <w:rPr>
          <w:rFonts w:ascii="Arial" w:eastAsia="Times New Roman" w:hAnsi="Arial" w:cs="Arial"/>
          <w:b/>
          <w:bCs/>
          <w:color w:val="000000"/>
          <w:sz w:val="21"/>
          <w:szCs w:val="21"/>
        </w:rPr>
        <w:t>Chương trình khung HL nhóm 1:</w:t>
      </w:r>
      <w:r w:rsidRPr="006E3378">
        <w:rPr>
          <w:rFonts w:ascii="Arial" w:eastAsia="Times New Roman" w:hAnsi="Arial" w:cs="Arial"/>
          <w:i/>
          <w:iCs/>
          <w:color w:val="000000"/>
          <w:sz w:val="21"/>
          <w:szCs w:val="21"/>
        </w:rPr>
        <w:t> </w:t>
      </w:r>
      <w:r w:rsidRPr="006E3378">
        <w:rPr>
          <w:rFonts w:ascii="Arial" w:eastAsia="Times New Roman" w:hAnsi="Arial" w:cs="Arial"/>
          <w:b/>
          <w:bCs/>
          <w:i/>
          <w:iCs/>
          <w:color w:val="000000"/>
          <w:sz w:val="21"/>
          <w:szCs w:val="21"/>
        </w:rPr>
        <w:t>Người làm công tác chỉ huy, quản lý</w:t>
      </w:r>
    </w:p>
    <w:p w:rsidR="006E3378" w:rsidRPr="006E3378" w:rsidRDefault="006E3378" w:rsidP="006E3378">
      <w:pPr>
        <w:spacing w:after="75" w:line="240" w:lineRule="auto"/>
        <w:jc w:val="both"/>
        <w:rPr>
          <w:rFonts w:ascii="Arial" w:eastAsia="Times New Roman" w:hAnsi="Arial" w:cs="Arial"/>
          <w:color w:val="212529"/>
          <w:sz w:val="21"/>
          <w:szCs w:val="21"/>
        </w:rPr>
      </w:pPr>
      <w:r w:rsidRPr="006E3378">
        <w:rPr>
          <w:rFonts w:ascii="Arial" w:eastAsia="Times New Roman" w:hAnsi="Arial" w:cs="Arial"/>
          <w:color w:val="000000"/>
          <w:sz w:val="21"/>
          <w:szCs w:val="21"/>
        </w:rPr>
        <w:t>a) Chỉ huy trưởng các đơn vị cấp trung đoàn và tương đương, sư đoàn và tương đương; tổng giám đốc, giám đốc các doanh nghiệp tương đương cấp trung đoàn trở lên và  Cấp phó của các đơn vị này được giao nhiệm vụ phụ trách công tác AT,VSLĐ. </w:t>
      </w:r>
    </w:p>
    <w:p w:rsidR="006E3378" w:rsidRPr="006E3378" w:rsidRDefault="006E3378" w:rsidP="006E3378">
      <w:pPr>
        <w:spacing w:after="75" w:line="240" w:lineRule="auto"/>
        <w:jc w:val="both"/>
        <w:rPr>
          <w:rFonts w:ascii="Arial" w:eastAsia="Times New Roman" w:hAnsi="Arial" w:cs="Arial"/>
          <w:color w:val="212529"/>
          <w:sz w:val="21"/>
          <w:szCs w:val="21"/>
        </w:rPr>
      </w:pPr>
      <w:r w:rsidRPr="006E3378">
        <w:rPr>
          <w:rFonts w:ascii="Arial" w:eastAsia="Times New Roman" w:hAnsi="Arial" w:cs="Arial"/>
          <w:color w:val="000000"/>
          <w:sz w:val="21"/>
          <w:szCs w:val="21"/>
        </w:rPr>
        <w:t>b) Chủ nhiệm, phó chủ nhiệm kỹ thuật cấp trung đoàn, sư đoàn và tương đương; chủ nhiệm, phó chủ nhiệm kho: Vũ khí, đạn dược, hóa chất, xăng dầu cấp chiến thuật, chiến dịch và chiến lược.</w:t>
      </w:r>
    </w:p>
    <w:tbl>
      <w:tblPr>
        <w:tblW w:w="1350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32"/>
        <w:gridCol w:w="6871"/>
        <w:gridCol w:w="1375"/>
        <w:gridCol w:w="1374"/>
        <w:gridCol w:w="1374"/>
        <w:gridCol w:w="1374"/>
      </w:tblGrid>
      <w:tr w:rsidR="006E3378" w:rsidRPr="006E3378" w:rsidTr="006E3378">
        <w:trPr>
          <w:tblHeader/>
        </w:trPr>
        <w:tc>
          <w:tcPr>
            <w:tcW w:w="81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STT</w:t>
            </w:r>
          </w:p>
        </w:tc>
        <w:tc>
          <w:tcPr>
            <w:tcW w:w="496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NỘI DUNG HUẤN LUYỆN</w:t>
            </w:r>
          </w:p>
        </w:tc>
        <w:tc>
          <w:tcPr>
            <w:tcW w:w="3969"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Thời gian huấn luyện (giờ)</w:t>
            </w:r>
          </w:p>
        </w:tc>
      </w:tr>
      <w:tr w:rsidR="006E3378" w:rsidRPr="006E3378" w:rsidTr="006E3378">
        <w:trPr>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6E3378" w:rsidRPr="006E3378" w:rsidRDefault="006E3378" w:rsidP="006E3378">
            <w:pPr>
              <w:spacing w:after="0" w:line="240" w:lineRule="auto"/>
              <w:rPr>
                <w:rFonts w:eastAsia="Times New Roman" w:cs="Times New Roman"/>
                <w:b/>
                <w:bCs/>
                <w:szCs w:val="24"/>
              </w:rPr>
            </w:pPr>
          </w:p>
        </w:tc>
        <w:tc>
          <w:tcPr>
            <w:tcW w:w="0" w:type="auto"/>
            <w:vMerge/>
            <w:tcBorders>
              <w:top w:val="single" w:sz="8" w:space="0" w:color="auto"/>
              <w:left w:val="nil"/>
              <w:bottom w:val="single" w:sz="8" w:space="0" w:color="auto"/>
              <w:right w:val="single" w:sz="8" w:space="0" w:color="auto"/>
            </w:tcBorders>
            <w:vAlign w:val="center"/>
            <w:hideMark/>
          </w:tcPr>
          <w:p w:rsidR="006E3378" w:rsidRPr="006E3378" w:rsidRDefault="006E3378" w:rsidP="006E3378">
            <w:pPr>
              <w:spacing w:after="0" w:line="240" w:lineRule="auto"/>
              <w:rPr>
                <w:rFonts w:eastAsia="Times New Roman" w:cs="Times New Roman"/>
                <w:b/>
                <w:bCs/>
                <w:szCs w:val="24"/>
              </w:rPr>
            </w:pPr>
          </w:p>
        </w:tc>
        <w:tc>
          <w:tcPr>
            <w:tcW w:w="993"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Tổng số</w:t>
            </w:r>
          </w:p>
        </w:tc>
        <w:tc>
          <w:tcPr>
            <w:tcW w:w="2976" w:type="dxa"/>
            <w:gridSpan w:val="3"/>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Trong đó</w:t>
            </w:r>
          </w:p>
        </w:tc>
      </w:tr>
      <w:tr w:rsidR="006E3378" w:rsidRPr="006E3378" w:rsidTr="006E3378">
        <w:trPr>
          <w:tblHeader/>
        </w:trPr>
        <w:tc>
          <w:tcPr>
            <w:tcW w:w="0" w:type="auto"/>
            <w:vMerge/>
            <w:tcBorders>
              <w:top w:val="single" w:sz="8" w:space="0" w:color="auto"/>
              <w:left w:val="single" w:sz="8" w:space="0" w:color="auto"/>
              <w:bottom w:val="single" w:sz="8" w:space="0" w:color="auto"/>
              <w:right w:val="single" w:sz="8" w:space="0" w:color="auto"/>
            </w:tcBorders>
            <w:vAlign w:val="center"/>
            <w:hideMark/>
          </w:tcPr>
          <w:p w:rsidR="006E3378" w:rsidRPr="006E3378" w:rsidRDefault="006E3378" w:rsidP="006E3378">
            <w:pPr>
              <w:spacing w:after="0" w:line="240" w:lineRule="auto"/>
              <w:rPr>
                <w:rFonts w:eastAsia="Times New Roman" w:cs="Times New Roman"/>
                <w:b/>
                <w:bCs/>
                <w:szCs w:val="24"/>
              </w:rPr>
            </w:pPr>
          </w:p>
        </w:tc>
        <w:tc>
          <w:tcPr>
            <w:tcW w:w="0" w:type="auto"/>
            <w:vMerge/>
            <w:tcBorders>
              <w:top w:val="single" w:sz="8" w:space="0" w:color="auto"/>
              <w:left w:val="nil"/>
              <w:bottom w:val="single" w:sz="8" w:space="0" w:color="auto"/>
              <w:right w:val="single" w:sz="8" w:space="0" w:color="auto"/>
            </w:tcBorders>
            <w:vAlign w:val="center"/>
            <w:hideMark/>
          </w:tcPr>
          <w:p w:rsidR="006E3378" w:rsidRPr="006E3378" w:rsidRDefault="006E3378" w:rsidP="006E3378">
            <w:pPr>
              <w:spacing w:after="0" w:line="240" w:lineRule="auto"/>
              <w:rPr>
                <w:rFonts w:eastAsia="Times New Roman" w:cs="Times New Roman"/>
                <w:b/>
                <w:bCs/>
                <w:szCs w:val="24"/>
              </w:rPr>
            </w:pPr>
          </w:p>
        </w:tc>
        <w:tc>
          <w:tcPr>
            <w:tcW w:w="0" w:type="auto"/>
            <w:vMerge/>
            <w:tcBorders>
              <w:top w:val="nil"/>
              <w:left w:val="nil"/>
              <w:bottom w:val="single" w:sz="8" w:space="0" w:color="auto"/>
              <w:right w:val="single" w:sz="8" w:space="0" w:color="auto"/>
            </w:tcBorders>
            <w:vAlign w:val="center"/>
            <w:hideMark/>
          </w:tcPr>
          <w:p w:rsidR="006E3378" w:rsidRPr="006E3378" w:rsidRDefault="006E3378" w:rsidP="006E3378">
            <w:pPr>
              <w:spacing w:after="0" w:line="240" w:lineRule="auto"/>
              <w:rPr>
                <w:rFonts w:eastAsia="Times New Roman" w:cs="Times New Roman"/>
                <w:b/>
                <w:bCs/>
                <w:szCs w:val="24"/>
              </w:rPr>
            </w:pP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Lý thuyết</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Thực hành</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b/>
                <w:bCs/>
                <w:szCs w:val="24"/>
              </w:rPr>
            </w:pPr>
            <w:r w:rsidRPr="006E3378">
              <w:rPr>
                <w:rFonts w:eastAsia="Times New Roman" w:cs="Times New Roman"/>
                <w:b/>
                <w:bCs/>
                <w:color w:val="000000"/>
                <w:szCs w:val="24"/>
              </w:rPr>
              <w:t>Kiểm tra</w:t>
            </w:r>
          </w:p>
        </w:tc>
      </w:tr>
      <w:tr w:rsidR="006E3378" w:rsidRPr="006E3378" w:rsidTr="006E3378">
        <w:trPr>
          <w:trHeight w:val="723"/>
        </w:trPr>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I</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0" w:line="240" w:lineRule="auto"/>
              <w:rPr>
                <w:rFonts w:eastAsia="Times New Roman" w:cs="Times New Roman"/>
                <w:szCs w:val="24"/>
              </w:rPr>
            </w:pPr>
            <w:r w:rsidRPr="006E3378">
              <w:rPr>
                <w:rFonts w:eastAsia="Times New Roman" w:cs="Times New Roman"/>
                <w:b/>
                <w:bCs/>
                <w:color w:val="000000"/>
                <w:szCs w:val="24"/>
              </w:rPr>
              <w:t>Hệ thống chính sách, pháp luật về an toàn, vệ sinh lao động</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8</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8</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0</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0</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i/>
                <w:iCs/>
                <w:color w:val="000000"/>
                <w:szCs w:val="24"/>
              </w:rPr>
              <w:t>   Tổng quan về hệ thống văn bản quy phạm pháp luật về an toàn, vệ sinh lao động, trọng tâm giới thiệu:</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1- Giới thiệu tóm tắt Luật An toàn, vệ sinh lao động; Nghị định số 37, 39 và 44/2016/NĐ-CP ngày 15/5/2016 của Chính phủ quy định chi tiết một số điều của Luật An toàn, vệ sinh lao động.</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2- Chỉ thị số 100 ngày 29/12/2016 của Bộ trưởng BQP về việc triển khai thực hiện Tháng hành động về, an toàn vệ sinh lao động;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3- Quyết định 07/QĐHN-BQP ngày 28/6/2013 của Bộ Quốc phòng về việc quy định chế độ, tiêu chuẩn trang bị, phương tiện bảo vệ cá nhân trong lao động lĩnh vực quân sự (</w:t>
            </w:r>
            <w:r w:rsidRPr="006E3378">
              <w:rPr>
                <w:rFonts w:eastAsia="Times New Roman" w:cs="Times New Roman"/>
                <w:i/>
                <w:iCs/>
                <w:color w:val="000000"/>
                <w:szCs w:val="24"/>
              </w:rPr>
              <w:t>Hợp nhất QĐ số 1255/QĐ-BQP ngày 25/9/1997 và QĐ số 67/2007/QĐ-BQP ngày 09/4/2007</w:t>
            </w:r>
            <w:r w:rsidRPr="006E3378">
              <w:rPr>
                <w:rFonts w:eastAsia="Times New Roman" w:cs="Times New Roman"/>
                <w:color w:val="000000"/>
                <w:szCs w:val="24"/>
              </w:rPr>
              <w:t>)</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4- Thông tư số 01/2017/TT-BQP ngày 04/01/2017 của Bộ Quốc phòng quy định việc khai báo, điều tra, thống kê và báo cáo tai nạn lao động trong Bộ Quốc phòng;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5- Thông tư số 02/2017/TT-BQP ngày 05/01/2017 của Bộ Quốc phòng quy định về hoạt động huấn luyện an toàn, vệ sinh lao động;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xml:space="preserve">6- Thông tư số 08/2017/TT-BQP ngày 06/01/2017 của Bộ Quốc phòng quy định hoạt động kiểm định kỹ thuật an toàn máy, thiết bị, </w:t>
            </w:r>
            <w:r w:rsidRPr="006E3378">
              <w:rPr>
                <w:rFonts w:eastAsia="Times New Roman" w:cs="Times New Roman"/>
                <w:color w:val="000000"/>
                <w:szCs w:val="24"/>
              </w:rPr>
              <w:lastRenderedPageBreak/>
              <w:t>vật tư có yêu cầu nghiêm ngặt về an toàn lao động trong Bộ Quốc phòng</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7- Thông tư số 142/2017/TT-BQP ngày 29/5/2017 của Bộ Quốc phòng quy định chức năng, nhiệm vụ, quyền hạn của cơ quan, đơn vị thực hiện công tác an toàn, vệ sinh lao động trong Bộ Quốc phòng</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lastRenderedPageBreak/>
              <w:t>6</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6</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lastRenderedPageBreak/>
              <w:t>2</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w:t>
            </w:r>
            <w:r w:rsidRPr="006E3378">
              <w:rPr>
                <w:rFonts w:eastAsia="Times New Roman" w:cs="Times New Roman"/>
                <w:i/>
                <w:iCs/>
                <w:color w:val="000000"/>
                <w:szCs w:val="24"/>
              </w:rPr>
              <w:t>Giới thiệu các tiêu chuẩn, quy chuẩn kỹ thuật an toàn, vệ sinh lao động theo Danh mục các công việc có yêu cầu nghiêm ngặt về AT, VSLĐ mà đơn vị, tổ chức, cá nhân đang thực hiện, như: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Làm việc trên cao, không gian hạn chế</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Làm việc trong hầm lò, thiếu dưỡng khí, có khả năng phát sinh khí độc...</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Thiết bị nâng hạ</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Thiết bị áp lực</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Bếp lò hơi cơ khí</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Môi trường có tần số cao</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An toàn điện, An toàn sét</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An toàn nhà kho vũ khí, kho đạn dược: + Chỉ thị 96/CT-BQP ngày 15/7/2011 của Bộ Quốc phòng về bảo đảm an toàn kho vũ khí, đạn dược;.....</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Sản xuât, quản lý, sử dụng, bảo quản, sửa chữa, vận chuyển, thí nghiệm, hoá nghiệm, bắn ném thử, xử lý các loại thuốc nổ và phương tiện nổ (kíp, dây nổ, dây cháy chậm...), đạn dược. Sản xuất, sử dụng, bảo quản, sửa chữa, thử nghiệm các loại súng pháo, khí tài: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Chỉ thị 33/CT-TM ngày 22/9/2009 của Tổng TMT;...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lastRenderedPageBreak/>
              <w:t>- Sản xuât, sử dụng, cất chứa, bảo quản, vận chuyển vật liệu nổ công nghiệp</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lastRenderedPageBreak/>
              <w:t>1</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rPr>
          <w:trHeight w:val="768"/>
        </w:trPr>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lastRenderedPageBreak/>
              <w:t>3</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Các quy định cụ thể của các cơ quan quản lý nhà nước, Bộ Quốc phòng về an toàn, vệ sinh lao động khi:</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Xây dựng mới, mở rộng hoặc cải tạo các công trình, các cơ sở để sản xuất;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Sử dụng, bảo quản, lưu giữ và kiểm định các loại máy, thiết bị, vật tư, chất có yêu cầu nghiêm ngặt về an toàn, vệ sinh lao động.</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II</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b/>
                <w:bCs/>
                <w:color w:val="000000"/>
                <w:szCs w:val="24"/>
              </w:rPr>
              <w:t>Nghiệp vụ công tác an toàn, vệ sinh lao động</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8</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8</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0</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0</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Tổ chức hệ thống, quản lý và thực hiện các quy định về an toàn, vệ sinh lao động ở cơ quan, đơn vị; phân định trách nhiệm và giao quyền hạn về công tác an toàn, vệ sinh lao động; </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2</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Kiến thức cơ bản về các yếu tố nguy hiểm, có hại có thể xảy ra ở đơn vị mình và biện pháp phòng ngừa. </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4</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4</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3</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Phương pháp cải thiện điều kiện lao động mà đơn vị mình đang thực hiện.</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4</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Văn hóa an toàn lao động tại nơi làm việc là những hoạt động liên quan đến người lao động về tinh thần và vật chất tại nơi làm việc, nghĩa là:</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Người sử dụng lao động và người lao động phải tham gia tích cực vào việc bảo đảm một môi trường làm việc an toàn và vệ sinh thông qua một hệ thống với các quyền, trách nhiệm và bổn phận được xác định là văn hoá trong đó nguyên tắc phòng ngừa được đặt vào vị trí ưu tiên hàng đầu. hay còn được hiểu là văn hoá phòng ngừa tai nạn lao động (TNLĐ), bệnh nghề nghiệp (BNN).</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lastRenderedPageBreak/>
              <w:t>- Văn hoá an toàn trong lao động hay văn hoá phòng ngừa TNLĐ, BNN chính là xây dựng các nội dung phải thực hiện để đảm bảo an toàn, phòng chống TNLĐ, BNN, PCCN, tức là:</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i/>
                <w:iCs/>
                <w:color w:val="000000"/>
                <w:szCs w:val="24"/>
              </w:rPr>
              <w:t>+ Xây dựng ý thức, tác phong thói quen làm việc an toàn.</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i/>
                <w:iCs/>
                <w:color w:val="000000"/>
                <w:szCs w:val="24"/>
              </w:rPr>
              <w:t>+ Xây dựng các quy tắc, các chuẩn mực ứng xử của các thành viên liên quan và tham gia quá trình lao động sản xuất đối với các vấn đề quy định nhằm bảo đảm AT,VSLĐ.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Để xây dựng và hình thành được văn hoá AT,VSLĐ mang tính phòng ngừa, ngoài việc đòi hỏi cần phải tận dụng tất cả các phương tiện sẵn có nhằm nâng cao những hiểu biết, kiến thức và nhận thức chung về những khái niệm về các nguy cơ, rủi ro cũng như cách phòng ngừa và kiểm soát chúng, còn phải nâng cao nhận thức về mặt luật pháp, chính sách trong lĩnh vực AT,VSLĐ.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Nhằm đảm bảo văn hóa AT,VSLĐ cần tập trung vào 4 biện pháp sau: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1. Bố trí sử dụng con người hợp lý.</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2. Tăng cường củng cố, ổn định bộ máy làm công tác AT,VSLĐ đảm bảo về số lượng và từng bước nâng cao chất lượng, tạo điều kiện để cán bộ làm công tác AT,VSLĐ được đào tạo nâng cao.</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3. Phân công, phân cấp rõ ràng trong công tác AT,VSLĐ, phổ biến để đảm bảo từng cán bộ quản lý đều nắm rõ được nhiệm vụ của mình.</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4. Nâng cao nhận thức về AT,VSLĐ cho người sử dụng lao động và người lao động qua: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 Tuyên truyền, huấn luyện, đào tạo, bồi dưỡng kiến thức về AT-VSLĐ cho người lao động.</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lastRenderedPageBreak/>
              <w:t> +  Cải thiện điều kiện lao động, thực hiện tốt việc chăm sóc sức khỏe người lao động.</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 Xây dựng chế tài nhằm nâng cao chất lượng công tác quản lý AT-VSLĐ, xử lý vi phạm</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 Tổ chức điều hành sản xuất khoa học, hợp lý.</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 Khắc phục các tồn tại trong thiết kế, thi công, lấy kỹ thuật cơ bản làm then chốt.</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 + Lựa chọn các công nghệ thiết bị phù hợp đáp ứng các tiêu chuẩn, quy chuẩn quốc gia. </w:t>
            </w:r>
          </w:p>
          <w:p w:rsidR="006E3378" w:rsidRPr="006E3378" w:rsidRDefault="006E3378" w:rsidP="006E3378">
            <w:pPr>
              <w:spacing w:after="75" w:line="240" w:lineRule="auto"/>
              <w:jc w:val="both"/>
              <w:rPr>
                <w:rFonts w:eastAsia="Times New Roman" w:cs="Times New Roman"/>
                <w:szCs w:val="24"/>
              </w:rPr>
            </w:pPr>
            <w:r w:rsidRPr="006E3378">
              <w:rPr>
                <w:rFonts w:eastAsia="Times New Roman" w:cs="Times New Roman"/>
                <w:color w:val="000000"/>
                <w:szCs w:val="24"/>
              </w:rPr>
              <w:t>Ngoài các mục nêu trên, Văn hoá an toàn còn được thể hiện thông qua thái độ của người lao động đối với việc chấp hành các Quy trình, Quy định về an toàn lao động, thái độ với việc xây dựng môi trường làm việc an toàn, thái độ của người lao động chấp hành nghiêm túc các Quy trình vận hành thiết bị, ý thức tự bảo vệ mình… Sự thể hiện của các bên - Người sử dụng lao động - Người lao động sẽ là hình ảnh rõ nét và mấu chốt của Văn hoá an toàn.</w:t>
            </w:r>
          </w:p>
        </w:tc>
        <w:tc>
          <w:tcPr>
            <w:tcW w:w="993"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lastRenderedPageBreak/>
              <w:t>1</w:t>
            </w:r>
          </w:p>
        </w:tc>
        <w:tc>
          <w:tcPr>
            <w:tcW w:w="99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rPr>
          <w:trHeight w:val="498"/>
        </w:trPr>
        <w:tc>
          <w:tcPr>
            <w:tcW w:w="81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lastRenderedPageBreak/>
              <w:t>III</w:t>
            </w:r>
          </w:p>
        </w:tc>
        <w:tc>
          <w:tcPr>
            <w:tcW w:w="4961"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0" w:line="240" w:lineRule="auto"/>
              <w:rPr>
                <w:rFonts w:eastAsia="Times New Roman" w:cs="Times New Roman"/>
                <w:szCs w:val="24"/>
              </w:rPr>
            </w:pPr>
            <w:r w:rsidRPr="006E3378">
              <w:rPr>
                <w:rFonts w:eastAsia="Times New Roman" w:cs="Times New Roman"/>
                <w:b/>
                <w:bCs/>
                <w:color w:val="000000"/>
                <w:szCs w:val="24"/>
              </w:rPr>
              <w:t>Kiểm tra kết thúc khóa huấn luyện</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1</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0</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r w:rsidR="006E3378" w:rsidRPr="006E3378" w:rsidTr="006E3378">
        <w:tc>
          <w:tcPr>
            <w:tcW w:w="5778"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Tổng cộng</w:t>
            </w:r>
          </w:p>
        </w:tc>
        <w:tc>
          <w:tcPr>
            <w:tcW w:w="993"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16</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b/>
                <w:bCs/>
                <w:color w:val="000000"/>
                <w:szCs w:val="24"/>
              </w:rPr>
              <w:t>16</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c>
          <w:tcPr>
            <w:tcW w:w="992" w:type="dxa"/>
            <w:tcBorders>
              <w:top w:val="nil"/>
              <w:left w:val="nil"/>
              <w:bottom w:val="single" w:sz="8" w:space="0" w:color="auto"/>
              <w:right w:val="single" w:sz="8" w:space="0" w:color="auto"/>
            </w:tcBorders>
            <w:tcMar>
              <w:top w:w="0" w:type="dxa"/>
              <w:left w:w="108" w:type="dxa"/>
              <w:bottom w:w="0" w:type="dxa"/>
              <w:right w:w="108" w:type="dxa"/>
            </w:tcMar>
            <w:hideMark/>
          </w:tcPr>
          <w:p w:rsidR="006E3378" w:rsidRPr="006E3378" w:rsidRDefault="006E3378" w:rsidP="006E3378">
            <w:pPr>
              <w:spacing w:after="75" w:line="240" w:lineRule="auto"/>
              <w:jc w:val="center"/>
              <w:rPr>
                <w:rFonts w:eastAsia="Times New Roman" w:cs="Times New Roman"/>
                <w:szCs w:val="24"/>
              </w:rPr>
            </w:pPr>
            <w:r w:rsidRPr="006E3378">
              <w:rPr>
                <w:rFonts w:eastAsia="Times New Roman" w:cs="Times New Roman"/>
                <w:szCs w:val="24"/>
              </w:rPr>
              <w:t> </w:t>
            </w:r>
          </w:p>
        </w:tc>
      </w:tr>
    </w:tbl>
    <w:p w:rsidR="00CE4029" w:rsidRDefault="00CE4029"/>
    <w:sectPr w:rsidR="00CE4029" w:rsidSect="006E3378">
      <w:pgSz w:w="16840" w:h="11907"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378"/>
    <w:rsid w:val="006E3378"/>
    <w:rsid w:val="008803B7"/>
    <w:rsid w:val="00CE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6B915-A0EF-4190-B999-5DA36CC4E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3378"/>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6E33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46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975</Words>
  <Characters>5561</Characters>
  <Application>Microsoft Office Word</Application>
  <DocSecurity>0</DocSecurity>
  <Lines>46</Lines>
  <Paragraphs>13</Paragraphs>
  <ScaleCrop>false</ScaleCrop>
  <Company>Microsoft</Company>
  <LinksUpToDate>false</LinksUpToDate>
  <CharactersWithSpaces>6523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AutoBVT</cp:lastModifiedBy>
  <cp:revision>2</cp:revision>
  <dcterms:created xsi:type="dcterms:W3CDTF">2026-05-19T09:04:00Z</dcterms:created>
  <dcterms:modified xsi:type="dcterms:W3CDTF">2026-05-19T09:06:00Z</dcterms:modified>
</cp:coreProperties>
</file>