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CC" w:rsidRPr="001F0879" w:rsidRDefault="001F0879" w:rsidP="001F0879">
      <w:pPr>
        <w:spacing w:after="120"/>
        <w:jc w:val="center"/>
        <w:rPr>
          <w:b/>
          <w:sz w:val="32"/>
        </w:rPr>
      </w:pPr>
      <w:r w:rsidRPr="001F0879">
        <w:rPr>
          <w:b/>
          <w:sz w:val="32"/>
        </w:rPr>
        <w:t>DANH SÁCH VĂN BẢN PHÁP LUẬT THAM KHẢO</w:t>
      </w:r>
    </w:p>
    <w:tbl>
      <w:tblPr>
        <w:tblStyle w:val="PlainTable1"/>
        <w:tblW w:w="8815" w:type="dxa"/>
        <w:tblLook w:val="04A0" w:firstRow="1" w:lastRow="0" w:firstColumn="1" w:lastColumn="0" w:noHBand="0" w:noVBand="1"/>
      </w:tblPr>
      <w:tblGrid>
        <w:gridCol w:w="805"/>
        <w:gridCol w:w="5490"/>
        <w:gridCol w:w="2520"/>
      </w:tblGrid>
      <w:tr w:rsidR="00BA3ACA" w:rsidTr="00BA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A3ACA" w:rsidRDefault="00BA3ACA" w:rsidP="001F0879">
            <w:pPr>
              <w:jc w:val="center"/>
            </w:pPr>
            <w:r>
              <w:t>STT</w:t>
            </w:r>
          </w:p>
        </w:tc>
        <w:tc>
          <w:tcPr>
            <w:tcW w:w="5490" w:type="dxa"/>
            <w:vAlign w:val="center"/>
          </w:tcPr>
          <w:p w:rsidR="00BA3ACA" w:rsidRDefault="00BA3ACA" w:rsidP="001F0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2520" w:type="dxa"/>
            <w:vAlign w:val="center"/>
          </w:tcPr>
          <w:p w:rsidR="00BA3ACA" w:rsidRDefault="00BA3ACA" w:rsidP="001F0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Nguồn</w:t>
            </w:r>
            <w:proofErr w:type="spellEnd"/>
          </w:p>
        </w:tc>
      </w:tr>
      <w:tr w:rsidR="00BA3ACA" w:rsidTr="00B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3ACA" w:rsidRPr="001F0879" w:rsidRDefault="00BA3AC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490" w:type="dxa"/>
          </w:tcPr>
          <w:p w:rsidR="00BA3ACA" w:rsidRPr="001F0879" w:rsidRDefault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0879">
              <w:t>Nghị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103/2008/NĐ-CP 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Chính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phủ</w:t>
            </w:r>
            <w:proofErr w:type="spellEnd"/>
            <w:r w:rsidRPr="001F0879">
              <w:t xml:space="preserve">: </w:t>
            </w:r>
            <w:proofErr w:type="spellStart"/>
            <w:r w:rsidRPr="001F0879">
              <w:t>Về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bảo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hiểm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bắt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buộc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trách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nhiệm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dân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sự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chủ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xe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cơ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giới</w:t>
            </w:r>
            <w:proofErr w:type="spellEnd"/>
          </w:p>
        </w:tc>
        <w:tc>
          <w:tcPr>
            <w:tcW w:w="2520" w:type="dxa"/>
          </w:tcPr>
          <w:p w:rsidR="00BA3ACA" w:rsidRPr="001F0879" w:rsidRDefault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proofErr w:type="spellStart"/>
              <w:r w:rsidRPr="001F0879">
                <w:rPr>
                  <w:rStyle w:val="Hyperlink"/>
                </w:rPr>
                <w:t>Cổng</w:t>
              </w:r>
              <w:proofErr w:type="spellEnd"/>
              <w:r w:rsidRPr="001F0879">
                <w:rPr>
                  <w:rStyle w:val="Hyperlink"/>
                </w:rPr>
                <w:t xml:space="preserve"> TTĐT </w:t>
              </w:r>
              <w:proofErr w:type="spellStart"/>
              <w:r w:rsidRPr="001F0879">
                <w:rPr>
                  <w:rStyle w:val="Hyperlink"/>
                </w:rPr>
                <w:t>Chính</w:t>
              </w:r>
              <w:proofErr w:type="spellEnd"/>
              <w:r w:rsidRPr="001F0879">
                <w:rPr>
                  <w:rStyle w:val="Hyperlink"/>
                </w:rPr>
                <w:t xml:space="preserve"> </w:t>
              </w:r>
              <w:proofErr w:type="spellStart"/>
              <w:r w:rsidRPr="001F0879">
                <w:rPr>
                  <w:rStyle w:val="Hyperlink"/>
                </w:rPr>
                <w:t>phủ</w:t>
              </w:r>
              <w:proofErr w:type="spellEnd"/>
            </w:hyperlink>
          </w:p>
        </w:tc>
      </w:tr>
      <w:tr w:rsidR="00BA3ACA" w:rsidTr="00B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3ACA" w:rsidRPr="001F0879" w:rsidRDefault="00BA3ACA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5490" w:type="dxa"/>
          </w:tcPr>
          <w:p w:rsidR="00BA3ACA" w:rsidRPr="001F0879" w:rsidRDefault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126/2008/TT-BTC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Pr="001F0879">
              <w:t xml:space="preserve">: </w:t>
            </w:r>
            <w:proofErr w:type="spellStart"/>
            <w:r w:rsidRPr="001F0879">
              <w:t>Quy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Quy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tắc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điều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khoản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biểu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phí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và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mức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trách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nhiệm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bảo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hiểm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bắt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buộc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trách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nhiệm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dân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sự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chủ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xe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cơ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giới</w:t>
            </w:r>
            <w:proofErr w:type="spellEnd"/>
          </w:p>
        </w:tc>
        <w:tc>
          <w:tcPr>
            <w:tcW w:w="2520" w:type="dxa"/>
          </w:tcPr>
          <w:p w:rsidR="00BA3ACA" w:rsidRPr="001F0879" w:rsidRDefault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proofErr w:type="spellStart"/>
              <w:r w:rsidRPr="001F0879">
                <w:rPr>
                  <w:rStyle w:val="Hyperlink"/>
                </w:rPr>
                <w:t>Cổng</w:t>
              </w:r>
              <w:proofErr w:type="spellEnd"/>
              <w:r w:rsidRPr="001F0879">
                <w:rPr>
                  <w:rStyle w:val="Hyperlink"/>
                </w:rPr>
                <w:t xml:space="preserve"> TTĐT </w:t>
              </w:r>
              <w:proofErr w:type="spellStart"/>
              <w:r w:rsidRPr="001F0879">
                <w:rPr>
                  <w:rStyle w:val="Hyperlink"/>
                </w:rPr>
                <w:t>Chính</w:t>
              </w:r>
              <w:proofErr w:type="spellEnd"/>
              <w:r w:rsidRPr="001F0879">
                <w:rPr>
                  <w:rStyle w:val="Hyperlink"/>
                </w:rPr>
                <w:t xml:space="preserve"> </w:t>
              </w:r>
              <w:proofErr w:type="spellStart"/>
              <w:r w:rsidRPr="001F0879">
                <w:rPr>
                  <w:rStyle w:val="Hyperlink"/>
                </w:rPr>
                <w:t>phủ</w:t>
              </w:r>
              <w:proofErr w:type="spellEnd"/>
            </w:hyperlink>
          </w:p>
        </w:tc>
      </w:tr>
      <w:tr w:rsidR="00BA3ACA" w:rsidTr="00B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3ACA" w:rsidRPr="001F0879" w:rsidRDefault="00BA3ACA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5490" w:type="dxa"/>
          </w:tcPr>
          <w:p w:rsidR="00BA3ACA" w:rsidRPr="001F0879" w:rsidRDefault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liên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tịch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35/2009/TTLT-BTC-BCA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Công</w:t>
            </w:r>
            <w:proofErr w:type="spellEnd"/>
            <w:r w:rsidRPr="001F0879">
              <w:t xml:space="preserve"> an-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Pr="001F0879">
              <w:t xml:space="preserve">: </w:t>
            </w:r>
            <w:proofErr w:type="spellStart"/>
            <w:r w:rsidRPr="001F0879">
              <w:t>Hướng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dẫn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thực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hiện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một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điều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Nghị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103/2008/NĐ-CP </w:t>
            </w:r>
            <w:proofErr w:type="spellStart"/>
            <w:r w:rsidRPr="001F0879">
              <w:t>ngày</w:t>
            </w:r>
            <w:proofErr w:type="spellEnd"/>
            <w:r w:rsidRPr="001F0879">
              <w:t xml:space="preserve"> 16 </w:t>
            </w:r>
            <w:proofErr w:type="spellStart"/>
            <w:r w:rsidRPr="001F0879">
              <w:t>tháng</w:t>
            </w:r>
            <w:proofErr w:type="spellEnd"/>
            <w:r w:rsidRPr="001F0879">
              <w:t xml:space="preserve"> 9 </w:t>
            </w:r>
            <w:proofErr w:type="spellStart"/>
            <w:r w:rsidRPr="001F0879">
              <w:t>năm</w:t>
            </w:r>
            <w:proofErr w:type="spellEnd"/>
            <w:r w:rsidRPr="001F0879">
              <w:t xml:space="preserve"> 2008 </w:t>
            </w:r>
            <w:proofErr w:type="spellStart"/>
            <w:r w:rsidRPr="001F0879">
              <w:t>về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bảo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hiểm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bắt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buộc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trách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nhiệm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dân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sự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chủ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xe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cơ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giới</w:t>
            </w:r>
            <w:proofErr w:type="spellEnd"/>
          </w:p>
        </w:tc>
        <w:tc>
          <w:tcPr>
            <w:tcW w:w="2520" w:type="dxa"/>
          </w:tcPr>
          <w:p w:rsidR="00BA3ACA" w:rsidRPr="001F0879" w:rsidRDefault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proofErr w:type="spellStart"/>
              <w:r w:rsidRPr="001F0879">
                <w:rPr>
                  <w:rStyle w:val="Hyperlink"/>
                </w:rPr>
                <w:t>Cổng</w:t>
              </w:r>
              <w:proofErr w:type="spellEnd"/>
              <w:r w:rsidRPr="001F0879">
                <w:rPr>
                  <w:rStyle w:val="Hyperlink"/>
                </w:rPr>
                <w:t xml:space="preserve"> TTĐT </w:t>
              </w:r>
              <w:proofErr w:type="spellStart"/>
              <w:r w:rsidRPr="001F0879">
                <w:rPr>
                  <w:rStyle w:val="Hyperlink"/>
                </w:rPr>
                <w:t>Chính</w:t>
              </w:r>
              <w:proofErr w:type="spellEnd"/>
              <w:r w:rsidRPr="001F0879">
                <w:rPr>
                  <w:rStyle w:val="Hyperlink"/>
                </w:rPr>
                <w:t xml:space="preserve"> </w:t>
              </w:r>
              <w:proofErr w:type="spellStart"/>
              <w:r w:rsidRPr="001F0879">
                <w:rPr>
                  <w:rStyle w:val="Hyperlink"/>
                </w:rPr>
                <w:t>phủ</w:t>
              </w:r>
              <w:proofErr w:type="spellEnd"/>
            </w:hyperlink>
          </w:p>
        </w:tc>
      </w:tr>
      <w:tr w:rsidR="00BA3ACA" w:rsidTr="00B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3ACA" w:rsidRPr="001F0879" w:rsidRDefault="00BA3ACA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5490" w:type="dxa"/>
          </w:tcPr>
          <w:p w:rsidR="00BA3ACA" w:rsidRPr="001F0879" w:rsidRDefault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151/2012/TT-BTC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 w:rsidRPr="001F0879">
              <w:t xml:space="preserve">: </w:t>
            </w:r>
            <w:proofErr w:type="spellStart"/>
            <w:r w:rsidRPr="001F0879">
              <w:t>Sửa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đổi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bổ</w:t>
            </w:r>
            <w:proofErr w:type="spellEnd"/>
            <w:r w:rsidRPr="001F0879">
              <w:t xml:space="preserve"> sung </w:t>
            </w: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126/2008/TT-BTC </w:t>
            </w:r>
            <w:proofErr w:type="spellStart"/>
            <w:r w:rsidRPr="001F0879">
              <w:t>ngày</w:t>
            </w:r>
            <w:proofErr w:type="spellEnd"/>
            <w:r w:rsidRPr="001F0879">
              <w:t xml:space="preserve"> 22/12/2008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Tài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chính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quy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Quy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tắc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điều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khoản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biểu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phí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và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mức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trách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nhiệm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bảo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hiểm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bắt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buộc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trách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nhiệm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dân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sự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chủ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xe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cơ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giới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và</w:t>
            </w:r>
            <w:proofErr w:type="spellEnd"/>
            <w:r w:rsidRPr="001F0879">
              <w:t xml:space="preserve">  </w:t>
            </w: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103/2009/TT-BTC </w:t>
            </w:r>
            <w:proofErr w:type="spellStart"/>
            <w:r w:rsidRPr="001F0879">
              <w:t>ngày</w:t>
            </w:r>
            <w:proofErr w:type="spellEnd"/>
            <w:r w:rsidRPr="001F0879">
              <w:t xml:space="preserve"> 25/5/2009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Tài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chính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quy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việc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quản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lý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sử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dụng</w:t>
            </w:r>
            <w:proofErr w:type="spellEnd"/>
            <w:r w:rsidRPr="001F0879">
              <w:t xml:space="preserve">, </w:t>
            </w:r>
            <w:proofErr w:type="spellStart"/>
            <w:r w:rsidRPr="001F0879">
              <w:t>thanh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toán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và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quyết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toán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Quỹ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bảo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hiểm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xe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cơ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giới</w:t>
            </w:r>
            <w:proofErr w:type="spellEnd"/>
          </w:p>
        </w:tc>
        <w:tc>
          <w:tcPr>
            <w:tcW w:w="2520" w:type="dxa"/>
          </w:tcPr>
          <w:p w:rsidR="00BA3ACA" w:rsidRPr="001F0879" w:rsidRDefault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proofErr w:type="spellStart"/>
              <w:r w:rsidRPr="001F0879">
                <w:rPr>
                  <w:rStyle w:val="Hyperlink"/>
                </w:rPr>
                <w:t>Cổng</w:t>
              </w:r>
              <w:proofErr w:type="spellEnd"/>
              <w:r w:rsidRPr="001F0879">
                <w:rPr>
                  <w:rStyle w:val="Hyperlink"/>
                </w:rPr>
                <w:t xml:space="preserve"> TTĐT </w:t>
              </w:r>
              <w:proofErr w:type="spellStart"/>
              <w:r w:rsidRPr="001F0879">
                <w:rPr>
                  <w:rStyle w:val="Hyperlink"/>
                </w:rPr>
                <w:t>Chính</w:t>
              </w:r>
              <w:proofErr w:type="spellEnd"/>
              <w:r w:rsidRPr="001F0879">
                <w:rPr>
                  <w:rStyle w:val="Hyperlink"/>
                </w:rPr>
                <w:t xml:space="preserve"> </w:t>
              </w:r>
              <w:proofErr w:type="spellStart"/>
              <w:r w:rsidRPr="001F0879">
                <w:rPr>
                  <w:rStyle w:val="Hyperlink"/>
                </w:rPr>
                <w:t>phủ</w:t>
              </w:r>
              <w:proofErr w:type="spellEnd"/>
            </w:hyperlink>
          </w:p>
        </w:tc>
      </w:tr>
    </w:tbl>
    <w:p w:rsidR="001F0879" w:rsidRDefault="001F0879"/>
    <w:p w:rsidR="001F0879" w:rsidRDefault="001F0879">
      <w:r>
        <w:br w:type="page"/>
      </w:r>
    </w:p>
    <w:p w:rsidR="001F0879" w:rsidRPr="001F0879" w:rsidRDefault="001F0879" w:rsidP="001F0879">
      <w:pPr>
        <w:spacing w:after="120"/>
        <w:jc w:val="center"/>
        <w:rPr>
          <w:b/>
          <w:sz w:val="32"/>
        </w:rPr>
      </w:pPr>
      <w:r w:rsidRPr="001F0879">
        <w:rPr>
          <w:b/>
          <w:sz w:val="32"/>
        </w:rPr>
        <w:lastRenderedPageBreak/>
        <w:t>BẢNG LIỆT KÊ CHI TIẾT THAM KHẢO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0"/>
        <w:gridCol w:w="1588"/>
        <w:gridCol w:w="3127"/>
        <w:gridCol w:w="3624"/>
      </w:tblGrid>
      <w:tr w:rsidR="00BA3ACA" w:rsidTr="0005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:rsidR="00BA3ACA" w:rsidRDefault="00BA3ACA" w:rsidP="00051B28">
            <w:pPr>
              <w:jc w:val="center"/>
            </w:pPr>
            <w:r>
              <w:t>STT</w:t>
            </w:r>
          </w:p>
        </w:tc>
        <w:tc>
          <w:tcPr>
            <w:tcW w:w="1588" w:type="dxa"/>
            <w:vAlign w:val="center"/>
          </w:tcPr>
          <w:p w:rsidR="00BA3ACA" w:rsidRDefault="00BA3ACA" w:rsidP="00051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  <w:tc>
          <w:tcPr>
            <w:tcW w:w="3127" w:type="dxa"/>
            <w:vAlign w:val="center"/>
          </w:tcPr>
          <w:p w:rsidR="00BA3ACA" w:rsidRDefault="00BA3ACA" w:rsidP="00051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Nguồn</w:t>
            </w:r>
            <w:proofErr w:type="spellEnd"/>
          </w:p>
        </w:tc>
        <w:tc>
          <w:tcPr>
            <w:tcW w:w="3624" w:type="dxa"/>
            <w:vAlign w:val="center"/>
          </w:tcPr>
          <w:p w:rsidR="00BA3ACA" w:rsidRDefault="00BA3ACA" w:rsidP="00051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</w:tr>
      <w:tr w:rsidR="00612B3B" w:rsidTr="00B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 w:val="restart"/>
          </w:tcPr>
          <w:p w:rsidR="00612B3B" w:rsidRPr="001F0879" w:rsidRDefault="00612B3B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588" w:type="dxa"/>
            <w:vMerge w:val="restart"/>
          </w:tcPr>
          <w:p w:rsidR="00612B3B" w:rsidRPr="001F0879" w:rsidRDefault="00612B3B" w:rsidP="007F0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  <w:tc>
          <w:tcPr>
            <w:tcW w:w="3127" w:type="dxa"/>
          </w:tcPr>
          <w:p w:rsidR="00612B3B" w:rsidRPr="001F0879" w:rsidRDefault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Khoản</w:t>
            </w:r>
            <w:proofErr w:type="spellEnd"/>
            <w:r>
              <w:t xml:space="preserve"> 3, </w:t>
            </w:r>
            <w:proofErr w:type="spellStart"/>
            <w:r>
              <w:t>Điều</w:t>
            </w:r>
            <w:proofErr w:type="spellEnd"/>
            <w:r>
              <w:t xml:space="preserve"> 9, </w:t>
            </w:r>
            <w:proofErr w:type="spellStart"/>
            <w:r>
              <w:t>Mục</w:t>
            </w:r>
            <w:proofErr w:type="spellEnd"/>
            <w:r>
              <w:t xml:space="preserve"> II, </w:t>
            </w:r>
            <w:proofErr w:type="spellStart"/>
            <w:r w:rsidRPr="001F0879">
              <w:t>Nghị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103/2008/NĐ-CP 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Chính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phủ</w:t>
            </w:r>
            <w:proofErr w:type="spellEnd"/>
          </w:p>
        </w:tc>
        <w:tc>
          <w:tcPr>
            <w:tcW w:w="3624" w:type="dxa"/>
          </w:tcPr>
          <w:p w:rsidR="00612B3B" w:rsidRDefault="00612B3B" w:rsidP="0005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3ACA">
              <w:t>Bộ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Tài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chính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quy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định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mứ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 w:rsidRPr="00BA3ACA">
              <w:t>bảo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hiểm</w:t>
            </w:r>
            <w:proofErr w:type="spellEnd"/>
          </w:p>
        </w:tc>
      </w:tr>
      <w:tr w:rsidR="00612B3B" w:rsidTr="00B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</w:tcPr>
          <w:p w:rsidR="00612B3B" w:rsidRPr="001F0879" w:rsidRDefault="00612B3B">
            <w:pPr>
              <w:rPr>
                <w:b w:val="0"/>
              </w:rPr>
            </w:pPr>
          </w:p>
        </w:tc>
        <w:tc>
          <w:tcPr>
            <w:tcW w:w="1588" w:type="dxa"/>
            <w:vMerge/>
          </w:tcPr>
          <w:p w:rsidR="00612B3B" w:rsidRPr="001F0879" w:rsidRDefault="0061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:rsidR="00612B3B" w:rsidRPr="001F0879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3ACA">
              <w:t>Điể</w:t>
            </w:r>
            <w:r>
              <w:t>m</w:t>
            </w:r>
            <w:proofErr w:type="spellEnd"/>
            <w:r>
              <w:t xml:space="preserve"> 3</w:t>
            </w:r>
            <w:r w:rsidRPr="00BA3ACA">
              <w:t xml:space="preserve">.1, </w:t>
            </w:r>
            <w:proofErr w:type="spellStart"/>
            <w:r w:rsidRPr="00BA3ACA">
              <w:t>Khoả</w:t>
            </w:r>
            <w:r>
              <w:t>n</w:t>
            </w:r>
            <w:proofErr w:type="spellEnd"/>
            <w:r>
              <w:t xml:space="preserve"> 3</w:t>
            </w:r>
            <w:r w:rsidRPr="00BA3ACA">
              <w:t xml:space="preserve">, </w:t>
            </w:r>
            <w:proofErr w:type="spellStart"/>
            <w:r w:rsidRPr="00BA3ACA">
              <w:t>Mụ</w:t>
            </w:r>
            <w:r>
              <w:t>c</w:t>
            </w:r>
            <w:proofErr w:type="spellEnd"/>
            <w:r>
              <w:t xml:space="preserve"> II, </w:t>
            </w: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126/2008/TT-BTC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624" w:type="dxa"/>
          </w:tcPr>
          <w:p w:rsidR="00612B3B" w:rsidRPr="001F0879" w:rsidRDefault="0061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3ACA">
              <w:t>Mức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phí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bảo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hiểm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của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từng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loại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xe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cơ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giới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được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quy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định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tại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Phụ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lục</w:t>
            </w:r>
            <w:proofErr w:type="spellEnd"/>
            <w:r w:rsidRPr="00BA3ACA">
              <w:t xml:space="preserve"> 5 ban </w:t>
            </w:r>
            <w:proofErr w:type="spellStart"/>
            <w:r w:rsidRPr="00BA3ACA">
              <w:t>hành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kèm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theo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Thông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tư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này</w:t>
            </w:r>
            <w:proofErr w:type="spellEnd"/>
          </w:p>
        </w:tc>
      </w:tr>
      <w:tr w:rsidR="00612B3B" w:rsidTr="00B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</w:tcPr>
          <w:p w:rsidR="00612B3B" w:rsidRPr="001F0879" w:rsidRDefault="00612B3B" w:rsidP="00BA3ACA">
            <w:pPr>
              <w:rPr>
                <w:b w:val="0"/>
              </w:rPr>
            </w:pPr>
          </w:p>
        </w:tc>
        <w:tc>
          <w:tcPr>
            <w:tcW w:w="1588" w:type="dxa"/>
            <w:vMerge/>
          </w:tcPr>
          <w:p w:rsidR="00612B3B" w:rsidRPr="001F0879" w:rsidRDefault="00612B3B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:rsidR="00612B3B" w:rsidRPr="001F0879" w:rsidRDefault="00612B3B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Khoản</w:t>
            </w:r>
            <w:proofErr w:type="spellEnd"/>
            <w:r>
              <w:t xml:space="preserve"> 8, </w:t>
            </w:r>
            <w:proofErr w:type="spellStart"/>
            <w:r>
              <w:t>Điề</w:t>
            </w:r>
            <w:r>
              <w:t>u</w:t>
            </w:r>
            <w:proofErr w:type="spellEnd"/>
            <w:r>
              <w:t xml:space="preserve"> 2, </w:t>
            </w:r>
            <w:proofErr w:type="spellStart"/>
            <w:r w:rsidRPr="00BA3ACA">
              <w:t>Thông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tư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số</w:t>
            </w:r>
            <w:proofErr w:type="spellEnd"/>
            <w:r w:rsidRPr="00BA3ACA">
              <w:t xml:space="preserve"> 151/2012/TT-BTC </w:t>
            </w:r>
            <w:proofErr w:type="spellStart"/>
            <w:r w:rsidRPr="00BA3ACA">
              <w:t>của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Bộ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Tài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chính</w:t>
            </w:r>
            <w:proofErr w:type="spellEnd"/>
          </w:p>
        </w:tc>
        <w:tc>
          <w:tcPr>
            <w:tcW w:w="3624" w:type="dxa"/>
          </w:tcPr>
          <w:p w:rsidR="00612B3B" w:rsidRPr="001F0879" w:rsidRDefault="00612B3B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00">
              <w:t xml:space="preserve">Ban </w:t>
            </w:r>
            <w:proofErr w:type="spellStart"/>
            <w:r w:rsidRPr="007F0E00">
              <w:t>hành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Phụ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lục</w:t>
            </w:r>
            <w:proofErr w:type="spellEnd"/>
            <w:r w:rsidRPr="007F0E00">
              <w:t xml:space="preserve"> 1 </w:t>
            </w:r>
            <w:proofErr w:type="spellStart"/>
            <w:r w:rsidRPr="007F0E00">
              <w:t>về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Biểu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phí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bảo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hiểm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bắt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buộc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trách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nhiệm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dân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sự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của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chủ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xe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cơ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giới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kèm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theo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Thông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tư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này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thay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thế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Phụ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lục</w:t>
            </w:r>
            <w:proofErr w:type="spellEnd"/>
            <w:r w:rsidRPr="007F0E00">
              <w:t xml:space="preserve"> 5 ban </w:t>
            </w:r>
            <w:proofErr w:type="spellStart"/>
            <w:r w:rsidRPr="007F0E00">
              <w:t>hành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kèm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theo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Thông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tư</w:t>
            </w:r>
            <w:proofErr w:type="spellEnd"/>
            <w:r w:rsidRPr="007F0E00">
              <w:t xml:space="preserve"> 126/2008/TT-BTC.</w:t>
            </w:r>
          </w:p>
        </w:tc>
      </w:tr>
      <w:tr w:rsidR="00612B3B" w:rsidTr="00B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</w:tcPr>
          <w:p w:rsidR="00612B3B" w:rsidRPr="001F0879" w:rsidRDefault="00612B3B" w:rsidP="00BA3ACA"/>
        </w:tc>
        <w:tc>
          <w:tcPr>
            <w:tcW w:w="1588" w:type="dxa"/>
            <w:vMerge/>
          </w:tcPr>
          <w:p w:rsidR="00612B3B" w:rsidRPr="001F0879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:rsidR="00612B3B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0E00">
              <w:t>Phụ</w:t>
            </w:r>
            <w:proofErr w:type="spellEnd"/>
            <w:r w:rsidRPr="007F0E00">
              <w:t xml:space="preserve"> </w:t>
            </w:r>
            <w:proofErr w:type="spellStart"/>
            <w:r w:rsidRPr="007F0E00">
              <w:t>lục</w:t>
            </w:r>
            <w:proofErr w:type="spellEnd"/>
            <w:r w:rsidRPr="007F0E00">
              <w:t xml:space="preserve"> 1</w:t>
            </w:r>
            <w:r>
              <w:t xml:space="preserve">, </w:t>
            </w:r>
            <w:proofErr w:type="spellStart"/>
            <w:r w:rsidRPr="00BA3ACA">
              <w:t>Thông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tư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số</w:t>
            </w:r>
            <w:proofErr w:type="spellEnd"/>
            <w:r w:rsidRPr="00BA3ACA">
              <w:t xml:space="preserve"> 151/2012/TT-BTC </w:t>
            </w:r>
            <w:proofErr w:type="spellStart"/>
            <w:r w:rsidRPr="00BA3ACA">
              <w:t>của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Bộ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Tài</w:t>
            </w:r>
            <w:proofErr w:type="spellEnd"/>
            <w:r w:rsidRPr="00BA3ACA">
              <w:t xml:space="preserve"> </w:t>
            </w:r>
            <w:proofErr w:type="spellStart"/>
            <w:r w:rsidRPr="00BA3ACA">
              <w:t>chính</w:t>
            </w:r>
            <w:proofErr w:type="spellEnd"/>
          </w:p>
        </w:tc>
        <w:tc>
          <w:tcPr>
            <w:tcW w:w="3624" w:type="dxa"/>
          </w:tcPr>
          <w:p w:rsidR="00612B3B" w:rsidRPr="007F0E00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ACA" w:rsidTr="00B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</w:tcPr>
          <w:p w:rsidR="00BA3ACA" w:rsidRPr="001F0879" w:rsidRDefault="00BA3ACA" w:rsidP="00BA3ACA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588" w:type="dxa"/>
          </w:tcPr>
          <w:p w:rsidR="00BA3ACA" w:rsidRPr="001F0879" w:rsidRDefault="00051B28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51B28">
              <w:t>Hủy</w:t>
            </w:r>
            <w:proofErr w:type="spellEnd"/>
            <w:r w:rsidRPr="00051B28">
              <w:t xml:space="preserve"> </w:t>
            </w:r>
            <w:proofErr w:type="spellStart"/>
            <w:r w:rsidRPr="00051B28">
              <w:t>bỏ</w:t>
            </w:r>
            <w:proofErr w:type="spellEnd"/>
            <w:r w:rsidRPr="00051B28">
              <w:t xml:space="preserve"> </w:t>
            </w:r>
            <w:proofErr w:type="spellStart"/>
            <w:r w:rsidRPr="00051B28">
              <w:t>hợp</w:t>
            </w:r>
            <w:proofErr w:type="spellEnd"/>
            <w:r w:rsidRPr="00051B28">
              <w:t xml:space="preserve"> </w:t>
            </w:r>
            <w:proofErr w:type="spellStart"/>
            <w:r w:rsidRPr="00051B28">
              <w:t>đồng</w:t>
            </w:r>
            <w:proofErr w:type="spellEnd"/>
            <w:r w:rsidRPr="00051B28">
              <w:t xml:space="preserve"> </w:t>
            </w:r>
            <w:proofErr w:type="spellStart"/>
            <w:r w:rsidRPr="00051B28">
              <w:t>bảo</w:t>
            </w:r>
            <w:proofErr w:type="spellEnd"/>
            <w:r w:rsidRPr="00051B28">
              <w:t xml:space="preserve"> </w:t>
            </w:r>
            <w:proofErr w:type="spellStart"/>
            <w:r w:rsidRPr="00051B28">
              <w:t>hiểm</w:t>
            </w:r>
            <w:proofErr w:type="spellEnd"/>
          </w:p>
        </w:tc>
        <w:tc>
          <w:tcPr>
            <w:tcW w:w="3127" w:type="dxa"/>
          </w:tcPr>
          <w:p w:rsidR="00BA3ACA" w:rsidRPr="001F0879" w:rsidRDefault="00051B28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Khoản</w:t>
            </w:r>
            <w:proofErr w:type="spellEnd"/>
            <w:r>
              <w:t xml:space="preserve"> 1, </w:t>
            </w:r>
            <w:proofErr w:type="spellStart"/>
            <w:r>
              <w:t>Điều</w:t>
            </w:r>
            <w:proofErr w:type="spellEnd"/>
            <w:r>
              <w:t xml:space="preserve"> 11, </w:t>
            </w:r>
            <w:proofErr w:type="spellStart"/>
            <w:r>
              <w:t>Mục</w:t>
            </w:r>
            <w:proofErr w:type="spellEnd"/>
            <w:r>
              <w:t xml:space="preserve"> II</w:t>
            </w:r>
            <w:r>
              <w:t xml:space="preserve">, </w:t>
            </w:r>
            <w:proofErr w:type="spellStart"/>
            <w:r w:rsidRPr="001F0879">
              <w:t>Nghị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định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103/2008/NĐ-CP 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Chính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phủ</w:t>
            </w:r>
            <w:proofErr w:type="spellEnd"/>
          </w:p>
        </w:tc>
        <w:tc>
          <w:tcPr>
            <w:tcW w:w="3624" w:type="dxa"/>
          </w:tcPr>
          <w:p w:rsidR="00051B28" w:rsidRDefault="00051B28" w:rsidP="0005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051B28" w:rsidRDefault="00051B28" w:rsidP="0005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>;</w:t>
            </w:r>
          </w:p>
          <w:p w:rsidR="00051B28" w:rsidRDefault="00051B28" w:rsidP="0005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niên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>;</w:t>
            </w:r>
          </w:p>
          <w:p w:rsidR="00051B28" w:rsidRDefault="00051B28" w:rsidP="0005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an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;</w:t>
            </w:r>
          </w:p>
          <w:p w:rsidR="00BA3ACA" w:rsidRPr="001F0879" w:rsidRDefault="00051B28" w:rsidP="0005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d)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do tai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;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tr w:rsidR="00BA3ACA" w:rsidTr="00B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</w:tcPr>
          <w:p w:rsidR="00BA3ACA" w:rsidRPr="001F0879" w:rsidRDefault="00BA3ACA" w:rsidP="00BA3ACA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588" w:type="dxa"/>
          </w:tcPr>
          <w:p w:rsidR="00BA3ACA" w:rsidRPr="001F0879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  <w:tc>
          <w:tcPr>
            <w:tcW w:w="3127" w:type="dxa"/>
          </w:tcPr>
          <w:p w:rsidR="00BA3ACA" w:rsidRPr="001F0879" w:rsidRDefault="00612B3B" w:rsidP="0061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3ACA">
              <w:t>Điể</w:t>
            </w:r>
            <w:r>
              <w:t>m</w:t>
            </w:r>
            <w:proofErr w:type="spellEnd"/>
            <w:r>
              <w:t xml:space="preserve"> </w:t>
            </w:r>
            <w:r>
              <w:t>1</w:t>
            </w:r>
            <w:r w:rsidRPr="00BA3ACA">
              <w:t xml:space="preserve">.1, </w:t>
            </w:r>
            <w:proofErr w:type="spellStart"/>
            <w:r w:rsidRPr="00BA3ACA">
              <w:t>Khoả</w:t>
            </w:r>
            <w:r>
              <w:t>n</w:t>
            </w:r>
            <w:proofErr w:type="spellEnd"/>
            <w:r>
              <w:t xml:space="preserve"> </w:t>
            </w:r>
            <w:r>
              <w:t>1</w:t>
            </w:r>
            <w:r w:rsidRPr="00BA3ACA">
              <w:t xml:space="preserve">, </w:t>
            </w:r>
            <w:proofErr w:type="spellStart"/>
            <w:r w:rsidRPr="00BA3ACA">
              <w:t>Mụ</w:t>
            </w:r>
            <w:r>
              <w:t>c</w:t>
            </w:r>
            <w:proofErr w:type="spellEnd"/>
            <w:r>
              <w:t xml:space="preserve"> II, </w:t>
            </w: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126/2008/TT-BTC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624" w:type="dxa"/>
          </w:tcPr>
          <w:p w:rsidR="00BA3ACA" w:rsidRPr="001F0879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2B3B">
              <w:t>Mỗi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xe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cơ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giới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được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cấp</w:t>
            </w:r>
            <w:proofErr w:type="spellEnd"/>
            <w:r w:rsidRPr="00612B3B">
              <w:t xml:space="preserve"> 1 </w:t>
            </w:r>
            <w:proofErr w:type="spellStart"/>
            <w:r w:rsidRPr="00612B3B">
              <w:t>Giấy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chứng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nhận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bảo</w:t>
            </w:r>
            <w:proofErr w:type="spellEnd"/>
            <w:r w:rsidRPr="00612B3B">
              <w:t xml:space="preserve"> </w:t>
            </w:r>
            <w:proofErr w:type="spellStart"/>
            <w:r w:rsidRPr="00612B3B">
              <w:t>hiểm</w:t>
            </w:r>
            <w:proofErr w:type="spellEnd"/>
          </w:p>
        </w:tc>
      </w:tr>
      <w:tr w:rsidR="00BA3ACA" w:rsidTr="00B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</w:tcPr>
          <w:p w:rsidR="00BA3ACA" w:rsidRPr="001F0879" w:rsidRDefault="00612B3B" w:rsidP="00BA3ACA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588" w:type="dxa"/>
          </w:tcPr>
          <w:p w:rsidR="00BA3ACA" w:rsidRPr="001F0879" w:rsidRDefault="00612B3B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27" w:type="dxa"/>
          </w:tcPr>
          <w:p w:rsidR="00BA3ACA" w:rsidRPr="001F0879" w:rsidRDefault="00612B3B" w:rsidP="00B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3ACA">
              <w:t>Điể</w:t>
            </w:r>
            <w:r>
              <w:t>m</w:t>
            </w:r>
            <w:proofErr w:type="spellEnd"/>
            <w:r>
              <w:t xml:space="preserve"> 1</w:t>
            </w:r>
            <w:r>
              <w:t>4</w:t>
            </w:r>
            <w:r w:rsidRPr="00BA3ACA">
              <w:t>.1</w:t>
            </w:r>
            <w:r>
              <w:t>3</w:t>
            </w:r>
            <w:r w:rsidRPr="00BA3ACA">
              <w:t xml:space="preserve">, </w:t>
            </w:r>
            <w:proofErr w:type="spellStart"/>
            <w:r w:rsidRPr="00BA3ACA">
              <w:t>Khoả</w:t>
            </w:r>
            <w:r>
              <w:t>n</w:t>
            </w:r>
            <w:proofErr w:type="spellEnd"/>
            <w:r>
              <w:t xml:space="preserve"> 1</w:t>
            </w:r>
            <w:r>
              <w:t>4</w:t>
            </w:r>
            <w:r w:rsidRPr="00BA3ACA">
              <w:t xml:space="preserve">, </w:t>
            </w:r>
            <w:proofErr w:type="spellStart"/>
            <w:r w:rsidRPr="00BA3ACA">
              <w:t>Mụ</w:t>
            </w:r>
            <w:r>
              <w:t>c</w:t>
            </w:r>
            <w:proofErr w:type="spellEnd"/>
            <w:r>
              <w:t xml:space="preserve"> II, </w:t>
            </w: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126/2008/TT-BTC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624" w:type="dxa"/>
          </w:tcPr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>: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(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);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>.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>: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 xml:space="preserve">Dung </w:t>
            </w:r>
            <w:proofErr w:type="spellStart"/>
            <w:r>
              <w:t>tích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>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>.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 xml:space="preserve"> 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an);</w:t>
            </w:r>
          </w:p>
          <w:p w:rsidR="00612B3B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 xml:space="preserve"> 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tai </w:t>
            </w:r>
            <w:proofErr w:type="spellStart"/>
            <w:r>
              <w:t>nạn</w:t>
            </w:r>
            <w:proofErr w:type="spellEnd"/>
            <w:r>
              <w:t>);</w:t>
            </w:r>
          </w:p>
          <w:p w:rsidR="00BA3ACA" w:rsidRPr="001F0879" w:rsidRDefault="00612B3B" w:rsidP="006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).</w:t>
            </w:r>
          </w:p>
        </w:tc>
      </w:tr>
      <w:tr w:rsidR="00612B3B" w:rsidTr="00B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</w:tcPr>
          <w:p w:rsidR="00612B3B" w:rsidRDefault="00612B3B" w:rsidP="00BA3ACA">
            <w:pPr>
              <w:rPr>
                <w:b w:val="0"/>
              </w:rPr>
            </w:pPr>
            <w:r>
              <w:rPr>
                <w:b w:val="0"/>
              </w:rPr>
              <w:lastRenderedPageBreak/>
              <w:t>5</w:t>
            </w:r>
          </w:p>
        </w:tc>
        <w:tc>
          <w:tcPr>
            <w:tcW w:w="1588" w:type="dxa"/>
          </w:tcPr>
          <w:p w:rsidR="00612B3B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3127" w:type="dxa"/>
          </w:tcPr>
          <w:p w:rsidR="00612B3B" w:rsidRPr="00BA3ACA" w:rsidRDefault="00612B3B" w:rsidP="00B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 4</w:t>
            </w:r>
            <w:r>
              <w:t xml:space="preserve">, </w:t>
            </w:r>
            <w:proofErr w:type="spellStart"/>
            <w:r w:rsidRPr="001F0879">
              <w:t>Thông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tư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số</w:t>
            </w:r>
            <w:proofErr w:type="spellEnd"/>
            <w:r w:rsidRPr="001F0879">
              <w:t xml:space="preserve"> 126/2008/TT-BTC </w:t>
            </w:r>
            <w:proofErr w:type="spellStart"/>
            <w:r w:rsidRPr="001F0879">
              <w:t>của</w:t>
            </w:r>
            <w:proofErr w:type="spellEnd"/>
            <w:r w:rsidRPr="001F0879">
              <w:t xml:space="preserve"> </w:t>
            </w:r>
            <w:proofErr w:type="spellStart"/>
            <w:r w:rsidRPr="001F0879"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624" w:type="dxa"/>
          </w:tcPr>
          <w:p w:rsidR="00612B3B" w:rsidRDefault="00612B3B" w:rsidP="0061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1F0879" w:rsidRDefault="001F0879"/>
    <w:sectPr w:rsidR="001F0879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79"/>
    <w:rsid w:val="00007934"/>
    <w:rsid w:val="0001412D"/>
    <w:rsid w:val="00014ECC"/>
    <w:rsid w:val="00015E5A"/>
    <w:rsid w:val="0003249C"/>
    <w:rsid w:val="00033634"/>
    <w:rsid w:val="00041725"/>
    <w:rsid w:val="00042114"/>
    <w:rsid w:val="00047C4A"/>
    <w:rsid w:val="00051B28"/>
    <w:rsid w:val="000532E1"/>
    <w:rsid w:val="00060C08"/>
    <w:rsid w:val="0006542B"/>
    <w:rsid w:val="00081273"/>
    <w:rsid w:val="0009667D"/>
    <w:rsid w:val="000A1936"/>
    <w:rsid w:val="000A5A29"/>
    <w:rsid w:val="000B2ABC"/>
    <w:rsid w:val="000B6FD9"/>
    <w:rsid w:val="000D39DC"/>
    <w:rsid w:val="000E0DE1"/>
    <w:rsid w:val="000F60F3"/>
    <w:rsid w:val="00106A58"/>
    <w:rsid w:val="00117586"/>
    <w:rsid w:val="001356E2"/>
    <w:rsid w:val="00137F14"/>
    <w:rsid w:val="00142394"/>
    <w:rsid w:val="001461D5"/>
    <w:rsid w:val="00151585"/>
    <w:rsid w:val="001540D6"/>
    <w:rsid w:val="001714DE"/>
    <w:rsid w:val="001723BC"/>
    <w:rsid w:val="00176E94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1F0879"/>
    <w:rsid w:val="0020383D"/>
    <w:rsid w:val="0021528A"/>
    <w:rsid w:val="002163E7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1CFA"/>
    <w:rsid w:val="002B5C5F"/>
    <w:rsid w:val="002C1F5C"/>
    <w:rsid w:val="002F57F4"/>
    <w:rsid w:val="002F7917"/>
    <w:rsid w:val="003020AF"/>
    <w:rsid w:val="00303C63"/>
    <w:rsid w:val="00314EB7"/>
    <w:rsid w:val="00316361"/>
    <w:rsid w:val="003174AE"/>
    <w:rsid w:val="00320E3C"/>
    <w:rsid w:val="0034769E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03DF"/>
    <w:rsid w:val="003F6C8E"/>
    <w:rsid w:val="00416DA6"/>
    <w:rsid w:val="00422F7F"/>
    <w:rsid w:val="0042706E"/>
    <w:rsid w:val="0043080A"/>
    <w:rsid w:val="0043205B"/>
    <w:rsid w:val="00437A95"/>
    <w:rsid w:val="004419E4"/>
    <w:rsid w:val="00453BCF"/>
    <w:rsid w:val="00460861"/>
    <w:rsid w:val="00476AD7"/>
    <w:rsid w:val="00477343"/>
    <w:rsid w:val="00492F0C"/>
    <w:rsid w:val="004959AA"/>
    <w:rsid w:val="004A3C56"/>
    <w:rsid w:val="004A4A6A"/>
    <w:rsid w:val="004A7951"/>
    <w:rsid w:val="004B369A"/>
    <w:rsid w:val="004C0A21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A10A6"/>
    <w:rsid w:val="005A1D16"/>
    <w:rsid w:val="005A5372"/>
    <w:rsid w:val="005A78E2"/>
    <w:rsid w:val="005C385E"/>
    <w:rsid w:val="005D1EE2"/>
    <w:rsid w:val="005E12C8"/>
    <w:rsid w:val="005E277F"/>
    <w:rsid w:val="005E5800"/>
    <w:rsid w:val="005E61CD"/>
    <w:rsid w:val="0061176D"/>
    <w:rsid w:val="00612B3B"/>
    <w:rsid w:val="00616496"/>
    <w:rsid w:val="00635E3F"/>
    <w:rsid w:val="00637268"/>
    <w:rsid w:val="006376CB"/>
    <w:rsid w:val="006423BC"/>
    <w:rsid w:val="00652417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2379B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A279B"/>
    <w:rsid w:val="007B08A3"/>
    <w:rsid w:val="007B2D67"/>
    <w:rsid w:val="007E2067"/>
    <w:rsid w:val="007E2EAC"/>
    <w:rsid w:val="007F0E00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D4C8F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63267"/>
    <w:rsid w:val="00980135"/>
    <w:rsid w:val="00984F79"/>
    <w:rsid w:val="009A1950"/>
    <w:rsid w:val="009B4D41"/>
    <w:rsid w:val="009C568F"/>
    <w:rsid w:val="00A0073C"/>
    <w:rsid w:val="00A05B91"/>
    <w:rsid w:val="00A11EAF"/>
    <w:rsid w:val="00A224F5"/>
    <w:rsid w:val="00A25267"/>
    <w:rsid w:val="00A328F4"/>
    <w:rsid w:val="00A35A1E"/>
    <w:rsid w:val="00A40775"/>
    <w:rsid w:val="00A40AF0"/>
    <w:rsid w:val="00A438A4"/>
    <w:rsid w:val="00A47BF9"/>
    <w:rsid w:val="00A54E00"/>
    <w:rsid w:val="00A61496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0F8"/>
    <w:rsid w:val="00B934B0"/>
    <w:rsid w:val="00B9729E"/>
    <w:rsid w:val="00BA29DF"/>
    <w:rsid w:val="00BA3ACA"/>
    <w:rsid w:val="00BB36D0"/>
    <w:rsid w:val="00BC5712"/>
    <w:rsid w:val="00BD24AC"/>
    <w:rsid w:val="00BE0442"/>
    <w:rsid w:val="00BE2864"/>
    <w:rsid w:val="00BE3ECD"/>
    <w:rsid w:val="00BF2429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9BA6C-AC22-43CF-BB7E-BDA3DEDB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0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0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anban.chinhphu.vn/portal/page/portal/chinhphu/hethongvanban?class_id=1&amp;mode=detail&amp;document_id=1645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nban.chinhphu.vn/portal/page/portal/chinhphu/hethongvanban?_page=76&amp;class_id=1&amp;document_id=83970&amp;mode=detail&amp;org_group_id=0&amp;org_id=0&amp;type_group_id=0&amp;type_id=0" TargetMode="External"/><Relationship Id="rId5" Type="http://schemas.openxmlformats.org/officeDocument/2006/relationships/hyperlink" Target="http://vanban.chinhphu.vn/portal/page/portal/chinhphu/hethongvanban?_page=87&amp;class_id=1&amp;document_id=81677&amp;mode=detail&amp;org_group_id=0&amp;org_id=0&amp;type_group_id=0&amp;type_id=0" TargetMode="External"/><Relationship Id="rId4" Type="http://schemas.openxmlformats.org/officeDocument/2006/relationships/hyperlink" Target="http://vanban.chinhphu.vn/portal/page/portal/chinhphu/hethongvanban?_page=1&amp;class_id=1&amp;document_id=77217&amp;mode=deta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1</cp:revision>
  <dcterms:created xsi:type="dcterms:W3CDTF">2015-08-15T15:49:00Z</dcterms:created>
  <dcterms:modified xsi:type="dcterms:W3CDTF">2015-08-15T17:02:00Z</dcterms:modified>
</cp:coreProperties>
</file>