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r>
        <w:rPr>
          <w:b/>
        </w:rPr>
        <w:t>Delegation cascades in evolutionary games: stable computation with strategic depth</w:t>
      </w:r>
    </w:p>
    <w:p>
      <w:r>
        <w:t>Trung-Kiet Huynh, Dao Sy Duy Minh, Chi-Nguyen Tran, Nguyen Lam Phu Quy, Pham Phu Hoa</w:t>
      </w:r>
    </w:p>
    <w:p>
      <w:pPr>
        <w:pStyle w:val="ListBullet"/>
      </w:pPr>
      <w:r>
        <w:t>Strategic depth creates a liability shelter in evolutionary games</w:t>
      </w:r>
    </w:p>
    <w:p>
      <w:pPr>
        <w:pStyle w:val="ListBullet"/>
      </w:pPr>
      <w:r>
        <w:t>Maximum-shifted O(Z) fixation sums stabilise the reduced Markov chain</w:t>
      </w:r>
    </w:p>
    <w:p>
      <w:pPr>
        <w:pStyle w:val="ListBullet"/>
      </w:pPr>
      <w:r>
        <w:t>Joint erosion and attribution loss raise unsafe frequency from 0 to 0.322</w:t>
      </w:r>
    </w:p>
    <w:p>
      <w:pPr>
        <w:pStyle w:val="ListBullet"/>
      </w:pPr>
      <w:r>
        <w:t>An attribution floor matches reachable depth-cap safety-payoff outcomes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