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25 August 2026</w:t>
      </w:r>
    </w:p>
    <w:p>
      <w:pPr>
        <w:pStyle w:val="BodyText"/>
      </w:pPr>
      <w:r>
        <w:t xml:space="preserve">To the Editors</w:t>
      </w:r>
      <w:r>
        <w:br/>
      </w:r>
      <w:r>
        <w:rPr>
          <w:i/>
          <w:iCs/>
        </w:rPr>
        <w:t xml:space="preserve">Applied Mathematics and Computation</w:t>
      </w:r>
    </w:p>
    <w:p>
      <w:pPr>
        <w:pStyle w:val="BodyText"/>
      </w:pPr>
      <w:r>
        <w:t xml:space="preserve">Dear Editors,</w:t>
      </w:r>
    </w:p>
    <w:p>
      <w:pPr>
        <w:pStyle w:val="BodyText"/>
      </w:pPr>
      <w:r>
        <w:t xml:space="preserve">We submit</w:t>
      </w:r>
      <w:r>
        <w:t xml:space="preserve"> </w:t>
      </w:r>
      <w:r>
        <w:rPr>
          <w:b/>
          <w:bCs/>
        </w:rPr>
        <w:t xml:space="preserve">“Delegation cascades in evolutionary games: stable computation with</w:t>
      </w:r>
      <w:r>
        <w:rPr>
          <w:b/>
          <w:bCs/>
        </w:rPr>
        <w:t xml:space="preserve"> </w:t>
      </w:r>
      <w:r>
        <w:rPr>
          <w:b/>
          <w:bCs/>
        </w:rPr>
        <w:t xml:space="preserve">strategic depth”</w:t>
      </w:r>
      <w:r>
        <w:t xml:space="preserve"> </w:t>
      </w:r>
      <w:r>
        <w:t xml:space="preserve">for consideration as a research article in</w:t>
      </w:r>
      <w:r>
        <w:t xml:space="preserve"> </w:t>
      </w:r>
      <w:r>
        <w:rPr>
          <w:i/>
          <w:iCs/>
        </w:rPr>
        <w:t xml:space="preserve">Applied</w:t>
      </w:r>
      <w:r>
        <w:rPr>
          <w:i/>
          <w:iCs/>
        </w:rPr>
        <w:t xml:space="preserve"> </w:t>
      </w:r>
      <w:r>
        <w:rPr>
          <w:i/>
          <w:iCs/>
        </w:rPr>
        <w:t xml:space="preserve">Mathematics and Computation</w:t>
      </w:r>
      <w:r>
        <w:t xml:space="preserve">. The manuscript studies a finite-population</w:t>
      </w:r>
      <w:r>
        <w:t xml:space="preserve"> </w:t>
      </w:r>
      <w:r>
        <w:t xml:space="preserve">evolutionary game in which delegation depth is a strategic coordinate. It fits</w:t>
      </w:r>
      <w:r>
        <w:t xml:space="preserve"> </w:t>
      </w:r>
      <w:r>
        <w:t xml:space="preserve">the journal’s computational scope by combining an analysed numerical method,</w:t>
      </w:r>
      <w:r>
        <w:t xml:space="preserve"> </w:t>
      </w:r>
      <w:r>
        <w:t xml:space="preserve">Markov-chain dynamics and a systems-oriented application.</w:t>
      </w:r>
    </w:p>
    <w:p>
      <w:pPr>
        <w:pStyle w:val="BodyText"/>
      </w:pPr>
      <w:r>
        <w:t xml:space="preserve">The direct mutation-selection chain has about 3.0 x 10^27 population states</w:t>
      </w:r>
      <w:r>
        <w:t xml:space="preserve"> </w:t>
      </w:r>
      <w:r>
        <w:t xml:space="preserve">at the reported parameters. We avoid constructing it by summing the interaction</w:t>
      </w:r>
      <w:r>
        <w:t xml:space="preserve"> </w:t>
      </w:r>
      <w:r>
        <w:t xml:space="preserve">tensor over the horizon law, reducing the rare-mutation process to an embedded</w:t>
      </w:r>
      <w:r>
        <w:t xml:space="preserve"> </w:t>
      </w:r>
      <w:r>
        <w:t xml:space="preserve">chain on 28 designs, and evaluating each fixation probability in O(Z)</w:t>
      </w:r>
      <w:r>
        <w:t xml:space="preserve"> </w:t>
      </w:r>
      <w:r>
        <w:t xml:space="preserve">operations with maximum-shifted exponentials. A closed-class condition handles</w:t>
      </w:r>
      <w:r>
        <w:t xml:space="preserve"> </w:t>
      </w:r>
      <w:r>
        <w:t xml:space="preserve">underflow in extreme transitions. Five complementary checks compare the</w:t>
      </w:r>
      <w:r>
        <w:t xml:space="preserve"> </w:t>
      </w:r>
      <w:r>
        <w:t xml:space="preserve">interaction tensor with Monte Carlo, shifted arithmetic and complete stationary</w:t>
      </w:r>
      <w:r>
        <w:t xml:space="preserve"> </w:t>
      </w:r>
      <w:r>
        <w:t xml:space="preserve">output with 60-digit references, the fixation formula with EGTtools, and the</w:t>
      </w:r>
      <w:r>
        <w:t xml:space="preserve"> </w:t>
      </w:r>
      <w:r>
        <w:t xml:space="preserve">rare-mutation reduction with a tractable full chain.</w:t>
      </w:r>
    </w:p>
    <w:p>
      <w:pPr>
        <w:pStyle w:val="BodyText"/>
      </w:pPr>
      <w:r>
        <w:t xml:space="preserve">The analysis proves that realised harm saturates with depth while attributed</w:t>
      </w:r>
      <w:r>
        <w:t xml:space="preserve"> </w:t>
      </w:r>
      <w:r>
        <w:t xml:space="preserve">harm carries a vanishing per-layer factor. Hence every positive attribution</w:t>
      </w:r>
      <w:r>
        <w:t xml:space="preserve"> </w:t>
      </w:r>
      <w:r>
        <w:t xml:space="preserve">retention below one eventually creates a liability shelter: another hand-off</w:t>
      </w:r>
      <w:r>
        <w:t xml:space="preserve"> </w:t>
      </w:r>
      <w:r>
        <w:t xml:space="preserve">lowers the principal’s charge without lowering realised harm. An eventually binding</w:t>
      </w:r>
      <w:r>
        <w:t xml:space="preserve"> </w:t>
      </w:r>
      <w:r>
        <w:t xml:space="preserve">attribution floor closes this shelter. All nine numbered results state their</w:t>
      </w:r>
      <w:r>
        <w:t xml:space="preserve"> </w:t>
      </w:r>
      <w:r>
        <w:t xml:space="preserve">hypotheses and include proofs.</w:t>
      </w:r>
    </w:p>
    <w:p>
      <w:pPr>
        <w:pStyle w:val="BodyText"/>
      </w:pPr>
      <w:r>
        <w:t xml:space="preserve">Numerically, transmission erosion and attenuated attribution separately yield</w:t>
      </w:r>
      <w:r>
        <w:t xml:space="preserve"> </w:t>
      </w:r>
      <w:r>
        <w:t xml:space="preserve">unsafe frequencies of 0.018 and 0.011 but jointly yield 0.322; interaction</w:t>
      </w:r>
      <w:r>
        <w:t xml:space="preserve"> </w:t>
      </w:r>
      <w:r>
        <w:t xml:space="preserve">accounts for 91% of the joint effect. Over its attainable range on the reported</w:t>
      </w:r>
      <w:r>
        <w:t xml:space="preserve"> </w:t>
      </w:r>
      <w:r>
        <w:t xml:space="preserve">grid, a statutory attribution floor closely traces the depth-cap</w:t>
      </w:r>
      <w:r>
        <w:t xml:space="preserve"> </w:t>
      </w:r>
      <w:r>
        <w:t xml:space="preserve">safety-social-payoff frontier, while transmission improvement is non-monotone</w:t>
      </w:r>
      <w:r>
        <w:t xml:space="preserve"> </w:t>
      </w:r>
      <w:r>
        <w:t xml:space="preserve">because selection changes the issued intent.</w:t>
      </w:r>
    </w:p>
    <w:p>
      <w:pPr>
        <w:pStyle w:val="BodyText"/>
      </w:pPr>
      <w:r>
        <w:t xml:space="preserve">The present manuscript has not been peer reviewed or formally published and is</w:t>
      </w:r>
      <w:r>
        <w:t xml:space="preserve"> </w:t>
      </w:r>
      <w:r>
        <w:t xml:space="preserve">not under consideration elsewhere. A non-peer-reviewed development manuscript</w:t>
      </w:r>
      <w:r>
        <w:t xml:space="preserve"> </w:t>
      </w:r>
      <w:r>
        <w:t xml:space="preserve">source has been publicly accessible in the cited GitHub repository since 20</w:t>
      </w:r>
      <w:r>
        <w:t xml:space="preserve"> </w:t>
      </w:r>
      <w:r>
        <w:t xml:space="preserve">August 2026. It is a preprint, not a version of record. Two related but</w:t>
      </w:r>
      <w:r>
        <w:t xml:space="preserve"> </w:t>
      </w:r>
      <w:r>
        <w:t xml:space="preserve">non-duplicate companion manuscripts by overlapping author teams are separate</w:t>
      </w:r>
      <w:r>
        <w:t xml:space="preserve"> </w:t>
      </w:r>
      <w:r>
        <w:t xml:space="preserve">submissions in the same coordinated submission round:</w:t>
      </w:r>
      <w:r>
        <w:t xml:space="preserve"> </w:t>
      </w:r>
      <w:r>
        <w:rPr>
          <w:i/>
          <w:iCs/>
        </w:rPr>
        <w:t xml:space="preserve">Safe</w:t>
      </w:r>
      <w:r>
        <w:rPr>
          <w:i/>
          <w:iCs/>
        </w:rPr>
        <w:t xml:space="preserve"> </w:t>
      </w:r>
      <w:r>
        <w:rPr>
          <w:i/>
          <w:iCs/>
        </w:rPr>
        <w:t xml:space="preserve">designs, unsafe ecosystems: deployment-layer</w:t>
      </w:r>
      <w:r>
        <w:rPr>
          <w:i/>
          <w:iCs/>
        </w:rPr>
        <w:t xml:space="preserve"> </w:t>
      </w:r>
      <w:r>
        <w:rPr>
          <w:i/>
          <w:iCs/>
        </w:rPr>
        <w:t xml:space="preserve">selection in an evolutionary AI race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Forgeable greenbeards:</w:t>
      </w:r>
      <w:r>
        <w:rPr>
          <w:i/>
          <w:iCs/>
        </w:rPr>
        <w:t xml:space="preserve"> </w:t>
      </w:r>
      <w:r>
        <w:rPr>
          <w:i/>
          <w:iCs/>
        </w:rPr>
        <w:t xml:space="preserve">multistability and hollow collapse in certified agent populations</w:t>
      </w:r>
      <w:r>
        <w:t xml:space="preserve">. They share</w:t>
      </w:r>
      <w:r>
        <w:t xml:space="preserve"> </w:t>
      </w:r>
      <w:r>
        <w:t xml:space="preserve">the reduced four-strategy interaction layer used as a common benchmark, but</w:t>
      </w:r>
      <w:r>
        <w:t xml:space="preserve"> </w:t>
      </w:r>
      <w:r>
        <w:t xml:space="preserve">study different structural coordinates, mechanisms, state spaces, analytical</w:t>
      </w:r>
      <w:r>
        <w:t xml:space="preserve"> </w:t>
      </w:r>
      <w:r>
        <w:t xml:space="preserve">results and policy questions. Any repeated benchmark quantities are common</w:t>
      </w:r>
      <w:r>
        <w:t xml:space="preserve"> </w:t>
      </w:r>
      <w:r>
        <w:t xml:space="preserve">inputs rather than shared findings. We disclose the companion manuscripts so</w:t>
      </w:r>
      <w:r>
        <w:t xml:space="preserve"> </w:t>
      </w:r>
      <w:r>
        <w:t xml:space="preserve">that the editor can assess the boundaries between the three studies, and we</w:t>
      </w:r>
      <w:r>
        <w:t xml:space="preserve"> </w:t>
      </w:r>
      <w:r>
        <w:t xml:space="preserve">will provide copies on request.</w:t>
      </w:r>
    </w:p>
    <w:p>
      <w:pPr>
        <w:pStyle w:val="BodyText"/>
      </w:pPr>
      <w:r>
        <w:t xml:space="preserve">All five authors approved the manuscript and have no competing interests. Code,</w:t>
      </w:r>
      <w:r>
        <w:t xml:space="preserve"> </w:t>
      </w:r>
      <w:r>
        <w:t xml:space="preserve">generated tables, numerical benchmarks and the figure pipeline are available</w:t>
      </w:r>
      <w:r>
        <w:t xml:space="preserve"> </w:t>
      </w:r>
      <w:r>
        <w:t xml:space="preserve">under the MIT licence at</w:t>
      </w:r>
      <w:r>
        <w:t xml:space="preserve"> </w:t>
      </w:r>
      <w:hyperlink r:id="rId9">
        <w:r>
          <w:rPr>
            <w:rStyle w:val="Hyperlink"/>
          </w:rPr>
          <w:t xml:space="preserve">https://github.com/trungkiet2005/delegation-cascade</w:t>
        </w:r>
      </w:hyperlink>
      <w:r>
        <w:t xml:space="preserve">.</w:t>
      </w:r>
    </w:p>
    <w:p>
      <w:pPr>
        <w:pStyle w:val="BodyText"/>
      </w:pPr>
      <w:r>
        <w:t xml:space="preserve">Thank you for considering the manuscript.</w:t>
      </w:r>
    </w:p>
    <w:p>
      <w:pPr>
        <w:pStyle w:val="BodyText"/>
      </w:pPr>
      <w:r>
        <w:t xml:space="preserve">Yours sincerely,</w:t>
      </w:r>
    </w:p>
    <w:p>
      <w:pPr>
        <w:pStyle w:val="BodyText"/>
      </w:pPr>
      <w:r>
        <w:t xml:space="preserve">Trung-Kiet Huynh, on behalf of all five authors</w:t>
      </w:r>
      <w:r>
        <w:br/>
      </w:r>
      <w:r>
        <w:t xml:space="preserve">Faculty of Information Technology, University of Science,</w:t>
      </w:r>
      <w:r>
        <w:br/>
      </w:r>
      <w:r>
        <w:t xml:space="preserve">Vietnam National University Ho Chi Minh City</w:t>
      </w:r>
      <w:r>
        <w:br/>
      </w:r>
      <w:r>
        <w:t xml:space="preserve">227 Nguyen Van Cu Street, Cho Quan Ward, Ho Chi Minh City, Vietnam</w:t>
      </w:r>
      <w:r>
        <w:br/>
      </w:r>
      <w:r>
        <w:t xml:space="preserve">23122039@student.hcmus.edu.vn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trungkiet2005/delegation-cascad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trungkiet2005/delegation-cascad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2026-08-24T18:39:22Z</dcterms:created>
  <dcterms:modified xsi:type="dcterms:W3CDTF">2026-08-24T18:39:22Z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