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r>
        <w:t>Certification without a safety dividend: forgeable credentials in populations of autonomous agents</w:t>
      </w:r>
    </w:p>
    <w:p>
      <w:pPr>
        <w:pStyle w:val="ListBullet"/>
      </w:pPr>
      <w:r>
        <w:t>Badged and unbadged faces carry the same replicator flow, up to the dues</w:t>
      </w:r>
    </w:p>
    <w:p>
      <w:pPr>
        <w:pStyle w:val="ListBullet"/>
      </w:pPr>
      <w:r>
        <w:t>A settled certified market is no safer, only poorer by exactly its dues</w:t>
      </w:r>
    </w:p>
    <w:p>
      <w:pPr>
        <w:pStyle w:val="ListBullet"/>
      </w:pPr>
      <w:r>
        <w:t>Mimics hollow out a credential before conduct degrades, so monitors see nothing</w:t>
      </w:r>
    </w:p>
    <w:p>
      <w:pPr>
        <w:pStyle w:val="ListBullet"/>
      </w:pPr>
      <w:r>
        <w:t>Safety is set by assortment alone and credential integrity by verification alone</w:t>
      </w:r>
    </w:p>
    <w:p>
      <w:pPr>
        <w:pStyle w:val="ListBullet"/>
      </w:pPr>
      <w:r>
        <w:t>Exclusion is a dial: a small entry toll buys most of the forgery tolerance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