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competing interest</w:t>
      </w:r>
    </w:p>
    <w:p>
      <w:r>
        <w:rPr>
          <w:b/>
        </w:rPr>
        <w:t xml:space="preserve">Manuscript title: </w:t>
      </w:r>
      <w:r>
        <w:t>Forgeable greenbeards: multistability and hollow collapse in certified agent populations</w:t>
      </w:r>
    </w:p>
    <w:p>
      <w:r>
        <w:t>The authors declare that they have no known competing financial interests or personal relationships that could have appeared to influence the work reported in this paper.</w:t>
      </w:r>
    </w:p>
    <w:p>
      <w:pPr>
        <w:pStyle w:val="Heading2"/>
      </w:pPr>
      <w:r>
        <w:t>Funding</w:t>
      </w:r>
    </w:p>
    <w:p>
      <w:r>
        <w:t>This research did not receive any specific grant from funding agencies in the public, commercial, or not-for-profit sectors.</w:t>
      </w:r>
    </w:p>
    <w:p>
      <w:pPr>
        <w:pStyle w:val="Heading2"/>
      </w:pPr>
      <w:r>
        <w:t>Declaration of generative AI and AI-assisted technologies in the manuscript preparation process</w:t>
      </w:r>
    </w:p>
    <w:p>
      <w:r>
        <w:t>During the preparation of this work the authors used Anthropic's Claude through the Claude Code command-line interface and OpenAI Codex to draft and edit prose, inspect and revise the LaTeX source, scaffold parts of the analysis code, and check quoted numerical values against the generated results files. The authors also used OpenAI's image-generation system to render the graphical abstract from an author-specified four-panel scientific layout. The graphical abstract is conceptual and contains no simulated or empirical data. The authors reviewed and edited all tool output, verified every scientific label, and take full responsibility for the content of the published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