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r>
        <w:rPr>
          <w:i/>
        </w:rPr>
        <w:t>Forgeable greenbeards: multistability and hollow collapse in certified agent populations</w:t>
      </w:r>
    </w:p>
    <w:p>
      <w:pPr>
        <w:pStyle w:val="ListBullet"/>
      </w:pPr>
      <w:r>
        <w:t>A forgeable identity tag induces multistability in a 48-strategy flow</w:t>
      </w:r>
    </w:p>
    <w:p>
      <w:pPr>
        <w:pStyle w:val="ListBullet"/>
      </w:pPr>
      <w:r>
        <w:t>Conditional cooperation more than doubles tolerance to credential forgery</w:t>
      </w:r>
    </w:p>
    <w:p>
      <w:pPr>
        <w:pStyle w:val="ListBullet"/>
      </w:pPr>
      <w:r>
        <w:t>No finite fine replaces detection as forgery becomes undetectable</w:t>
      </w:r>
    </w:p>
    <w:p>
      <w:pPr>
        <w:pStyle w:val="ListBullet"/>
      </w:pPr>
      <w:r>
        <w:t>Mimics hollow out credential integrity before observable conduct degrades</w:t>
      </w:r>
    </w:p>
    <w:p>
      <w:pPr>
        <w:pStyle w:val="ListBullet"/>
      </w:pPr>
      <w:r>
        <w:t>Certification buys robustness through an exclusionary entry barrier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