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Chính sách khám sức khỏe định kỳ miễn phí toàn dân và làn sóng nhận thức bệnh mạn tính tạo ra tailwind dài hạn mạnh nhất từ trước đến nay cho danh mục tim mạch–đái tháo đường–tiêu hóa–ung thư của Davipharm — không có rủi ro pháp lý trực tiếp trong tuần.</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Sàng lọc toàn dân (MoH):Chính sách khám miễn phí 1 lần/năm từ 2026 sẽ mở rộng đáng kể phễu bệnh nhân mới cho RAVASTEL, EIMLER-10, ZLATKO, PECHAUNOX, TABAREX và HATLOP — tác động lớn nhất đến volume ETC tuyến huyện.</w:t>
            </w:r>
          </w:p>
          <w:p>
            <w:pPr>
              <w:spacing w:before="20" w:after="60"/>
              <w:ind w:left="142"/>
            </w:pPr>
            <w:r>
              <w:rPr>
                <w:rFonts w:ascii="Calibri" w:hAnsi="Calibri"/>
                <w:b w:val="0"/>
                <w:i w:val="0"/>
                <w:color w:val="111827"/>
                <w:sz w:val="17"/>
              </w:rPr>
              <w:t>▸  Tăng huyết áp bỏ sót:25–30% người Việt mắc THA chưa được kiểm soát và xu hướng trẻ hóa củng cố vị thế PECHAUNOX (FDC) như lựa chọn ưu tiên trước chu kỳ thầu tiếp theo.</w:t>
            </w:r>
          </w:p>
          <w:p>
            <w:pPr>
              <w:spacing w:before="20" w:after="60"/>
              <w:ind w:left="142"/>
            </w:pPr>
            <w:r>
              <w:rPr>
                <w:rFonts w:ascii="Calibri" w:hAnsi="Calibri"/>
                <w:b w:val="0"/>
                <w:i w:val="0"/>
                <w:color w:val="111827"/>
                <w:sz w:val="17"/>
              </w:rPr>
              <w:t>▸  Ung thư tiêu hóa + HP:Nội soi siêu phóng đại mở rộng và nhận thức HP/ung thư dạ dày tăng đồng thời thúc đẩy nhu cầu trung hạn cho cả HYYR/LARRIVEY (ung thư) lẫn JIRACEK/MARTAZ (PPI), đặc biệt tại bệnh viện tuyến trung ương.</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6</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Nhận thức về ung thư dạ dày &amp; HP tăng cao — Tín hiệu cho nhóm thuốc tiêu hóa (Esomeprazole, Rabeprazole)</w:t>
            </w:r>
          </w:p>
        </w:tc>
      </w:tr>
    </w:tbl>
    <w:p>
      <w:pPr>
        <w:spacing w:before="40" w:after="40"/>
        <w:ind w:left="170"/>
      </w:pPr>
      <w:r>
        <w:rPr>
          <w:rFonts w:ascii="Calibri" w:hAnsi="Calibri"/>
          <w:b w:val="0"/>
          <w:i/>
          <w:color w:val="6B7280"/>
          <w:sz w:val="18"/>
        </w:rPr>
        <w:t>Bài tư vấn y tế trên Dân Trí (Bệnh viện Bạch Mai) nhấn mạnh vai trò của vi khuẩn HP trong chuỗi tiến triển viêm dạ dày → ung thư, đồng thời khuyến nghị nội soi sớm và kiểm soát bệnh lý tiêu hóa mạn tính — phản ánh xu hướng gia tăng nhu cầu điều trị PPI dài hạn tại Việt Nam. Đây là tín hiệu thị trường thuận lợi cho JIRACEK (Esomeprazole) và MARTAZ (Rabeprazole) trong phân khúc bệnh nhân có bệnh lý dạ dày mạn tính tại kênh ETC và OPD.</w:t>
      </w:r>
    </w:p>
    <w:p>
      <w:pPr>
        <w:spacing w:before="20" w:after="40"/>
        <w:ind w:left="170"/>
      </w:pPr>
      <w:r>
        <w:rPr>
          <w:rFonts w:ascii="Calibri" w:hAnsi="Calibri"/>
          <w:b/>
          <w:i w:val="0"/>
          <w:color w:val="166534"/>
          <w:sz w:val="17"/>
        </w:rPr>
        <w:t>📈 Nhận thức HP &amp; ung thư dạ dày tăng thúc đẩy nhu cầu PPI dài hạn — cơ hội tăng trưởng kê đơn cho JIRACEK và MARTAZ tại bệnh viện tuyến trung ương và tỉnh.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Team phối hợp với Sales ETC chuẩn bị tài liệu detailing nhấn mạnh vai trò PPI trong phác đồ diệt HP (phối hợp kháng sinh + PPI) và dự phòng tái phát loét; ưu tiên tiếp cận các khoa Tiêu hóa–Gan mật tại bệnh viện tuyến trung ương (Bạch Mai, Chợ Rẫy, Huế) trong Q2–Q3/2026 để định vị JIRACEK và MARTAZ trước chu kỳ thầu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Xác ve sầu (thuyền thoái) bị tạm giữ tại Lạng Sơn — Tín hiệu thị trường dược liệu cổ truyền</w:t>
            </w:r>
          </w:p>
        </w:tc>
      </w:tr>
    </w:tbl>
    <w:p>
      <w:pPr>
        <w:spacing w:before="40" w:after="40"/>
        <w:ind w:left="170"/>
      </w:pPr>
      <w:r>
        <w:rPr>
          <w:rFonts w:ascii="Calibri" w:hAnsi="Calibri"/>
          <w:b w:val="0"/>
          <w:i/>
          <w:color w:val="6B7280"/>
          <w:sz w:val="18"/>
        </w:rPr>
        <w:t>Quản lý thị trường Lạng Sơn tạm giữ 80kg xác ve sầu khô do không có giấy tờ nguồn gốc, phản ánh nhu cầu nguyên liệu y học cổ truyền đang tăng mạnh với giá thu mua 1,2–1,7 triệu đồng/kg. Bài viết thuộc phân khúc dược liệu cổ truyền/YHCT, không liên quan trực tiếp đến danh mục generic tân dược của Davipharm.</w:t>
      </w:r>
    </w:p>
    <w:p>
      <w:pPr>
        <w:spacing w:before="20" w:after="40"/>
        <w:ind w:left="170"/>
      </w:pPr>
      <w:r>
        <w:rPr>
          <w:rFonts w:ascii="Calibri" w:hAnsi="Calibri"/>
          <w:b/>
          <w:i w:val="0"/>
          <w:color w:val="374151"/>
          <w:sz w:val="17"/>
        </w:rPr>
        <w:t>⚪ Không có tác động trực tiếp đến Davipharm — bài nằm ngoài vùng cạnh tranh của danh mục generic tân dược hiện tại.</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Market Intelligence team lưu hồ sơ như tham chiếu nền về xu hướng tiêu dùng YHCT tại Việt Nam; không ưu tiên theo dõi thêm.</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Ngộ độc Lidocaine sau hút mỡ tại phòng khám TPHCM — áp lực siết chặt quản lý cơ sở thẩm mỹ "chui"</w:t>
            </w:r>
          </w:p>
        </w:tc>
      </w:tr>
    </w:tbl>
    <w:p>
      <w:pPr>
        <w:spacing w:before="40" w:after="40"/>
        <w:ind w:left="170"/>
      </w:pPr>
      <w:r>
        <w:rPr>
          <w:rFonts w:ascii="Calibri" w:hAnsi="Calibri"/>
          <w:b w:val="0"/>
          <w:i/>
          <w:color w:val="6B7280"/>
          <w:sz w:val="18"/>
        </w:rPr>
        <w:t>Một phụ nữ 53 tuổi hôn mê nặng sau hút mỡ tại phòng khám TPHCM do ngộ độc Lidocaine, sự việc được báo cáo lên Sở Y tế; hội thảo an toàn thẩm mỹ ngày 12/5 ghi nhận 25.000–35.000 ca biến chứng/năm và kêu gọi tăng chế tài với cơ sở vi phạm. Đây không phải sản phẩm Davipharm gây ra sự cố, nhưng làn sóng thanh tra sắp tới có thể thắt chặt điều kiện kê đơn/sử dụng các thuốc gây tê-giảm đau tại cơ sở ngoại trú — phân khúc liên quan đến MAGRAX (Etoricoxib) và METILONE-4 (Methylprednisolone) trong phác đồ hậu phẫu thuật thẩm mỹ.</w:t>
      </w:r>
    </w:p>
    <w:p>
      <w:pPr>
        <w:spacing w:before="20" w:after="40"/>
        <w:ind w:left="170"/>
      </w:pPr>
      <w:r>
        <w:rPr>
          <w:rFonts w:ascii="Calibri" w:hAnsi="Calibri"/>
          <w:b/>
          <w:i w:val="0"/>
          <w:color w:val="374151"/>
          <w:sz w:val="17"/>
        </w:rPr>
        <w:t>⚠️ Tác động gián tiếp, mức độ thấp: xu hướng siết quản lý phòng khám thẩm mỹ tư nhân có thể làm giảm lượng kê đơn MAGRAX/METILONE-4 tại kênh OPD thẩm mỹ nếu nhiều cơ sở bị đình chỉ hoạt động.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Medical Affairs theo dõi diễn biến chính sách từ Sở Y tế TPHCM và Bộ Y tế liên quan đến quản lý cơ sở thẩm mỹ trong Q2/2026; nếu có nghị định/thông tư siết điều kiện hoạt động phòng khám, Sales team cần đánh giá lại dự báo doanh thu MAGRAX và METILONE-4 tại kênh phòng kh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Piperin trong hạt tiêu: tác dụng hỗ trợ tim mạch, chuyển hóa mỡ và lưu ý tương tác thuốc</w:t>
            </w:r>
          </w:p>
        </w:tc>
      </w:tr>
    </w:tbl>
    <w:p>
      <w:pPr>
        <w:spacing w:before="40" w:after="40"/>
        <w:ind w:left="170"/>
      </w:pPr>
      <w:r>
        <w:rPr>
          <w:rFonts w:ascii="Calibri" w:hAnsi="Calibri"/>
          <w:b w:val="0"/>
          <w:i/>
          <w:color w:val="6B7280"/>
          <w:sz w:val="18"/>
        </w:rPr>
        <w:t>Bài viết khoa học phổ thông ghi nhận piperin trong hạt tiêu có khả năng cải thiện lipid máu (giảm LDL, tăng HDL) và hỗ trợ chuyển hóa năng lượng, song cảnh báo piperin có thể ảnh hưởng chuyển hóa thuốc qua gan và quá trình đông máu — đặc biệt quan trọng với bệnh nhân dùng thuốc chống đông hoặc thuốc tim mạch dài hạn. Thông tin này không tác động trực tiếp đến hoạt động đấu thầu của Davipharm, nhưng phản ánh xu hướng người dùng quan tâm đến giải pháp hỗ trợ tim mạch–lipid tự nhiên song song với dược phẩm.</w:t>
      </w:r>
    </w:p>
    <w:p>
      <w:pPr>
        <w:spacing w:before="20" w:after="40"/>
        <w:ind w:left="170"/>
      </w:pPr>
      <w:r>
        <w:rPr>
          <w:rFonts w:ascii="Calibri" w:hAnsi="Calibri"/>
          <w:b/>
          <w:i w:val="0"/>
          <w:color w:val="374151"/>
          <w:sz w:val="17"/>
        </w:rPr>
        <w:t>➖ Tác động trực tiếp đến Davipharm không đáng kể; tuy nhiên cảnh báo tương tác piperin–thuốc tim mạch có thể được khai thác trong nội dung y tế hỗ trợ bán hàng cho RAVASTEL (Rosuvastatin) và ZABALES (Clopidogrel).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Medical Affairs có thể tích hợp thông tin tương tác piperin vào tài liệu đào tạo trình dược viên cho nhóm tim mạch (RAVASTEL, ZABALES, PECHAUNOX) nhằm củng cố lập luận về tầm quan trọng của thuốc kê đơn kiểm soát lipid so với giải pháp tự nhiên; thực hiện trong vòng 1 tháng như nội dung bổ trợ định kỳ.</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ban hành hướng dẫn khám sức khỏe định kỳ miễn phí toàn dân từ 2026 — cơ hội sàng lọc bệnh mạn tính</w:t>
            </w:r>
          </w:p>
        </w:tc>
      </w:tr>
    </w:tbl>
    <w:p>
      <w:pPr>
        <w:spacing w:before="40" w:after="40"/>
        <w:ind w:left="170"/>
      </w:pPr>
      <w:r>
        <w:rPr>
          <w:rFonts w:ascii="Calibri" w:hAnsi="Calibri"/>
          <w:b w:val="0"/>
          <w:i/>
          <w:color w:val="6B7280"/>
          <w:sz w:val="18"/>
        </w:rPr>
        <w:t>Bộ Y tế ban hành hướng dẫn khám sức khỏe định kỳ miễn phí ít nhất 1 lần/năm cho toàn dân từ 18 tuổi, bao gồm xét nghiệm đường máu, sinh hóa tim mạch và chụp X-quang — gói cơ bản đủ để sàng lọc tiểu đường và tim mạch ở quy mô dân số. Chính sách này kỳ vọng gia tăng đáng kể số ca phát hiện mới cao huyết áp, rối loạn lipid máu và đái tháo đường — các chỉ định điều trị trực tiếp của RAVASTEL (Rosuvastatin), EIMLER-10 (Empagliflozin), ZLATKO (Sitagliptin), PECHAUNOX, TABAREX, HATLOP.</w:t>
      </w:r>
    </w:p>
    <w:p>
      <w:pPr>
        <w:spacing w:before="20" w:after="40"/>
        <w:ind w:left="170"/>
      </w:pPr>
      <w:r>
        <w:rPr>
          <w:rFonts w:ascii="Calibri" w:hAnsi="Calibri"/>
          <w:b/>
          <w:i w:val="0"/>
          <w:color w:val="166534"/>
          <w:sz w:val="17"/>
        </w:rPr>
        <w:t>🟢 Sàng lọc đại trà sẽ mở rộng phễu bệnh nhân mới cho nhóm tim mạch và đái tháo đường — tác động thuận chiều lên nhu cầu dài hạn với RAVASTEL, EIMLER-10, ZLATKO, PECHAUNOX trong kênh 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&amp; Medical Affairs cần theo dõi lộ trình ban hành Nghị định hướng dẫn Luật Phòng bệnh (dự kiến 2026) để xác định thời điểm chính sách có hiệu lực thực tế; đồng thời chuẩn bị tài liệu y khoa hỗ trợ kê đơn sau sàng lọc cho RAVASTEL, EIMLER-10 và ZLATKO, ưu tiên tuyến huyện — nơi sẽ tiếp nhận lượng lớn ca chẩn đoán mới.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90% người dân Việt có vấn đề răng miệng — Thị trường nha khoa mở rộng, không liên quan danh mục Davipharm</w:t>
            </w:r>
          </w:p>
        </w:tc>
      </w:tr>
    </w:tbl>
    <w:p>
      <w:pPr>
        <w:spacing w:before="40" w:after="40"/>
        <w:ind w:left="170"/>
      </w:pPr>
      <w:r>
        <w:rPr>
          <w:rFonts w:ascii="Calibri" w:hAnsi="Calibri"/>
          <w:b w:val="0"/>
          <w:i/>
          <w:color w:val="6B7280"/>
          <w:sz w:val="18"/>
        </w:rPr>
        <w:t>Hội nghị Nha khoa Châu Á–Thái Bình Dương lần thứ 47 tại Hà Nội công bố 90% người dân Việt có vấn đề răng miệng, Bộ Y tế định hướng đẩy mạnh dự phòng và điều trị chuyên sâu trong lĩnh vực nha khoa. Davipharm hiện không có sản phẩm nào trong danh mục răng–hàm–mặt, nên sự kiện này không tạo tác động trực tiếp đến doanh thu hay hoạt động đấu thầu.</w:t>
      </w:r>
    </w:p>
    <w:p>
      <w:pPr>
        <w:spacing w:before="20" w:after="40"/>
        <w:ind w:left="170"/>
      </w:pPr>
      <w:r>
        <w:rPr>
          <w:rFonts w:ascii="Calibri" w:hAnsi="Calibri"/>
          <w:b/>
          <w:i w:val="0"/>
          <w:color w:val="374151"/>
          <w:sz w:val="17"/>
        </w:rPr>
        <w:t>⚪ Không liên quan đến danh mục chiến lược của Davipharm — theo dõi thụ động, không cần hành động ưu tiên.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có hành động ngắn hạn cần thiết; Business Development có thể ghi nhận xu hướng mở rộng thị trường nha khoa như tín hiệu dài hạn nếu công ty cân nhắc mở rộng danh mục OTC chăm sóc miệng trong tương lai.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Y tế đề xuất đãi ngộ đặc thù cho y tế tuyến đảo — Tín hiệu củng cố y tế cơ sở vùng xa</w:t>
            </w:r>
          </w:p>
        </w:tc>
      </w:tr>
    </w:tbl>
    <w:p>
      <w:pPr>
        <w:spacing w:before="40" w:after="40"/>
        <w:ind w:left="170"/>
      </w:pPr>
      <w:r>
        <w:rPr>
          <w:rFonts w:ascii="Calibri" w:hAnsi="Calibri"/>
          <w:b w:val="0"/>
          <w:i/>
          <w:color w:val="6B7280"/>
          <w:sz w:val="18"/>
        </w:rPr>
        <w:t>Thứ trưởng Bộ Y tế Trần Văn Thuấn công bố kế hoạch tham mưu Chính phủ hoàn thiện khung pháp lý đãi ngộ đặc thù cho y tế hải đảo sau chuyến khảo sát Trường Sa (4–10/5/2026), đồng thời hỗ trợ 3,3 tỷ đồng thiết bị y tế và cơ số thuốc cho 7 đảo. Tin tức này phản ánh định hướng tăng cường năng lực y tế cơ sở vùng xa, không tác động trực tiếp đến danh mục ETC hay đấu thầu của Davipharm.</w:t>
      </w:r>
    </w:p>
    <w:p>
      <w:pPr>
        <w:spacing w:before="20" w:after="40"/>
        <w:ind w:left="170"/>
      </w:pPr>
      <w:r>
        <w:rPr>
          <w:rFonts w:ascii="Calibri" w:hAnsi="Calibri"/>
          <w:b/>
          <w:i w:val="0"/>
          <w:color w:val="374151"/>
          <w:sz w:val="17"/>
        </w:rPr>
        <w:t>➖ Bài không liên quan trực tiếp đến sản phẩm hay kênh phân phối của Davipharm; không phát sinh cơ hội hay rủi ro tức thời.</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cần hành động ưu tiên. Team Government Affairs có thể theo dõi động thái hoàn thiện khung pháp lý đãi ngộ y tế đảo — nếu dẫn đến mở rộng danh mục thuốc cấp phát tuyến cơ sở (bao gồm tim mạch, đái tháo đường), cân nhắc đăng ký sản phẩm như RAVASTEL, ZLATKO vào các gói cung ứng thuốc quốc phòng/đặc thù trong tương lai.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Tăng huyết áp bỏ sót ở hàng triệu người Việt — Cơ hội mở rộng thị trường thuốc tim mạch (Perindopril+Amlodipin, Valsartan, Irbesartan)</w:t>
            </w:r>
          </w:p>
        </w:tc>
      </w:tr>
    </w:tbl>
    <w:p>
      <w:pPr>
        <w:spacing w:before="40" w:after="40"/>
        <w:ind w:left="170"/>
      </w:pPr>
      <w:r>
        <w:rPr>
          <w:rFonts w:ascii="Calibri" w:hAnsi="Calibri"/>
          <w:b w:val="0"/>
          <w:i/>
          <w:color w:val="6B7280"/>
          <w:sz w:val="18"/>
        </w:rPr>
        <w:t>Chuyên gia Hội Tim mạch học Việt Nam cảnh báo 25–30% người trưởng thành Việt Nam mắc tăng huyết áp nhưng tỷ lệ chẩn đoán và kiểm soát đạt mục tiêu vẫn thấp, xu hướng bệnh ngày càng trẻ hóa và nhu cầu thuốc phối hợp liều cố định tăng cao. Đây là tín hiệu tăng trưởng dài hạn trực tiếp cho nhóm sản phẩm PECHAUNOX (Perindopril+Amlodipin), TABAREX (Valsartan) và HATLOP (Irbesartan) của Davipharm tại cả kênh ETC lẫn OTC.</w:t>
      </w:r>
    </w:p>
    <w:p>
      <w:pPr>
        <w:spacing w:before="20" w:after="40"/>
        <w:ind w:left="170"/>
      </w:pPr>
      <w:r>
        <w:rPr>
          <w:rFonts w:ascii="Calibri" w:hAnsi="Calibri"/>
          <w:b/>
          <w:i w:val="0"/>
          <w:color w:val="166534"/>
          <w:sz w:val="17"/>
        </w:rPr>
        <w:t>📈 Cơ hội tăng trưởng rõ ràng: pool bệnh nhân tăng huyết áp chưa được điều trị còn rất lớn, thuốc phối hợp liều cố định (PECHAUNOX) được chuyên gia khuyến nghị là hướng điều trị ưu tiên — trực tiếp hỗ trợ positioning và tăng volume đấu thầu ETC chu kỳ tới.</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Tim mạch phối hợp cùng Medical Affairs triển khai ngay tài liệu định vị PECHAUNOX như lựa chọn phối hợp liều cố định ưu tiên (Perindopril+Amlodipin), tận dụng thông điệp "tuân thủ điều trị — ít viên hơn, hiệu quả hơn" xung quanh Ngày Tăng huyết áp thế giới 17/5; đồng thời Sales ETC ưu tiên đẩy TABAREX và HATLOP vào danh mục quản lý bệnh mạn tính tại các bệnh viện tuyến tỉnh trước chu kỳ đấu thầu tiếp theo.</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Bệnh cơ xương khớp trẻ hóa nhanh — xu hướng Y học tái tạo thay thế thuốc giảm đau dài hạn</w:t>
            </w:r>
          </w:p>
        </w:tc>
      </w:tr>
    </w:tbl>
    <w:p>
      <w:pPr>
        <w:spacing w:before="40" w:after="40"/>
        <w:ind w:left="170"/>
      </w:pPr>
      <w:r>
        <w:rPr>
          <w:rFonts w:ascii="Calibri" w:hAnsi="Calibri"/>
          <w:b w:val="0"/>
          <w:i/>
          <w:color w:val="6B7280"/>
          <w:sz w:val="18"/>
        </w:rPr>
        <w:t>Tọa đàm do Dân Trí &amp; BV Hồng Ngọc tổ chức ghi nhận xu hướng thoái hóa khớp trẻ hóa rõ rệt (người ngoài 30 tuổi), kèm cảnh báo nguy cơ từ thói quen tự mua thuốc chống viêm/giảm đau kéo dài không kê đơn. Xu hướng Y học tái tạo được đẩy mạnh như giải pháp thay thế, có thể tác động đến nhu cầu sử dụng Etoricoxib (MAGRAX) trong phác đồ quản lý đau mạn tính cơ xương khớp.</w:t>
      </w:r>
    </w:p>
    <w:p>
      <w:pPr>
        <w:spacing w:before="20" w:after="40"/>
        <w:ind w:left="170"/>
      </w:pPr>
      <w:r>
        <w:rPr>
          <w:rFonts w:ascii="Calibri" w:hAnsi="Calibri"/>
          <w:b/>
          <w:i w:val="0"/>
          <w:color w:val="374151"/>
          <w:sz w:val="17"/>
        </w:rPr>
        <w:t>⚖️ Tín hiệu trung tính: tệp bệnh nhân xương khớp mở rộng là cơ hội tăng trưởng cho MAGRAX, nhưng áp lực từ Y học tái tạo và cảnh báo dùng thuốc dài hạn có thể kiềm chế tăng trưởng kênh OTC/ETC.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cần cập nhật positioning cho MAGRAX (Etoricoxib) theo hướng "quản lý đau giai đoạn cấp/bán cấp" — bổ sung dữ liệu an toàn tim mạch và GI so với NSAIDs thế hệ cũ để biện hộ cho kê đơn hợp lý trong bối cảnh Y học tái tạo lên ngôi; xem xét tài liệu detail cho bác sĩ chuyên khoa cơ xương khớp trong vòng Q3/2026.</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nội soi siêu phóng đại phát hiện sớm ung thư tiêu hóa: Tín hiệu tăng nhu cầu điều trị</w:t>
            </w:r>
          </w:p>
        </w:tc>
      </w:tr>
    </w:tbl>
    <w:p>
      <w:pPr>
        <w:spacing w:before="40" w:after="40"/>
        <w:ind w:left="170"/>
      </w:pPr>
      <w:r>
        <w:rPr>
          <w:rFonts w:ascii="Calibri" w:hAnsi="Calibri"/>
          <w:b w:val="0"/>
          <w:i/>
          <w:color w:val="6B7280"/>
          <w:sz w:val="18"/>
        </w:rPr>
        <w:t>Công nghệ nội soi Endocyto 520x (Olympus) triển khai tại Thu Cúc TCI cho phép phát hiện ung thư tiêu hóa ở cấp độ tế bào, báo hiệu tỷ lệ phát hiện sớm ung thư đường tiêu hóa tại Việt Nam sẽ tăng đáng kể trong các năm tới. Việc chẩn đoán sớm hơn sẽ kéo theo gia tăng số bệnh nhân bước vào giai đoạn điều trị bằng thuốc kê đơn, trực tiếp mở rộng thị trường ETC cho các sản phẩm ung thư của Davipharm.</w:t>
      </w:r>
    </w:p>
    <w:p>
      <w:pPr>
        <w:spacing w:before="20" w:after="40"/>
        <w:ind w:left="170"/>
      </w:pPr>
      <w:r>
        <w:rPr>
          <w:rFonts w:ascii="Calibri" w:hAnsi="Calibri"/>
          <w:b/>
          <w:i w:val="0"/>
          <w:color w:val="166534"/>
          <w:sz w:val="17"/>
        </w:rPr>
        <w:t>📈 Cơ hội trung hạn: gia tăng bệnh nhân ung thư tiêu hóa được chẩn đoán sớm sẽ thúc đẩy nhu cầu điều trị, tạo điều kiện mở rộng thị phần ETC cho HYYR (Erlotinib) và LARRIVEY (Bicalutamide) trong các gói thầu bệnh viện.</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Marketing ETC phối hợp với Medical Affairs theo dõi sự mở rộng của công nghệ nội soi siêu phóng đại sang các bệnh viện tuyến tỉnh trong 12 tháng tới, chuẩn bị tài liệu MSL và đề xuất đưa HYYR, LARRIVEY vào danh mục thuốc ung thư tiêu hóa tại các cơ sở y tế có triển khai nội soi tiên tiến; ưu tiên các bệnh viện trong hệ thống TCI và bệnh viện ung bướu tỉnh.</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tài liệu kê đơn RAVASTEL, EIMLER-10, ZLATKO cho bệnh nhân sau sàng lọc định kỳ miễn phí — ưu tiên tuyến huyện trước chu kỳ thầu</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Khám sức khỏe định kỳ miễn phí toàn dân — mở rộng phễu bệnh nhân mạn tính</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Triển khai detailing PECHAUNOX (Perindopril+Amlodipin) nhân Ngày Tăng huyết áp 17/5 — thông điệp FDC tuân thủ điều trị tại bệnh viện tỉnh</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Tăng huyết áp bỏ sót hàng triệu người Việt — cơ hội FDC và đấu thầu ETC</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Detailing JIRACEK, MARTAZ tại khoa Tiêu hóa Bạch Mai, Chợ Rẫy — nhấn mạnh vai trò PPI trong phác đồ diệt HP trước thầu Q3/2026</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Nhận thức HP &amp; ung thư dạ dày tăng — nhu cầu PPI dài hạn kênh ETC</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