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BÁO CÁO TUẦN</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BÁO CÁO</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TUẦN</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NGÀY</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13/05/2026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TÓM TẮT ĐIỀU HÀNH</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Tuần 11–17/05: Ba cơ hội tăng trưởng nổi bật cho Davipharm — đấu thầu bệnh viện tuyến giáp, OTC thảo dược nội địa, và tái định vị Levetiracetam sang phân khúc thần kinh cao cấp.</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INSIGHTS TUẦN NÀY</w:t>
            </w:r>
          </w:p>
          <w:p>
            <w:pPr>
              <w:spacing w:before="20" w:after="60"/>
              <w:ind w:left="142"/>
            </w:pPr>
            <w:r>
              <w:rPr>
                <w:rFonts w:ascii="Calibri" w:hAnsi="Calibri"/>
                <w:b w:val="0"/>
                <w:i w:val="0"/>
                <w:color w:val="111827"/>
                <w:sz w:val="17"/>
              </w:rPr>
              <w:t>▸  Du lịch y tế &amp; tuyến giáp:Lượng bệnh nhân quốc tế tăng tại các BV chuyên sâu nâng tiêu chuẩn thuốc chỉ định, mở cửa sổ cạnh tranh cho generic chất lượng cao của Davipharm so với thuốc nhập khẩu.</w:t>
            </w:r>
          </w:p>
          <w:p>
            <w:pPr>
              <w:spacing w:before="20" w:after="60"/>
              <w:ind w:left="142"/>
            </w:pPr>
            <w:r>
              <w:rPr>
                <w:rFonts w:ascii="Calibri" w:hAnsi="Calibri"/>
                <w:b w:val="0"/>
                <w:i w:val="0"/>
                <w:color w:val="111827"/>
                <w:sz w:val="17"/>
              </w:rPr>
              <w:t>▸  Thảo dược nội địa:Truyền thông đại chúng đang kích cầu tự nhiên cho dòng OTC/thực phẩm chức năng thảo dược Việt — lợi thế nguyên liệu nội địa chi phí thấp của Davipharm chưa được khai thác đủ.</w:t>
            </w:r>
          </w:p>
          <w:p>
            <w:pPr>
              <w:spacing w:before="20" w:after="60"/>
              <w:ind w:left="142"/>
            </w:pPr>
            <w:r>
              <w:rPr>
                <w:rFonts w:ascii="Calibri" w:hAnsi="Calibri"/>
                <w:b w:val="0"/>
                <w:i w:val="0"/>
                <w:color w:val="111827"/>
                <w:sz w:val="17"/>
              </w:rPr>
              <w:t>▸  Levetiracetam &amp; Alzheimer:Nghiên cứu Mỹ xác nhận tiềm năng drug repurposing của Levetiracetam sang chỉ định Alzheimer, tạo cơ hội định vị premium và mở danh mục đấu thầu thần kinh mới nếu Davipharm có hoạt chất này trong pipeline.</w:t>
            </w:r>
          </w:p>
          <w:p>
            <w:pPr>
              <w:spacing w:before="20" w:after="60"/>
              <w:ind w:left="142"/>
            </w:pPr>
            <w:r>
              <w:rPr>
                <w:rFonts w:ascii="Calibri" w:hAnsi="Calibri"/>
                <w:b w:val="0"/>
                <w:i w:val="0"/>
                <w:color w:val="111827"/>
                <w:sz w:val="17"/>
              </w:rPr>
              <w:t>▸  P1BD/Đấu thầu tiếp cận ngay BV Nội tiết TW và BV Bạch Mai để đưa levothyroxine, canxi và kháng sinh hậu phẫu vào danh mục đấu thầu ưu tiên trước mùa đấu thầu tiếp theo.</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HÀNH ĐỘNG ƯU TIÊN</w:t>
            </w:r>
          </w:p>
          <w:p>
            <w:pPr>
              <w:spacing w:before="20" w:after="60"/>
              <w:ind w:left="142"/>
            </w:pPr>
            <w:r>
              <w:rPr>
                <w:rFonts w:ascii="Calibri" w:hAnsi="Calibri"/>
                <w:b w:val="0"/>
                <w:i w:val="0"/>
                <w:color w:val="0056D2"/>
                <w:sz w:val="17"/>
              </w:rPr>
              <w:t>→  P1BD/Đấu thầu tiếp cận ngay BV Nội tiết TW và BV Bạch Mai để đưa levothyroxine, canxi và kháng sinh hậu phẫu vào danh mục đấu thầu ưu tiên trước mùa đấu thầu tiếp theo.</w:t>
            </w:r>
          </w:p>
        </w:tc>
      </w:tr>
    </w:tbl>
    <w:p>
      <w:pPr>
        <w:spacing w:after="120"/>
      </w:pPr>
    </w:p>
    <w:p>
      <w:pPr>
        <w:spacing w:after="40"/>
      </w:pPr>
    </w:p>
    <w:p>
      <w:pPr>
        <w:spacing w:before="320" w:after="120"/>
        <w:pBdr>
          <w:bottom w:val="single" w:sz="8" w:color="003B71"/>
        </w:pBdr>
      </w:pPr>
      <w:r>
        <w:rPr>
          <w:rFonts w:ascii="Calibri" w:hAnsi="Calibri"/>
          <w:b/>
          <w:i w:val="0"/>
          <w:color w:val="003B71"/>
          <w:sz w:val="22"/>
        </w:rPr>
        <w:t>TÂM LÝ THỊ TRƯỜNG TUẦN NÀY</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Nhóm tin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Tích cực</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Trung tính</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Rủi ro / Thách thức</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Chính sách &amp; PL</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1</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Tin ngành Dược</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2</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1</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Đối thủ</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bl>
    <w:p>
      <w:pPr>
        <w:spacing w:after="80"/>
      </w:pPr>
    </w:p>
    <w:p>
      <w:r>
        <w:br w:type="page"/>
      </w:r>
    </w:p>
    <w:p>
      <w:pPr>
        <w:spacing w:before="320" w:after="120"/>
        <w:pBdr>
          <w:bottom w:val="single" w:sz="8" w:color="003B71"/>
        </w:pBdr>
      </w:pPr>
      <w:r>
        <w:rPr>
          <w:rFonts w:ascii="Calibri" w:hAnsi="Calibri"/>
          <w:b/>
          <w:i w:val="0"/>
          <w:color w:val="003B71"/>
          <w:sz w:val="22"/>
        </w:rPr>
        <w:t>CHÍNH SÁCH &amp; PHÁP LÝ</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NHÂN DÂN – XÃ HỘI</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Kỹ thuật mổ nội soi tuyến giáp "Dr Lương" thu hút bệnh nhân &amp; bác sĩ quốc tế đến Việt Nam</w:t>
            </w:r>
          </w:p>
        </w:tc>
      </w:tr>
    </w:tbl>
    <w:p>
      <w:pPr>
        <w:spacing w:before="40" w:after="40"/>
        <w:ind w:left="170"/>
      </w:pPr>
      <w:r>
        <w:rPr>
          <w:rFonts w:ascii="Calibri" w:hAnsi="Calibri"/>
          <w:b w:val="0"/>
          <w:i/>
          <w:color w:val="6B7280"/>
          <w:sz w:val="18"/>
        </w:rPr>
        <w:t>Phương pháp mổ nội soi tuyến giáp "Dr Lương" của Việt Nam đang thu hút bệnh nhân từ Philippines và bác sĩ từ Azerbaijan, Ấn Độ đến học hỏi, khẳng định vị thế trung tâm y tế chất lượng cao trong khu vực. Xu hướng du lịch y tế quốc tế vào Việt Nam mở ra nhu cầu gia tăng đối với dược phẩm hậu phẫu và thuốc đặc trị tuyến giáp tại các bệnh viện tuyến đầu.</w:t>
      </w:r>
    </w:p>
    <w:p>
      <w:pPr>
        <w:spacing w:before="20" w:after="40"/>
        <w:ind w:left="170"/>
      </w:pPr>
      <w:r>
        <w:rPr>
          <w:rFonts w:ascii="Calibri" w:hAnsi="Calibri"/>
          <w:b/>
          <w:i w:val="0"/>
          <w:color w:val="166534"/>
          <w:sz w:val="17"/>
        </w:rPr>
        <w:t>🟢 Tín hiệu tích cực gián tiếp — du lịch y tế tăng trưởng thúc đẩy nhu cầu dược phẩm hậu phẫu tuyến giáp tại bệnh viện đối tác.</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Davipharm nên chủ động tiếp cận các bệnh viện chuyên sâu thực hiện kỹ thuật "Dr Lương" (như BV Nội tiết TW, BV Bạch Mai) để đưa thuốc levothyroxine, canxi và kháng sinh hậu phẫu vào danh mục ưu tiên đấu thầu. Đây là cơ hội xây dựng quan hệ đối tác bệnh viện dài hạn, đặc biệt khi lượng bệnh nhân quốc tế gia tăng sẽ nâng cao tiêu chuẩn thuốc được chỉ định.</w:t>
            </w:r>
          </w:p>
        </w:tc>
      </w:tr>
    </w:tbl>
    <w:p>
      <w:pPr>
        <w:spacing w:before="40" w:after="120"/>
      </w:pPr>
    </w:p>
    <w:p>
      <w:r>
        <w:br w:type="page"/>
      </w:r>
    </w:p>
    <w:p>
      <w:pPr>
        <w:spacing w:before="320" w:after="120"/>
        <w:pBdr>
          <w:bottom w:val="single" w:sz="8" w:color="003B71"/>
        </w:pBdr>
      </w:pPr>
      <w:r>
        <w:rPr>
          <w:rFonts w:ascii="Calibri" w:hAnsi="Calibri"/>
          <w:b/>
          <w:i w:val="0"/>
          <w:color w:val="003B71"/>
          <w:sz w:val="22"/>
        </w:rPr>
        <w:t>TIN NGÀNH DƯỢC</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VIETNAMPLUS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Tin tức địa chính trị quốc tế — Không liên quan đến ngành dược Việt Nam</w:t>
            </w:r>
          </w:p>
        </w:tc>
      </w:tr>
    </w:tbl>
    <w:p>
      <w:pPr>
        <w:spacing w:before="40" w:after="40"/>
        <w:ind w:left="170"/>
      </w:pPr>
      <w:r>
        <w:rPr>
          <w:rFonts w:ascii="Calibri" w:hAnsi="Calibri"/>
          <w:b w:val="0"/>
          <w:i/>
          <w:color w:val="6B7280"/>
          <w:sz w:val="18"/>
        </w:rPr>
        <w:t>Bài báo đề cập đến tranh chấp địa chính trị giữa Mỹ, NATO và Greenland — hoàn toàn nằm ngoài phạm vi thị trường dược phẩm Việt Nam. Nội dung không cung cấp tín hiệu thị trường nào có giá trị cho hoạt động kinh doanh của Davipharm.</w:t>
      </w:r>
    </w:p>
    <w:p>
      <w:pPr>
        <w:spacing w:before="20" w:after="40"/>
        <w:ind w:left="170"/>
      </w:pPr>
      <w:r>
        <w:rPr>
          <w:rFonts w:ascii="Calibri" w:hAnsi="Calibri"/>
          <w:b/>
          <w:i w:val="0"/>
          <w:color w:val="374151"/>
          <w:sz w:val="17"/>
        </w:rPr>
        <w:t>⚪ Không có tác động trực tiếp đến Davipharm — tin này không thuộc phạm vi theo dõi market intelligence dược phẩm.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Đề xuất lọc nguồn tin: cần cấu hình lại bộ lọc keyword để loại bỏ các bài địa chính trị không liên quan, tối ưu hóa chất lượng báo cáo BOD. Không có hành động chiến lược nào cần thiết từ bài viết này.</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VIETNAMPLUS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Rau Diếp Cá: Xu Hướng Dược Liệu Tự Nhiên Từ Vườn Nhà</w:t>
            </w:r>
          </w:p>
        </w:tc>
      </w:tr>
    </w:tbl>
    <w:p>
      <w:pPr>
        <w:spacing w:before="40" w:after="40"/>
        <w:ind w:left="170"/>
      </w:pPr>
      <w:r>
        <w:rPr>
          <w:rFonts w:ascii="Calibri" w:hAnsi="Calibri"/>
          <w:b w:val="0"/>
          <w:i/>
          <w:color w:val="6B7280"/>
          <w:sz w:val="18"/>
        </w:rPr>
        <w:t>Rau diếp cá đang được truyền thông y tế chủ lưu quảng bá rộng rãi nhờ các công dụng chăm sóc da và sức khỏe, phản ánh xu hướng tiêu dùng nghiêng về thảo dược tự nhiên bản địa. Xu hướng này tạo nền tảng thị trường thuận lợi cho các sản phẩm OTC/thực phẩm chức năng có nguồn gốc thảo dược Việt.</w:t>
      </w:r>
    </w:p>
    <w:p>
      <w:pPr>
        <w:spacing w:before="20" w:after="40"/>
        <w:ind w:left="170"/>
      </w:pPr>
      <w:r>
        <w:rPr>
          <w:rFonts w:ascii="Calibri" w:hAnsi="Calibri"/>
          <w:b/>
          <w:i w:val="0"/>
          <w:color w:val="166534"/>
          <w:sz w:val="17"/>
        </w:rPr>
        <w:t>🌿 Tín hiệu tích cực nhẹ — truyền thông đại chúng đang "làm ấm" thị trường cho dòng sản phẩm thảo dược nội địa mà Davipharm có thể khai thác.</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Đánh giá khả năng phát triển hoặc repositioning dòng sản phẩm OTC/thực phẩm chức năng có chiết xuất diếp cá (kháng viêm, hỗ trợ da liễu), tận dụng nguồn nguyên liệu nội địa chi phí thấp và sóng truyền thông hiện tại. Ưu tiên kênh chuỗi nhà thuốc (Long Châu, Pharmacity) để tiếp cận nhóm người tiêu dùng quan tâm đến sản phẩm tự nhiên.</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VIETNAMPLUS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Thuốc chống co giật Levetiracetam có tiềm năng ngăn ngừa Alzheimer</w:t>
            </w:r>
          </w:p>
        </w:tc>
      </w:tr>
    </w:tbl>
    <w:p>
      <w:pPr>
        <w:spacing w:before="40" w:after="40"/>
        <w:ind w:left="170"/>
      </w:pPr>
      <w:r>
        <w:rPr>
          <w:rFonts w:ascii="Calibri" w:hAnsi="Calibri"/>
          <w:b w:val="0"/>
          <w:i/>
          <w:color w:val="6B7280"/>
          <w:sz w:val="18"/>
        </w:rPr>
        <w:t>Các nhà khoa học Mỹ phát hiện Levetiracetam — thuốc chống co giật đã có mặt lâu trên thị trường — có khả năng ức chế hình thành amyloid-beta 42, protein chủ chốt trong cơ chế bệnh sinh Alzheimer. Phát hiện này mở ra tiềm năng tái định vị (drug repurposing) một phân tử generic đã được chứng minh an toàn cho chỉ định mới có giá trị cao.</w:t>
      </w:r>
    </w:p>
    <w:p>
      <w:pPr>
        <w:spacing w:before="20" w:after="40"/>
        <w:ind w:left="170"/>
      </w:pPr>
      <w:r>
        <w:rPr>
          <w:rFonts w:ascii="Calibri" w:hAnsi="Calibri"/>
          <w:b/>
          <w:i w:val="0"/>
          <w:color w:val="166534"/>
          <w:sz w:val="17"/>
        </w:rPr>
        <w:t>🟢 Cơ hội tái định vị sản phẩm generic Levetiracetam sang phân khúc thần kinh cao cấp nếu Davipharm đang hoặc có kế hoạch sản xuất hoạt chất này.</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Rà soát ngay danh mục R&amp;D/sản xuất: nếu Levetiracetam đã có hoặc khả thi về nguyên liệu, ưu tiên theo dõi các thử nghiệm lâm sàng giai đoạn tiếp theo để chuẩn bị hồ sơ đăng ký chỉ định bổ sung, đón đầu nhu cầu từ kênh bệnh viện chuyên khoa thần kinh và chuỗi nhà thuốc cao cấp.</w:t>
            </w:r>
          </w:p>
        </w:tc>
      </w:tr>
    </w:tbl>
    <w:p>
      <w:pPr>
        <w:spacing w:before="40" w:after="120"/>
      </w:pPr>
    </w:p>
    <w:p>
      <w:r>
        <w:br w:type="page"/>
      </w:r>
    </w:p>
    <w:p>
      <w:pPr>
        <w:spacing w:before="320" w:after="120"/>
        <w:pBdr>
          <w:bottom w:val="single" w:sz="8" w:color="003B71"/>
        </w:pBdr>
      </w:pPr>
      <w:r>
        <w:rPr>
          <w:rFonts w:ascii="Calibri" w:hAnsi="Calibri"/>
          <w:b/>
          <w:i w:val="0"/>
          <w:color w:val="003B71"/>
          <w:sz w:val="22"/>
        </w:rPr>
        <w:t>ĐỐI THỦ CẠNH TRANH</w:t>
      </w:r>
    </w:p>
    <w:p>
      <w:r>
        <w:br w:type="page"/>
      </w:r>
    </w:p>
    <w:p>
      <w:pPr>
        <w:spacing w:before="320" w:after="120"/>
        <w:pBdr>
          <w:bottom w:val="single" w:sz="8" w:color="003B71"/>
        </w:pBdr>
      </w:pPr>
      <w:r>
        <w:rPr>
          <w:rFonts w:ascii="Calibri" w:hAnsi="Calibri"/>
          <w:b/>
          <w:i w:val="0"/>
          <w:color w:val="003B71"/>
          <w:sz w:val="22"/>
        </w:rPr>
        <w:t>THEO DÕI DANH MỤC SẢN PHẨM</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Sản phẩm</w:t>
            </w:r>
          </w:p>
        </w:tc>
        <w:tc>
          <w:tcPr>
            <w:tcW w:type="dxa" w:w="2381"/>
            <w:shd w:val="clear" w:color="auto" w:fill="003B71"/>
          </w:tcPr>
          <w:p>
            <w:pPr>
              <w:spacing w:before="80" w:after="80"/>
              <w:ind w:left="85"/>
            </w:pPr>
            <w:r>
              <w:rPr>
                <w:rFonts w:ascii="Calibri" w:hAnsi="Calibri"/>
                <w:b/>
                <w:i w:val="0"/>
                <w:color w:val="FFFFFF"/>
                <w:sz w:val="17"/>
              </w:rPr>
              <w:t>Hoạt chất · Chỉ định</w:t>
            </w:r>
          </w:p>
        </w:tc>
        <w:tc>
          <w:tcPr>
            <w:tcW w:type="dxa" w:w="1134"/>
            <w:shd w:val="clear" w:color="auto" w:fill="003B71"/>
          </w:tcPr>
          <w:p>
            <w:pPr>
              <w:spacing w:before="80" w:after="80"/>
              <w:ind w:left="85"/>
            </w:pPr>
            <w:r>
              <w:rPr>
                <w:rFonts w:ascii="Calibri" w:hAnsi="Calibri"/>
                <w:b/>
                <w:i w:val="0"/>
                <w:color w:val="FFFFFF"/>
                <w:sz w:val="17"/>
              </w:rPr>
              <w:t>Giá bán</w:t>
            </w:r>
          </w:p>
        </w:tc>
        <w:tc>
          <w:tcPr>
            <w:tcW w:type="dxa" w:w="1247"/>
            <w:shd w:val="clear" w:color="auto" w:fill="003B71"/>
          </w:tcPr>
          <w:p>
            <w:pPr>
              <w:spacing w:before="80" w:after="80"/>
              <w:ind w:left="85"/>
            </w:pPr>
            <w:r>
              <w:rPr>
                <w:rFonts w:ascii="Calibri" w:hAnsi="Calibri"/>
                <w:b/>
                <w:i w:val="0"/>
                <w:color w:val="FFFFFF"/>
                <w:sz w:val="17"/>
              </w:rPr>
              <w:t>Trạng thái</w:t>
            </w:r>
          </w:p>
        </w:tc>
        <w:tc>
          <w:tcPr>
            <w:tcW w:type="dxa" w:w="2608"/>
            <w:shd w:val="clear" w:color="auto" w:fill="003B71"/>
          </w:tcPr>
          <w:p>
            <w:pPr>
              <w:spacing w:before="80" w:after="80"/>
              <w:ind w:left="85"/>
            </w:pPr>
            <w:r>
              <w:rPr>
                <w:rFonts w:ascii="Calibri" w:hAnsi="Calibri"/>
                <w:b/>
                <w:i w:val="0"/>
                <w:color w:val="FFFFFF"/>
                <w:sz w:val="17"/>
              </w:rPr>
              <w:t>Ghi chú chiến lược</w:t>
            </w:r>
          </w:p>
        </w:tc>
      </w:tr>
      <w:tr>
        <w:tc>
          <w:tcPr>
            <w:tcW w:type="dxa" w:w="1701"/>
          </w:tcPr>
          <w:p>
            <w:pPr>
              <w:spacing w:before="60" w:after="60"/>
              <w:ind w:left="85"/>
            </w:pPr>
            <w:r>
              <w:rPr>
                <w:rFonts w:ascii="Calibri" w:hAnsi="Calibri"/>
                <w:b/>
                <w:i w:val="0"/>
                <w:color w:val="003B71"/>
                <w:sz w:val="17"/>
              </w:rPr>
              <w:t>Empagliflozin</w:t>
            </w:r>
          </w:p>
        </w:tc>
        <w:tc>
          <w:tcPr>
            <w:tcW w:type="dxa" w:w="2381"/>
          </w:tcPr>
          <w:p>
            <w:pPr>
              <w:spacing w:before="60" w:after="60"/>
              <w:ind w:left="85"/>
            </w:pPr>
            <w:r>
              <w:rPr>
                <w:rFonts w:ascii="Calibri" w:hAnsi="Calibri"/>
                <w:b w:val="0"/>
                <w:i w:val="0"/>
                <w:color w:val="374151"/>
                <w:sz w:val="17"/>
              </w:rPr>
              <w:t>Tiểu đường / Suy tim</w:t>
            </w:r>
          </w:p>
        </w:tc>
        <w:tc>
          <w:tcPr>
            <w:tcW w:type="dxa" w:w="1134"/>
          </w:tcPr>
          <w:p>
            <w:pPr>
              <w:spacing w:before="60" w:after="60"/>
              <w:ind w:left="85"/>
            </w:pPr>
            <w:r>
              <w:rPr>
                <w:rFonts w:ascii="Calibri" w:hAnsi="Calibri"/>
                <w:b w:val="0"/>
                <w:i w:val="0"/>
                <w:color w:val="374151"/>
                <w:sz w:val="17"/>
              </w:rPr>
              <w:t>Cơ hội cao</w:t>
            </w:r>
          </w:p>
        </w:tc>
        <w:tc>
          <w:tcPr>
            <w:tcW w:type="dxa" w:w="1247"/>
            <w:shd w:val="clear" w:color="auto" w:fill="EFF6FF"/>
          </w:tcPr>
          <w:p>
            <w:pPr>
              <w:spacing w:before="60" w:after="60"/>
              <w:ind w:left="85"/>
            </w:pPr>
            <w:r>
              <w:rPr>
                <w:rFonts w:ascii="Calibri" w:hAnsi="Calibri"/>
                <w:b/>
                <w:i w:val="0"/>
                <w:color w:val="0056D2"/>
                <w:sz w:val="17"/>
              </w:rPr>
              <w:t>Ưu tiên thầu Nhóm 1</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Tadalafil</w:t>
            </w:r>
          </w:p>
        </w:tc>
        <w:tc>
          <w:tcPr>
            <w:tcW w:type="dxa" w:w="2381"/>
          </w:tcPr>
          <w:p>
            <w:pPr>
              <w:spacing w:before="60" w:after="60"/>
              <w:ind w:left="85"/>
            </w:pPr>
            <w:r>
              <w:rPr>
                <w:rFonts w:ascii="Calibri" w:hAnsi="Calibri"/>
                <w:b w:val="0"/>
                <w:i w:val="0"/>
                <w:color w:val="374151"/>
                <w:sz w:val="17"/>
              </w:rPr>
              <w:t>Nam khoa</w:t>
            </w:r>
          </w:p>
        </w:tc>
        <w:tc>
          <w:tcPr>
            <w:tcW w:type="dxa" w:w="1134"/>
          </w:tcPr>
          <w:p>
            <w:pPr>
              <w:spacing w:before="60" w:after="60"/>
              <w:ind w:left="85"/>
            </w:pPr>
            <w:r>
              <w:rPr>
                <w:rFonts w:ascii="Calibri" w:hAnsi="Calibri"/>
                <w:b w:val="0"/>
                <w:i w:val="0"/>
                <w:color w:val="374151"/>
                <w:sz w:val="17"/>
              </w:rPr>
              <w:t>Cạnh tranh</w:t>
            </w:r>
          </w:p>
        </w:tc>
        <w:tc>
          <w:tcPr>
            <w:tcW w:type="dxa" w:w="1247"/>
            <w:shd w:val="clear" w:color="auto" w:fill="EFF6FF"/>
          </w:tcPr>
          <w:p>
            <w:pPr>
              <w:spacing w:before="60" w:after="60"/>
              <w:ind w:left="85"/>
            </w:pPr>
            <w:r>
              <w:rPr>
                <w:rFonts w:ascii="Calibri" w:hAnsi="Calibri"/>
                <w:b/>
                <w:i w:val="0"/>
                <w:color w:val="0056D2"/>
                <w:sz w:val="17"/>
              </w:rPr>
              <w:t>Theo dõi giá Sun Pharma</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Dapoxetine</w:t>
            </w:r>
          </w:p>
        </w:tc>
        <w:tc>
          <w:tcPr>
            <w:tcW w:type="dxa" w:w="2381"/>
          </w:tcPr>
          <w:p>
            <w:pPr>
              <w:spacing w:before="60" w:after="60"/>
              <w:ind w:left="85"/>
            </w:pPr>
            <w:r>
              <w:rPr>
                <w:rFonts w:ascii="Calibri" w:hAnsi="Calibri"/>
                <w:b w:val="0"/>
                <w:i w:val="0"/>
                <w:color w:val="374151"/>
                <w:sz w:val="17"/>
              </w:rPr>
              <w:t>Nam khoa</w:t>
            </w:r>
          </w:p>
        </w:tc>
        <w:tc>
          <w:tcPr>
            <w:tcW w:type="dxa" w:w="1134"/>
          </w:tcPr>
          <w:p>
            <w:pPr>
              <w:spacing w:before="60" w:after="60"/>
              <w:ind w:left="85"/>
            </w:pPr>
            <w:r>
              <w:rPr>
                <w:rFonts w:ascii="Calibri" w:hAnsi="Calibri"/>
                <w:b w:val="0"/>
                <w:i w:val="0"/>
                <w:color w:val="374151"/>
                <w:sz w:val="17"/>
              </w:rPr>
              <w:t>Ổn định</w:t>
            </w:r>
          </w:p>
        </w:tc>
        <w:tc>
          <w:tcPr>
            <w:tcW w:type="dxa" w:w="1247"/>
            <w:shd w:val="clear" w:color="auto" w:fill="EFF6FF"/>
          </w:tcPr>
          <w:p>
            <w:pPr>
              <w:spacing w:before="60" w:after="60"/>
              <w:ind w:left="85"/>
            </w:pPr>
            <w:r>
              <w:rPr>
                <w:rFonts w:ascii="Calibri" w:hAnsi="Calibri"/>
                <w:b/>
                <w:i w:val="0"/>
                <w:color w:val="0056D2"/>
                <w:sz w:val="17"/>
              </w:rPr>
              <w:t>Kiểm tra Long Châu listing</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Cytisine</w:t>
            </w:r>
          </w:p>
        </w:tc>
        <w:tc>
          <w:tcPr>
            <w:tcW w:type="dxa" w:w="2381"/>
          </w:tcPr>
          <w:p>
            <w:pPr>
              <w:spacing w:before="60" w:after="60"/>
              <w:ind w:left="85"/>
            </w:pPr>
            <w:r>
              <w:rPr>
                <w:rFonts w:ascii="Calibri" w:hAnsi="Calibri"/>
                <w:b w:val="0"/>
                <w:i w:val="0"/>
                <w:color w:val="374151"/>
                <w:sz w:val="17"/>
              </w:rPr>
              <w:t>Cai thuốc lá</w:t>
            </w:r>
          </w:p>
        </w:tc>
        <w:tc>
          <w:tcPr>
            <w:tcW w:type="dxa" w:w="1134"/>
          </w:tcPr>
          <w:p>
            <w:pPr>
              <w:spacing w:before="60" w:after="60"/>
              <w:ind w:left="85"/>
            </w:pPr>
            <w:r>
              <w:rPr>
                <w:rFonts w:ascii="Calibri" w:hAnsi="Calibri"/>
                <w:b w:val="0"/>
                <w:i w:val="0"/>
                <w:color w:val="374151"/>
                <w:sz w:val="17"/>
              </w:rPr>
              <w:t>Pre-launch</w:t>
            </w:r>
          </w:p>
        </w:tc>
        <w:tc>
          <w:tcPr>
            <w:tcW w:type="dxa" w:w="1247"/>
            <w:shd w:val="clear" w:color="auto" w:fill="EFF6FF"/>
          </w:tcPr>
          <w:p>
            <w:pPr>
              <w:spacing w:before="60" w:after="60"/>
              <w:ind w:left="85"/>
            </w:pPr>
            <w:r>
              <w:rPr>
                <w:rFonts w:ascii="Calibri" w:hAnsi="Calibri"/>
                <w:b/>
                <w:i w:val="0"/>
                <w:color w:val="0056D2"/>
                <w:sz w:val="17"/>
              </w:rPr>
              <w:t>Q4/2026 – Cơ hội vàng</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Metilone</w:t>
            </w:r>
          </w:p>
        </w:tc>
        <w:tc>
          <w:tcPr>
            <w:tcW w:type="dxa" w:w="2381"/>
          </w:tcPr>
          <w:p>
            <w:pPr>
              <w:spacing w:before="60" w:after="60"/>
              <w:ind w:left="85"/>
            </w:pPr>
            <w:r>
              <w:rPr>
                <w:rFonts w:ascii="Calibri" w:hAnsi="Calibri"/>
                <w:b w:val="0"/>
                <w:i w:val="0"/>
                <w:color w:val="374151"/>
                <w:sz w:val="17"/>
              </w:rPr>
              <w:t>Kháng viêm</w:t>
            </w:r>
          </w:p>
        </w:tc>
        <w:tc>
          <w:tcPr>
            <w:tcW w:type="dxa" w:w="1134"/>
          </w:tcPr>
          <w:p>
            <w:pPr>
              <w:spacing w:before="60" w:after="60"/>
              <w:ind w:left="85"/>
            </w:pPr>
            <w:r>
              <w:rPr>
                <w:rFonts w:ascii="Calibri" w:hAnsi="Calibri"/>
                <w:b w:val="0"/>
                <w:i w:val="0"/>
                <w:color w:val="374151"/>
                <w:sz w:val="17"/>
              </w:rPr>
              <w:t>Ổn định</w:t>
            </w:r>
          </w:p>
        </w:tc>
        <w:tc>
          <w:tcPr>
            <w:tcW w:type="dxa" w:w="1247"/>
            <w:shd w:val="clear" w:color="auto" w:fill="EFF6FF"/>
          </w:tcPr>
          <w:p>
            <w:pPr>
              <w:spacing w:before="60" w:after="60"/>
              <w:ind w:left="85"/>
            </w:pPr>
            <w:r>
              <w:rPr>
                <w:rFonts w:ascii="Calibri" w:hAnsi="Calibri"/>
                <w:b/>
                <w:i w:val="0"/>
                <w:color w:val="0056D2"/>
                <w:sz w:val="17"/>
              </w:rPr>
              <w:t>Duy trì kênh ETC</w:t>
            </w:r>
          </w:p>
        </w:tc>
        <w:tc>
          <w:tcPr>
            <w:tcW w:type="dxa" w:w="2608"/>
          </w:tcPr>
          <w:p>
            <w:pPr>
              <w:spacing w:before="60" w:after="60"/>
              <w:ind w:left="85"/>
            </w:pPr>
            <w:r>
              <w:rPr>
                <w:rFonts w:ascii="Calibri" w:hAnsi="Calibri"/>
                <w:b w:val="0"/>
                <w:i w:val="0"/>
                <w:color w:val="374151"/>
                <w:sz w:val="17"/>
              </w:rPr>
            </w:r>
          </w:p>
        </w:tc>
      </w:tr>
    </w:tbl>
    <w:p>
      <w:pPr>
        <w:spacing w:after="200"/>
      </w:pPr>
    </w:p>
    <w:p>
      <w:pPr>
        <w:spacing w:before="320" w:after="120"/>
        <w:pBdr>
          <w:bottom w:val="single" w:sz="8" w:color="003B71"/>
        </w:pBdr>
      </w:pPr>
      <w:r>
        <w:rPr>
          <w:rFonts w:ascii="Calibri" w:hAnsi="Calibri"/>
          <w:b/>
          <w:i w:val="0"/>
          <w:color w:val="003B71"/>
          <w:sz w:val="22"/>
        </w:rPr>
        <w:t>TOP 5 SẢN PHẨM TÌM KIẾM NHIỀU NHẤT — DAVIPHARM.INFO</w:t>
      </w:r>
    </w:p>
    <w:p>
      <w:pPr>
        <w:spacing w:before="40" w:after="60"/>
      </w:pPr>
      <w:r>
        <w:rPr>
          <w:rFonts w:ascii="Calibri" w:hAnsi="Calibri"/>
          <w:b w:val="0"/>
          <w:i/>
          <w:color w:val="9CA3AF"/>
          <w:sz w:val="17"/>
        </w:rPr>
        <w:t>Google Search Console  ·  30 ngày gần nhất  ·  Dữ liệu: 13/05/2026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KHUYẾN NGHỊ HÀNH ĐỘNG</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Hành động chiến lược</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Nguồn</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Ưu tiên</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Đàm phán listing levothyroxine/canxi vào danh mục đấu thầu BV Nội tiết TW, Bạch Mai</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Du lịch y tế tuyến giáp tăng</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Rà soát danh mục R&amp;D: xác nhận khả thi sản xuất Levetiracetam trong 30 ngày</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RA</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Levetiracetam – tiềm năng Alzheimer</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F3C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Theo dõi thử nghiệm lâm sàng Levetiracetam/Alzheimer để chuẩn bị hồ sơ chỉ định bổ sung</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Strategy</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Levetiracetam – tiềm năng Alzheimer</w:t>
            </w:r>
          </w:p>
        </w:tc>
        <w:tc>
          <w:tcPr>
            <w:tcW w:type="dxa" w:w="1644"/>
            <w:shd w:val="clear" w:color="auto" w:fill="FEF3C7"/>
            <w:tcBorders>
              <w:top w:val="none" w:sz="6" w:color="auto"/>
              <w:bottom w:val="none" w:sz="6" w:color="auto"/>
              <w:left w:val="none" w:sz="6" w:color="auto"/>
              <w:right w:val="none" w:sz="6" w:color="auto"/>
            </w:tcBorders>
          </w:tcPr>
          <w:p>
            <w:pPr>
              <w:spacing w:before="80" w:after="80"/>
              <w:jc w:val="center"/>
            </w:pPr>
            <w:r>
              <w:rPr>
                <w:rFonts w:ascii="Calibri" w:hAnsi="Calibri"/>
                <w:b/>
                <w:i w:val="0"/>
                <w:color w:val="D97706"/>
                <w:sz w:val="17"/>
              </w:rPr>
              <w:t>🟡 Trung</w:t>
            </w:r>
          </w:p>
        </w:tc>
      </w:tr>
      <w:tr>
        <w:tc>
          <w:tcPr>
            <w:tcW w:type="dxa" w:w="454"/>
            <w:shd w:val="clear" w:color="auto" w:fill="FEF3C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Đánh giá phát triển SKU OTC chiết xuất diếp cá cho kênh Long Châu, Pharmacity</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Xu hướng thảo dược diếp cá</w:t>
            </w:r>
          </w:p>
        </w:tc>
        <w:tc>
          <w:tcPr>
            <w:tcW w:type="dxa" w:w="1644"/>
            <w:shd w:val="clear" w:color="auto" w:fill="FEF3C7"/>
            <w:tcBorders>
              <w:top w:val="none" w:sz="6" w:color="auto"/>
              <w:bottom w:val="none" w:sz="6" w:color="auto"/>
              <w:left w:val="none" w:sz="6" w:color="auto"/>
              <w:right w:val="none" w:sz="6" w:color="auto"/>
            </w:tcBorders>
          </w:tcPr>
          <w:p>
            <w:pPr>
              <w:spacing w:before="80" w:after="80"/>
              <w:jc w:val="center"/>
            </w:pPr>
            <w:r>
              <w:rPr>
                <w:rFonts w:ascii="Calibri" w:hAnsi="Calibri"/>
                <w:b/>
                <w:i w:val="0"/>
                <w:color w:val="D97706"/>
                <w:sz w:val="17"/>
              </w:rPr>
              <w:t>🟡 Trung&lt;/td</w:t>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13/05/2026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