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11–17/05/2026 không có tín hiệu reg-policy hay đấu thầu trực tiếp, song ba xu hướng dịch tễ (tiểu đường, ung thư, tâm thần) củng cố cơ sở nhu cầu dài hạn cho danh mục ETC cốt lõi của Davipharm.</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Tiểu đường:Truyền thông đại chúng đang nâng cao nhận thức về biến chứng ĐTĐ type 2, củng cố nhu cầu thị trường bền vững cho EIMLER-10 (Empagliflozin) và ZLATKO (Sitagliptin) trong kênh ETC.</w:t>
            </w:r>
          </w:p>
          <w:p>
            <w:pPr>
              <w:spacing w:before="20" w:after="60"/>
              <w:ind w:left="142"/>
            </w:pPr>
            <w:r>
              <w:rPr>
                <w:rFonts w:ascii="Calibri" w:hAnsi="Calibri"/>
                <w:b w:val="0"/>
                <w:i w:val="0"/>
                <w:color w:val="111827"/>
                <w:sz w:val="17"/>
              </w:rPr>
              <w:t>▸  Ung thư:Xu hướng tầm soát ung thư tăng và gánh nặng chi phí điều trị tại tuyến tỉnh nhấn mạnh tầm quan trọng chiến lược của việc đưa HYYR (Erlotinib) và LARRIVEY (Bicalutamide) vào danh mục BHYT chu kỳ thầu tới.</w:t>
            </w:r>
          </w:p>
          <w:p>
            <w:pPr>
              <w:spacing w:before="20" w:after="60"/>
              <w:ind w:left="142"/>
            </w:pPr>
            <w:r>
              <w:rPr>
                <w:rFonts w:ascii="Calibri" w:hAnsi="Calibri"/>
                <w:b w:val="0"/>
                <w:i w:val="0"/>
                <w:color w:val="111827"/>
                <w:sz w:val="17"/>
              </w:rPr>
              <w:t>▸  Tâm thần:Xu hướng lạm dụng chất kích thần trong cộng đồng là tín hiệu dài hạn cho tăng trưởng bệnh nhân tâm thần — cơ hội mở rộng SERNAL (Risperidone) và LAFAXOR (Venlafaxine) tại bệnh viện tâm thần và khoa tâm thần đa khoa.</w:t>
            </w:r>
          </w:p>
          <w:p>
            <w:pPr>
              <w:spacing w:before="20" w:after="60"/>
              <w:ind w:left="142"/>
            </w:pPr>
            <w:r>
              <w:rPr>
                <w:rFonts w:ascii="Calibri" w:hAnsi="Calibri"/>
                <w:b w:val="0"/>
                <w:i w:val="0"/>
                <w:color w:val="111827"/>
                <w:sz w:val="17"/>
              </w:rPr>
              <w:t>▸  P1ETC/Tender Team: xác nhận HYYR và LARRIVEY nằm trong hồ sơ đăng ký danh mục BHYT và chuẩn bị hồ sơ thầu chu kỳ tới — ư</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P1ETC/Tender Team: xác nhận HYYR và LARRIVEY nằm trong hồ sơ đăng ký danh mục BHYT và chuẩn bị hồ sơ thầu chu kỳ tới — ư</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1</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9</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Bệnh viện S.I.S Cần Thơ được hướng dẫn xử lý nước thải y tế</w:t>
            </w:r>
          </w:p>
        </w:tc>
      </w:tr>
    </w:tbl>
    <w:p>
      <w:pPr>
        <w:spacing w:before="40" w:after="40"/>
        <w:ind w:left="170"/>
      </w:pPr>
      <w:r>
        <w:rPr>
          <w:rFonts w:ascii="Calibri" w:hAnsi="Calibri"/>
          <w:b w:val="0"/>
          <w:i/>
          <w:color w:val="6B7280"/>
          <w:sz w:val="18"/>
        </w:rPr>
        <w:t>Bài báo phản ánh hoạt động tuân thủ môi trường tại bệnh viện tư nhân S.I.S Cần Thơ liên quan đến thu gom và xử lý nước thải y tế — không liên quan trực tiếp đến ngành dược phẩm hay thị trường phân phối thuốc. Nội dung bài mang tính thông tin địa phương, không có dữ liệu thị trường có giá trị phân tích.</w:t>
      </w:r>
    </w:p>
    <w:p>
      <w:pPr>
        <w:spacing w:before="20" w:after="40"/>
        <w:ind w:left="170"/>
      </w:pPr>
      <w:r>
        <w:rPr>
          <w:rFonts w:ascii="Calibri" w:hAnsi="Calibri"/>
          <w:b/>
          <w:i w:val="0"/>
          <w:color w:val="374151"/>
          <w:sz w:val="17"/>
        </w:rPr>
        <w:t>⚪ Tin tức không có tác động đến hoạt động kinh doanh hoặc chiến lược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có hành động cần thiết — bài báo nằm ngoài phạm vi theo dõi chiến lược dược phẩm; khuyến nghị loại khỏi bộ lọc tin tức BOD để tối ưu thời gian phân tích.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5 nhóm thực phẩm thiết yếu trong dinh dưỡng sau tuổi 50</w:t>
            </w:r>
          </w:p>
        </w:tc>
      </w:tr>
    </w:tbl>
    <w:p>
      <w:pPr>
        <w:spacing w:before="40" w:after="40"/>
        <w:ind w:left="170"/>
      </w:pPr>
      <w:r>
        <w:rPr>
          <w:rFonts w:ascii="Calibri" w:hAnsi="Calibri"/>
          <w:b w:val="0"/>
          <w:i/>
          <w:color w:val="6B7280"/>
          <w:sz w:val="18"/>
        </w:rPr>
        <w:t>Truyền thông y tế đang đẩy mạnh nội dung dinh dưỡng cho người cao tuổi, phản ánh nhu cầu ngày càng tăng của nhóm dân số trên 50 tuổi tại Việt Nam. Xu hướng này tạo ra không gian thị trường rõ ràng cho các sản phẩm thực phẩm chức năng bổ sung vi chất, canxi, vitamin D và omega-3.</w:t>
      </w:r>
    </w:p>
    <w:p>
      <w:pPr>
        <w:spacing w:before="20" w:after="40"/>
        <w:ind w:left="170"/>
      </w:pPr>
      <w:r>
        <w:rPr>
          <w:rFonts w:ascii="Calibri" w:hAnsi="Calibri"/>
          <w:b/>
          <w:i w:val="0"/>
          <w:color w:val="166534"/>
          <w:sz w:val="17"/>
        </w:rPr>
        <w:t>📈 Nội dung truyền thông y tế về dinh dưỡng người cao tuổi gia tăng — cơ hội mở rộng danh mục TPCN cho phân khúc 50+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Tận dụng xu hướng truyền thông này để đẩy mạnh marketing cho các sản phẩm canxi, vitamin D tổng hợp và omega-3 hiện có, đồng thời xem xét phát triển combo dinh dưỡng "Active 50+" nhằm chiếm lĩnh phân khúc người cao tuổi đang tăng trưởng nhanh.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11 thực phẩm chức năng cần tránh khi dùng thuốc chống đông máu</w:t>
            </w:r>
          </w:p>
        </w:tc>
      </w:tr>
    </w:tbl>
    <w:p>
      <w:pPr>
        <w:spacing w:before="40" w:after="40"/>
        <w:ind w:left="170"/>
      </w:pPr>
      <w:r>
        <w:rPr>
          <w:rFonts w:ascii="Calibri" w:hAnsi="Calibri"/>
          <w:b w:val="0"/>
          <w:i/>
          <w:color w:val="6B7280"/>
          <w:sz w:val="18"/>
        </w:rPr>
        <w:t>Báo SK&amp;ĐS cảnh báo 11 nhóm thực phẩm chức năng (TPCN) có tương tác nguy hiểm với thuốc chống đông, làm tăng nguy cơ chảy máu hoặc đông máu bất thường. Thông tin này xuất hiện trong bối cảnh thị trường TPCN Việt Nam tăng trưởng mạnh nhưng nhận thức về tương tác thuốc-TPCN còn thấp.</w:t>
      </w:r>
    </w:p>
    <w:p>
      <w:pPr>
        <w:spacing w:before="20" w:after="40"/>
        <w:ind w:left="170"/>
      </w:pPr>
      <w:r>
        <w:rPr>
          <w:rFonts w:ascii="Calibri" w:hAnsi="Calibri"/>
          <w:b/>
          <w:i w:val="0"/>
          <w:color w:val="166534"/>
          <w:sz w:val="17"/>
        </w:rPr>
        <w:t>💡 Cơ hội định vị Davipharm như chuyên gia an toàn dùng thuốc — lợi thế truyền thông B2B và B2C trong phân khúc tim mạch.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Phát triển tài liệu tư vấn "Hướng dẫn dùng thuốc chống đông an toàn" phân phối qua nhà thuốc và bác sĩ kê toa — tăng nhận diện thương hiệu trong phân khúc tim mạch và củng cố quan hệ với kênh ETC/OTC. Đồng thời, rà soát danh mục TPCN/OTC hiện có để đảm bảo nhãn sản phẩm cảnh báo đầy đủ tương tác thuốc, giảm thiểu rủi ro pháp lý.</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Biến chứng thủy đậu nghiêm trọng: Trẻ 6 tuổi nhiễm khuẩn huyết, thở máy nguy kịch</w:t>
            </w:r>
          </w:p>
        </w:tc>
      </w:tr>
    </w:tbl>
    <w:p>
      <w:pPr>
        <w:spacing w:before="40" w:after="40"/>
        <w:ind w:left="170"/>
      </w:pPr>
      <w:r>
        <w:rPr>
          <w:rFonts w:ascii="Calibri" w:hAnsi="Calibri"/>
          <w:b w:val="0"/>
          <w:i/>
          <w:color w:val="6B7280"/>
          <w:sz w:val="18"/>
        </w:rPr>
        <w:t>Trường hợp trẻ 6 tuổi biến chứng nhiễm khuẩn huyết do thủy đậu gây chú ý dư luận, làm tăng nhận thức cộng đồng về nguy cơ bội nhiễm vi khuẩn sau nhiễm virus. Nhu cầu kháng sinh điều trị nhiễm khuẩn thứ phát và thuốc kháng virus tại các cơ sở nhi khoa dự kiến gia tăng trong mùa dịch thủy đậu.</w:t>
      </w:r>
    </w:p>
    <w:p>
      <w:pPr>
        <w:spacing w:before="20" w:after="40"/>
        <w:ind w:left="170"/>
      </w:pPr>
      <w:r>
        <w:rPr>
          <w:rFonts w:ascii="Calibri" w:hAnsi="Calibri"/>
          <w:b/>
          <w:i w:val="0"/>
          <w:color w:val="166534"/>
          <w:sz w:val="17"/>
        </w:rPr>
        <w:t>📈 Cơ hội tăng trưởng ngắn hạn cho danh mục kháng sinh nhi khoa và thuốc hỗ trợ điều trị biến chứng thủy đậu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Đẩy mạnh hoạt động Medical Rep tại các bệnh viện nhi và phòng khám nhi khoa với danh mục kháng sinh phổ rộng (amoxicillin-clavulanate, cephalosporin) và acyclovir — nhấn mạnh vai trò điều trị sớm để ngăn biến chứng. Cân nhắc phát hành tài liệu KOL/y văn hỗ trợ bác sĩ nhi về phác đồ xử lý biến chứng thủy đậu nhằm tăng nhận diện thương hiệu Davipharm trong phân khúc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Kỹ thuật mổ nội soi tuyến giáp "Dr Lương" thu hút bệnh nhân &amp; bác sĩ quốc tế đến Việt Nam</w:t>
            </w:r>
          </w:p>
        </w:tc>
      </w:tr>
    </w:tbl>
    <w:p>
      <w:pPr>
        <w:spacing w:before="40" w:after="40"/>
        <w:ind w:left="170"/>
      </w:pPr>
      <w:r>
        <w:rPr>
          <w:rFonts w:ascii="Calibri" w:hAnsi="Calibri"/>
          <w:b w:val="0"/>
          <w:i/>
          <w:color w:val="6B7280"/>
          <w:sz w:val="18"/>
        </w:rPr>
        <w:t>Phương pháp mổ nội soi tuyến giáp "Dr Lương" của Việt Nam đang thu hút bệnh nhân từ Philippines và bác sĩ từ Azerbaijan, Ấn Độ đến học hỏi, khẳng định vị thế trung tâm y tế chất lượng cao trong khu vực. Xu hướng du lịch y tế quốc tế vào Việt Nam mở ra nhu cầu gia tăng đối với dược phẩm hậu phẫu và thuốc đặc trị tuyến giáp tại các bệnh viện tuyến đầu.</w:t>
      </w:r>
    </w:p>
    <w:p>
      <w:pPr>
        <w:spacing w:before="20" w:after="40"/>
        <w:ind w:left="170"/>
      </w:pPr>
      <w:r>
        <w:rPr>
          <w:rFonts w:ascii="Calibri" w:hAnsi="Calibri"/>
          <w:b/>
          <w:i w:val="0"/>
          <w:color w:val="166534"/>
          <w:sz w:val="17"/>
        </w:rPr>
        <w:t>🟢 Tín hiệu tích cực gián tiếp — du lịch y tế tăng trưởng thúc đẩy nhu cầu dược phẩm hậu phẫu tuyến giáp tại bệnh viện đối tác.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nên chủ động tiếp cận các bệnh viện chuyên sâu thực hiện kỹ thuật "Dr Lương" (như BV Nội tiết TW, BV Bạch Mai) để đưa thuốc levothyroxine, canxi và kháng sinh hậu phẫu vào danh mục ưu tiên đấu thầu. Đây là cơ hội xây dựng quan hệ đối tác bệnh viện dài hạn, đặc biệt khi lượng bệnh nhân quốc tế gia tăng sẽ nâng cao tiêu chuẩn thuốc được chỉ định.</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hỗ trợ gần 6 tỷ đồng thuốc men, thiết bị y tế cho quân dân Trường Sa</w:t>
            </w:r>
          </w:p>
        </w:tc>
      </w:tr>
    </w:tbl>
    <w:p>
      <w:pPr>
        <w:spacing w:before="40" w:after="40"/>
        <w:ind w:left="170"/>
      </w:pPr>
      <w:r>
        <w:rPr>
          <w:rFonts w:ascii="Calibri" w:hAnsi="Calibri"/>
          <w:b w:val="0"/>
          <w:i/>
          <w:color w:val="6B7280"/>
          <w:sz w:val="18"/>
        </w:rPr>
        <w:t>Bộ Y tế trao tặng thiết bị y tế, thuốc men và nhu yếu phẩm trị giá gần 6 tỷ đồng cho 7 đảo và Nhà giàn DK1/2 tại Trường Sa, trong đó 3,3 tỷ đồng dành cho thiết bị và vật tư y tế. Đây là hoạt động nhân đạo/quốc phòng đặc thù, không liên quan trực tiếp đến kênh đấu thầu ETC thương mại mà Davipharm đang tham gia.</w:t>
      </w:r>
    </w:p>
    <w:p>
      <w:pPr>
        <w:spacing w:before="20" w:after="40"/>
        <w:ind w:left="170"/>
      </w:pPr>
      <w:r>
        <w:rPr>
          <w:rFonts w:ascii="Calibri" w:hAnsi="Calibri"/>
          <w:b/>
          <w:i w:val="0"/>
          <w:color w:val="374151"/>
          <w:sz w:val="17"/>
        </w:rPr>
        <w:t>⚪ Tin không tác động trực tiếp đến doanh thu hoặc danh mục đấu thầu của Davipharm; theo dõi nếu Bộ Y tế mở rộng chương trình hỗ trợ thuốc quốc phòng thành cơ chế mua sắm tập trung có cạnh tranh.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tức thời. BD/Tender team có thể lưu ý kênh cung ứng thuốc cho hệ thống quân y (Bộ Quốc phòng) như một cơ hội dài hạn tiềm năng, đặc biệt với các sản phẩm thiết yếu như METILONE-4 (Methylprednisolone) hoặc kháng sinh — nhưng cần xác minh quy trình mua sắm riêng của quân đội trước khi triển khai.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Combo 3 ma túy tổng hợp gây tổn thương thần kinh nghiêm trọng — cảnh báo lạm dụng Ketamine, MDMA, Methamphetamine</w:t>
            </w:r>
          </w:p>
        </w:tc>
      </w:tr>
    </w:tbl>
    <w:p>
      <w:pPr>
        <w:spacing w:before="40" w:after="40"/>
        <w:ind w:left="170"/>
      </w:pPr>
      <w:r>
        <w:rPr>
          <w:rFonts w:ascii="Calibri" w:hAnsi="Calibri"/>
          <w:b w:val="0"/>
          <w:i/>
          <w:color w:val="6B7280"/>
          <w:sz w:val="18"/>
        </w:rPr>
        <w:t>Vụ bắt giữ ca sĩ Miu Lê dương tính đồng thời với Methamphetamine, MDMA và Ketamine làm dấy lên cảnh báo y tế về hậu quả tổn thương thần kinh trung ương, trầm cảm và rối loạn tâm thần kéo dài do lạm dụng chất kích thần. Bài viết không đề cập đến sản phẩm dược phẩm generic hay chính sách đấu thầu, song gián tiếp phản ánh nhu cầu điều trị rối loạn tâm thần (trầm cảm, lo âu, rối loạn hành vi) có thể tăng theo xu hướng lạm dụng chất kích thần trong cộng đồng.</w:t>
      </w:r>
    </w:p>
    <w:p>
      <w:pPr>
        <w:spacing w:before="20" w:after="40"/>
        <w:ind w:left="170"/>
      </w:pPr>
      <w:r>
        <w:rPr>
          <w:rFonts w:ascii="Calibri" w:hAnsi="Calibri"/>
          <w:b/>
          <w:i w:val="0"/>
          <w:color w:val="374151"/>
          <w:sz w:val="17"/>
        </w:rPr>
        <w:t>📊 Tác động gián tiếp, không ảnh hưởng trực tiếp đến doanh thu hay đấu thầu; theo dõi xu hướng gia tăng bệnh nhân tâm thần để đánh giá tiềm năng dài hạn cho SERNAL (Risperidone) và LAFAXOR (Venlafaxine) trong kênh 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&amp; Medical Affairs theo dõi dữ liệu dịch tễ về rối loạn tâm thần liên quan lạm dụng chất kích thần; đánh giá cơ hội mở rộng danh mục SERNAL và LAFAXOR tại các bệnh viện tâm thần/khoa tâm thần bệnh viện đa khoa trong chu kỳ thầu tiếp theo (dự kiến 2025–2026).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Lính Anh nhảy dù cứu bệnh nhân nghi nhiễm Hantavirus trên đảo hẻo lánh</w:t>
            </w:r>
          </w:p>
        </w:tc>
      </w:tr>
    </w:tbl>
    <w:p>
      <w:pPr>
        <w:spacing w:before="40" w:after="40"/>
        <w:ind w:left="170"/>
      </w:pPr>
      <w:r>
        <w:rPr>
          <w:rFonts w:ascii="Calibri" w:hAnsi="Calibri"/>
          <w:b w:val="0"/>
          <w:i/>
          <w:color w:val="6B7280"/>
          <w:sz w:val="18"/>
        </w:rPr>
        <w:t>Quân đội Anh triển khai chiến dịch nhảy dù khẩn cấp đến đảo Tristan da Cunha để cứu chữa ca nghi nhiễm Hantavirus chủng Andes — chủng có khả năng lây người-người — từ tàu MV Hondius, khiến 3 người tử vong. Đây là sự kiện y tế quốc tế không liên quan trực tiếp đến thị trường dược phẩm Việt Nam hay danh mục sản phẩm của Davipharm.</w:t>
      </w:r>
    </w:p>
    <w:p>
      <w:pPr>
        <w:spacing w:before="20" w:after="40"/>
        <w:ind w:left="170"/>
      </w:pPr>
      <w:r>
        <w:rPr>
          <w:rFonts w:ascii="Calibri" w:hAnsi="Calibri"/>
          <w:b/>
          <w:i w:val="0"/>
          <w:color w:val="374151"/>
          <w:sz w:val="17"/>
        </w:rPr>
        <w:t>⚪ Không có tác động trực tiếp đến Davipharm — bài tin tức y tế quốc tế nằm ngoài phạm vi danh mục sản phẩm và thị trường mục tiêu của công ty.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BOD có thể lưu ý theo dõi nếu WHO/Bộ Y tế Việt Nam phát cảnh báo dịch tễ Hantavirus tại Việt Nam, nhưng hiện tại chưa có sản phẩm nào trong danh mục Davipharm liên quan đến điều trị virus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Cảnh báo ung thư đại trực tràng từ thực phẩm siêu chế biến — Xu hướng tầm soát &amp; nhu cầu điều trị ung thư tăng</w:t>
            </w:r>
          </w:p>
        </w:tc>
      </w:tr>
    </w:tbl>
    <w:p>
      <w:pPr>
        <w:spacing w:before="40" w:after="40"/>
        <w:ind w:left="170"/>
      </w:pPr>
      <w:r>
        <w:rPr>
          <w:rFonts w:ascii="Calibri" w:hAnsi="Calibri"/>
          <w:b w:val="0"/>
          <w:i/>
          <w:color w:val="6B7280"/>
          <w:sz w:val="18"/>
        </w:rPr>
        <w:t>Nghiên cứu đăng trên JAMA Oncology xác nhận tiêu thụ thực phẩm siêu chế biến cao làm tăng rõ rệt nguy cơ polyp tuyến tiền ung thư đại trực tràng, thúc đẩy xu hướng tầm soát và điều trị ung thư sớm hơn tại Việt Nam. Xu hướng này có thể mở rộng thị trường cho nhóm sản phẩm ung thư high-value ETC của Davipharm, đặc biệt HYYR (Erlotinib) và LARRIVEY (Bicalutamide) trong kênh bệnh viện.</w:t>
      </w:r>
    </w:p>
    <w:p>
      <w:pPr>
        <w:spacing w:before="20" w:after="40"/>
        <w:ind w:left="170"/>
      </w:pPr>
      <w:r>
        <w:rPr>
          <w:rFonts w:ascii="Calibri" w:hAnsi="Calibri"/>
          <w:b/>
          <w:i w:val="0"/>
          <w:color w:val="374151"/>
          <w:sz w:val="17"/>
        </w:rPr>
        <w:t>📊 Tín hiệu dài hạn: nhu cầu điều trị ung thư tăng có lợi cho danh mục ETC cao cấp nhưng tác động trực tiếp đến doanh thu ngắn hạn là chưa rõ ràng.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ETC phối hợp với Medical Affairs theo dõi số liệu tầm soát ung thư đại trực tràng tại các bệnh viện trọng điểm; đánh giá tiềm năng mở rộng danh mục HYYR và LARRIVEY trong chu kỳ đấu thầu tiếp theo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kiểm soát huyết áp bằng thực phẩm tự nhiên (củ dền) — tín hiệu cạnh tranh nhẹ với nhóm thuốc tim mạch</w:t>
            </w:r>
          </w:p>
        </w:tc>
      </w:tr>
    </w:tbl>
    <w:p>
      <w:pPr>
        <w:spacing w:before="40" w:after="40"/>
        <w:ind w:left="170"/>
      </w:pPr>
      <w:r>
        <w:rPr>
          <w:rFonts w:ascii="Calibri" w:hAnsi="Calibri"/>
          <w:b w:val="0"/>
          <w:i/>
          <w:color w:val="6B7280"/>
          <w:sz w:val="18"/>
        </w:rPr>
        <w:t>Truyền thông y tế phổ thông đang quảng bá mạnh việc hạ huyết áp bằng nước ép củ dền (giảm ~8/4 mmHg) thay thế dùng thuốc, tạo tâm lý "không cần thuốc" trong nhóm bệnh nhân tăng huyết áp nhẹ — phân khúc khách hàng tiềm năng của PECHAUNOX (Perindopril+Amlodipin), TABAREX (Valsartan) và HATLOP (Irbesartan). Tuy nhiên, đây là thông tin từ kênh truyền thông quốc tế, chưa phản ánh thay đổi hành vi kê đơn tại Việt Nam.</w:t>
      </w:r>
    </w:p>
    <w:p>
      <w:pPr>
        <w:spacing w:before="20" w:after="40"/>
        <w:ind w:left="170"/>
      </w:pPr>
      <w:r>
        <w:rPr>
          <w:rFonts w:ascii="Calibri" w:hAnsi="Calibri"/>
          <w:b/>
          <w:i w:val="0"/>
          <w:color w:val="374151"/>
          <w:sz w:val="17"/>
        </w:rPr>
        <w:t>⚠️ Rủi ro dài hạn thấp — xu hướng "thực phẩm thay thuốc" có thể làm chậm nhận thuốc mới ở bệnh nhân THA nhẹ, nhưng chưa đủ để tác động đến doanh thu ETC kênh bệnh viện của Davipharm trong ngắn hạn.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(tim mạch) theo dõi tần suất nội dung "hạ huyết áp không dùng thuốc" trên mạng xã hội Việt Nam; nếu xu hướng tăng mạnh trong Q3/2025, phối hợp Medical Affairs chuẩn bị tài liệu giáo dục HCP nhấn mạnh vai trò không thể thay thế của thuốc (PECHAUNOX, TABAREX) trong THA độ 2 trở lên và bệnh nhân có bệnh đồng mắc.</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Ung thư u nguyên bào thần kinh trẻ em: Gánh nặng chi phí ghép tế bào gốc và khoảng trống hỗ trợ điều trị</w:t>
            </w:r>
          </w:p>
        </w:tc>
      </w:tr>
    </w:tbl>
    <w:p>
      <w:pPr>
        <w:spacing w:before="40" w:after="40"/>
        <w:ind w:left="170"/>
      </w:pPr>
      <w:r>
        <w:rPr>
          <w:rFonts w:ascii="Calibri" w:hAnsi="Calibri"/>
          <w:b w:val="0"/>
          <w:i/>
          <w:color w:val="6B7280"/>
          <w:sz w:val="18"/>
        </w:rPr>
        <w:t>Bài viết mô tả hành trình điều trị u nguyên bào thần kinh ở trẻ em tại Bệnh viện Trung ương Huế, với chi phí ghép tế bào gốc lên tới 200–300 triệu đồng — vượt xa khả năng tài chính của phần lớn bệnh nhân nghèo. Đối với Davipharm, bài phản ánh bối cảnh ung thư nhi khoa (đặc biệt phác đồ hóa trị đa chu kỳ) là phân khúc ETC có nhu cầu thực tế cao nhưng phụ thuộc lớn vào thanh toán BHYT và quỹ hỗ trợ xã hội.</w:t>
      </w:r>
    </w:p>
    <w:p>
      <w:pPr>
        <w:spacing w:before="20" w:after="40"/>
        <w:ind w:left="170"/>
      </w:pPr>
      <w:r>
        <w:rPr>
          <w:rFonts w:ascii="Calibri" w:hAnsi="Calibri"/>
          <w:b/>
          <w:i w:val="0"/>
          <w:color w:val="374151"/>
          <w:sz w:val="17"/>
        </w:rPr>
        <w:t>➖ Bài không tác động trực tiếp đến danh mục Davipharm; tuy nhiên là tín hiệu theo dõi về nhu cầu điều trị hỗ trợ ung thư (supportive care) — phân khúc liên quan gián tiếp đến HYYR (Erlotinib) và LARRIVEY (Bicalutamide) trong kênh ETC bệnh viện tuyến tỉnh.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ETC/Ung thư theo dõi tín hiệu này như bối cảnh thị trường: nhu cầu điều trị ung thư nhi và ung thư giai đoạn muộn tại tuyến tỉnh đang tăng nhưng bị giới hạn bởi thanh toán BHYT — đây là lý do ưu tiên đảm bảo HYYR và LARRIVEY nằm trong danh mục BHYT đầu thầu chu kỳ tới. Không cần hành động khẩn cấp; cập nhật vào báo cáo market landscape quý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Mẹo ngủ ngon cho bệnh nhân tiểu đường type 2: Tín hiệu nhu cầu bệnh nhân với EIMLER-10, ZLATKO</w:t>
            </w:r>
          </w:p>
        </w:tc>
      </w:tr>
    </w:tbl>
    <w:p>
      <w:pPr>
        <w:spacing w:before="40" w:after="40"/>
        <w:ind w:left="170"/>
      </w:pPr>
      <w:r>
        <w:rPr>
          <w:rFonts w:ascii="Calibri" w:hAnsi="Calibri"/>
          <w:b w:val="0"/>
          <w:i/>
          <w:color w:val="6B7280"/>
          <w:sz w:val="18"/>
        </w:rPr>
        <w:t>Bài viết trên VnExpress phổ biến rộng rãi các biến chứng tiểu đường type 2 (thần kinh ngoại biên, ngưng thở khi ngủ) và tầm quan trọng của kiểm soát đường huyết, gián tiếp gia tăng nhận thức về điều trị dược phẩm trong nhóm bệnh nhân này. Điều này củng cố nhu cầu thị trường cho các sản phẩm kiểm soát đường huyết như EIMLER-10 (Empagliflozin) và ZLATKO (Sitagliptin) của Davipharm.</w:t>
      </w:r>
    </w:p>
    <w:p>
      <w:pPr>
        <w:spacing w:before="20" w:after="40"/>
        <w:ind w:left="170"/>
      </w:pPr>
      <w:r>
        <w:rPr>
          <w:rFonts w:ascii="Calibri" w:hAnsi="Calibri"/>
          <w:b/>
          <w:i w:val="0"/>
          <w:color w:val="374151"/>
          <w:sz w:val="17"/>
        </w:rPr>
        <w:t>📊 Tín hiệu trung tính — bài mang tính giáo dục sức khỏe, không tác động trực tiếp đến doanh thu ETC nhưng phản ánh mức độ quan tâm ngày càng tăng của bệnh nhân tiểu đường type 2, nhóm mục tiêu cốt lõi của EIMLER-10 và ZLATKO.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Team nên tận dụng xu hướng truyền thông sức khỏe về biến chứng tiểu đường để hỗ trợ tài liệu detail cho EIMLER-10 và ZLATKO, đặc biệt nhấn mạnh lợi ích kiểm soát đường huyết bền vững cho bác sĩ kê đơn tuyến cơ sở trong vòng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Bổ nhiệm Cục trưởng Cục An toàn Thực phẩm — Thay đổi nhân sự lãnh đạo quản lý ATTP</w:t>
            </w:r>
          </w:p>
        </w:tc>
      </w:tr>
    </w:tbl>
    <w:p>
      <w:pPr>
        <w:spacing w:before="40" w:after="40"/>
        <w:ind w:left="170"/>
      </w:pPr>
      <w:r>
        <w:rPr>
          <w:rFonts w:ascii="Calibri" w:hAnsi="Calibri"/>
          <w:b w:val="0"/>
          <w:i/>
          <w:color w:val="6B7280"/>
          <w:sz w:val="18"/>
        </w:rPr>
        <w:t>Bộ trưởng Bộ Y tế Đào Hồng Lan trao quyết định bổ nhiệm Cục trưởng Cục An toàn Thực phẩm (VFA) — cơ quan quản lý thực phẩm chức năng, mỹ phẩm và một số sản phẩm y tế liên quan. Sự thay đổi nhân sự này có thể ảnh hưởng đến định hướng chính sách kiểm soát quảng cáo, cấp phép sản phẩm TPCN và mỹ phẩm trong thời gian tới.</w:t>
      </w:r>
    </w:p>
    <w:p>
      <w:pPr>
        <w:spacing w:before="20" w:after="40"/>
        <w:ind w:left="170"/>
      </w:pPr>
      <w:r>
        <w:rPr>
          <w:rFonts w:ascii="Calibri" w:hAnsi="Calibri"/>
          <w:b/>
          <w:i w:val="0"/>
          <w:color w:val="374151"/>
          <w:sz w:val="17"/>
        </w:rPr>
        <w:t>👀 Tác động gián tiếp — VFA không quản lý thuốc kê đơn của Davipharm, nhưng cần theo dõi nếu có thay đổi chính sách liên quan đến quảng cáo hoặc phân loại sản phẩm.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Regulatory Affairs Team theo dõi định hướng mới của Cục trưởng VFA trong Q2/2025, đặc biệt nếu Davipharm có kế hoạch mở rộng sang phân khúc thực phẩm chức năng hoặc OTC liên quan đến ATTP; không cần hành động khẩn.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Trẻ em mắc ung thư giai đoạn cuối do lạm dụng trà sữa — cảnh báo về lối sống và bệnh không lây nhiễm</w:t>
            </w:r>
          </w:p>
        </w:tc>
      </w:tr>
    </w:tbl>
    <w:p>
      <w:pPr>
        <w:spacing w:before="40" w:after="40"/>
        <w:ind w:left="170"/>
      </w:pPr>
      <w:r>
        <w:rPr>
          <w:rFonts w:ascii="Calibri" w:hAnsi="Calibri"/>
          <w:b w:val="0"/>
          <w:i/>
          <w:color w:val="6B7280"/>
          <w:sz w:val="18"/>
        </w:rPr>
        <w:t>Một bé trai 12 tuổi tại Việt Nam được chẩn đoán ung thư giai đoạn cuối sau thời gian dài uống trà sữa thay nước lọc, làm dấy lên lo ngại công cộng về thói quen dinh dưỡng và nguy cơ bệnh không lây nhiễm ở giới trẻ. Bài viết không liên quan trực tiếp đến danh mục sản phẩm Davipharm nhưng phản ánh xu hướng gia tăng nhận thức về ung thư và nhu cầu điều trị ung thư tại Việt Nam.</w:t>
      </w:r>
    </w:p>
    <w:p>
      <w:pPr>
        <w:spacing w:before="20" w:after="40"/>
        <w:ind w:left="170"/>
      </w:pPr>
      <w:r>
        <w:rPr>
          <w:rFonts w:ascii="Calibri" w:hAnsi="Calibri"/>
          <w:b/>
          <w:i w:val="0"/>
          <w:color w:val="374151"/>
          <w:sz w:val="17"/>
        </w:rPr>
        <w:t>📊 Tin có tác động gián tiếp — xu hướng nhận thức ung thư tăng có thể hỗ trợ nhu cầu thị trường cho HYYR (Erlotinib) và LARRIVEY (Bicalutamide), nhưng chưa tạo tác động kinh doanh ngắn hạn rõ ràng.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Oncology theo dõi xu hướng truyền thông về ung thư để xây dựng tài liệu giáo dục HCP (healthcare professional) liên quan đến HYYR và LARRIVEY; không cần hành động khẩn cấp, ưu tiên thấp trong chu kỳ báo cáo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Lão hóa tăng tốc ở mốc 44 &amp; 60 tuổi — Cơ hội mở rộng danh mục tim mạch, đái tháo đường, gout</w:t>
            </w:r>
          </w:p>
        </w:tc>
      </w:tr>
    </w:tbl>
    <w:p>
      <w:pPr>
        <w:spacing w:before="40" w:after="40"/>
        <w:ind w:left="170"/>
      </w:pPr>
      <w:r>
        <w:rPr>
          <w:rFonts w:ascii="Calibri" w:hAnsi="Calibri"/>
          <w:b w:val="0"/>
          <w:i/>
          <w:color w:val="6B7280"/>
          <w:sz w:val="18"/>
        </w:rPr>
        <w:t>Nghiên cứu Stanford xác nhận lão hóa tăng tốc đột ngột ở tuổi ~44 (chuyển hóa, viêm nền, nội tiết) và ~60 (tim mạch, thận, glucose), tạo ra hai "điểm nóng" bệnh mạn tính rõ ràng theo độ tuổi. Điều này trực tiếp củng cố nhu cầu dài hạn cho các nhóm thuốc cốt lõi của Davipharm gồm tim mạch (PECHAUNOX, RAVASTEL, ZABALES), đái tháo đường (EIMLER-10, ZLATKO), gout (ZENTOGOUT, MAGRAX) và giảm đau (COXTONE).</w:t>
      </w:r>
    </w:p>
    <w:p>
      <w:pPr>
        <w:spacing w:before="20" w:after="40"/>
        <w:ind w:left="170"/>
      </w:pPr>
      <w:r>
        <w:rPr>
          <w:rFonts w:ascii="Calibri" w:hAnsi="Calibri"/>
          <w:b/>
          <w:i w:val="0"/>
          <w:color w:val="166534"/>
          <w:sz w:val="17"/>
        </w:rPr>
        <w:t>🟢 Bằng chứng khoa học quốc tế xác nhận hai phân khúc bệnh nhân trọng điểm (40–50 và 60+) — cơ sở để Marketing team xây dựng thông điệp "phòng ngừa chủ động" cho toàn bộ danh mục bệnh mạn tính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 cần phát triển tài liệu KOL/CME khai thác dữ liệu Stanford này để định vị chiến lược "can thiệp sớm ở mốc 40+" — ưu tiên RAVASTEL (kiểm soát LDL), EIMLER-10 (bảo vệ thận/tim), ZENTOGOUT (kiểm soát uric acid) và PECHAUNOX (huyết áp) trong Q3/2025; đồng thời phối hợp Sales team mở rộng detailing tại phân khúc phòng khám nội tiết và tim mạch cho nhóm bệnh nhân 40–65 tuổi.</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42,000đ/viên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hồ sơ đấu thầu đưa HYYR và LARRIVEY vào danh mục BHYT chu kỳ tới</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RA</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Xu hướng tầm soát ung thư &amp; nhu cầu ung thư tuyến tỉnh tăng</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Cập nhật tài liệu detail EIMLER-10 &amp; ZLATKO cho bác sĩ tuyến cơ sở trước Q3/2025</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Nhận thức biến chứng tiểu đường type 2 tăng trên truyền thông</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nội dung "hạ huyết áp không dùng thuốc" mạng xã hội; chuẩn bị tài liệu HCP cho PECHAUNOX, TABAREX</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Xu hướng củ dền thay thuốc hạ huyết áp</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Khảo sát nhu cầu &amp; quy trình mua sắm quân y Bộ Quốc phòng cho METILONE-4</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 /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