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left"/>
        <w:tblLook w:firstColumn="1" w:firstRow="1" w:lastColumn="0" w:lastRow="0" w:noHBand="0" w:noVBand="1" w:val="04A0"/>
      </w:tblPr>
      <w:tblGrid>
        <w:gridCol w:w="9072"/>
      </w:tblGrid>
      <w:tr>
        <w:tc>
          <w:tcPr>
            <w:tcW w:type="dxa" w:w="9071"/>
            <w:shd w:val="clear" w:color="auto" w:fill="003B71"/>
            <w:tcBorders>
              <w:top w:val="none" w:sz="6" w:color="auto"/>
              <w:bottom w:val="none" w:sz="6" w:color="auto"/>
              <w:left w:val="none" w:sz="6" w:color="auto"/>
              <w:right w:val="none" w:sz="6" w:color="auto"/>
            </w:tcBorders>
          </w:tcPr>
          <w:p>
            <w:pPr>
              <w:spacing w:before="120" w:after="120"/>
              <w:ind w:left="170"/>
            </w:pPr>
            <w:r>
              <w:rPr>
                <w:rFonts w:ascii="Calibri" w:hAnsi="Calibri"/>
                <w:b/>
                <w:i w:val="0"/>
                <w:color w:val="FFFFFF"/>
                <w:sz w:val="16"/>
              </w:rPr>
              <w:t>MARKET INTELLIGENCE  ·  WEEKLY REPORT</w:t>
            </w:r>
          </w:p>
        </w:tc>
      </w:tr>
    </w:tbl>
    <w:p>
      <w:pPr>
        <w:spacing w:before="720" w:after="360"/>
        <w:jc w:val="center"/>
      </w:pPr>
      <w:r>
        <w:drawing>
          <wp:inline xmlns:a="http://schemas.openxmlformats.org/drawingml/2006/main" xmlns:pic="http://schemas.openxmlformats.org/drawingml/2006/picture">
            <wp:extent cx="3060000" cy="484691"/>
            <wp:docPr id="1" name="Picture 1"/>
            <wp:cNvGraphicFramePr>
              <a:graphicFrameLocks noChangeAspect="1"/>
            </wp:cNvGraphicFramePr>
            <a:graphic>
              <a:graphicData uri="http://schemas.openxmlformats.org/drawingml/2006/picture">
                <pic:pic>
                  <pic:nvPicPr>
                    <pic:cNvPr id="0" name="logo.png"/>
                    <pic:cNvPicPr/>
                  </pic:nvPicPr>
                  <pic:blipFill>
                    <a:blip r:embed="rId10"/>
                    <a:stretch>
                      <a:fillRect/>
                    </a:stretch>
                  </pic:blipFill>
                  <pic:spPr>
                    <a:xfrm>
                      <a:off x="0" y="0"/>
                      <a:ext cx="3060000" cy="484691"/>
                    </a:xfrm>
                    <a:prstGeom prst="rect"/>
                  </pic:spPr>
                </pic:pic>
              </a:graphicData>
            </a:graphic>
          </wp:inline>
        </w:drawing>
      </w:r>
    </w:p>
    <w:tbl>
      <w:tblPr>
        <w:tblW w:type="auto" w:w="0"/>
        <w:jc w:val="center"/>
        <w:tblLook w:firstColumn="1" w:firstRow="1" w:lastColumn="0" w:lastRow="0" w:noHBand="0" w:noVBand="1" w:val="04A0"/>
      </w:tblPr>
      <w:tblGrid>
        <w:gridCol w:w="4536"/>
        <w:gridCol w:w="4536"/>
      </w:tblGrid>
      <w:tr>
        <w:tc>
          <w:tcPr>
            <w:tcW w:type="dxa" w:w="1984"/>
            <w:shd w:val="clear" w:color="auto" w:fill="F1F5F9"/>
            <w:tcBorders>
              <w:top w:val="none" w:sz="6" w:color="auto"/>
              <w:bottom w:val="none" w:sz="6" w:color="auto"/>
              <w:left w:val="none" w:sz="6" w:color="auto"/>
              <w:right w:val="none" w:sz="6" w:color="auto"/>
            </w:tcBorders>
          </w:tcPr>
          <w:p>
            <w:pPr>
              <w:spacing w:before="80" w:after="80"/>
              <w:ind w:left="113"/>
            </w:pPr>
            <w:r>
              <w:rPr>
                <w:rFonts w:ascii="Calibri" w:hAnsi="Calibri"/>
                <w:b/>
                <w:i w:val="0"/>
                <w:color w:val="9CA3AF"/>
                <w:sz w:val="16"/>
              </w:rPr>
              <w:t>REPORT</w:t>
            </w:r>
          </w:p>
        </w:tc>
        <w:tc>
          <w:tcPr>
            <w:tcW w:type="dxa" w:w="4819"/>
            <w:tcBorders>
              <w:top w:val="none" w:sz="6" w:color="auto"/>
              <w:bottom w:val="none" w:sz="6" w:color="auto"/>
              <w:left w:val="none" w:sz="6" w:color="auto"/>
              <w:right w:val="none" w:sz="6" w:color="auto"/>
            </w:tcBorders>
          </w:tcPr>
          <w:p>
            <w:pPr>
              <w:spacing w:before="80" w:after="80"/>
              <w:ind w:left="113"/>
            </w:pPr>
            <w:r>
              <w:rPr>
                <w:rFonts w:ascii="Calibri" w:hAnsi="Calibri"/>
                <w:b/>
                <w:i w:val="0"/>
                <w:color w:val="003B71"/>
                <w:sz w:val="19"/>
              </w:rPr>
              <w:t>Market Intelligence Report</w:t>
            </w:r>
          </w:p>
        </w:tc>
      </w:tr>
      <w:tr>
        <w:tc>
          <w:tcPr>
            <w:tcW w:type="dxa" w:w="1984"/>
            <w:shd w:val="clear" w:color="auto" w:fill="F1F5F9"/>
            <w:tcBorders>
              <w:top w:val="none" w:sz="6" w:color="auto"/>
              <w:bottom w:val="none" w:sz="6" w:color="auto"/>
              <w:left w:val="none" w:sz="6" w:color="auto"/>
              <w:right w:val="none" w:sz="6" w:color="auto"/>
            </w:tcBorders>
          </w:tcPr>
          <w:p>
            <w:pPr>
              <w:spacing w:before="80" w:after="80"/>
              <w:ind w:left="113"/>
            </w:pPr>
            <w:r>
              <w:rPr>
                <w:rFonts w:ascii="Calibri" w:hAnsi="Calibri"/>
                <w:b/>
                <w:i w:val="0"/>
                <w:color w:val="9CA3AF"/>
                <w:sz w:val="16"/>
              </w:rPr>
              <w:t>WEEK</w:t>
            </w:r>
          </w:p>
        </w:tc>
        <w:tc>
          <w:tcPr>
            <w:tcW w:type="dxa" w:w="4819"/>
            <w:tcBorders>
              <w:top w:val="none" w:sz="6" w:color="auto"/>
              <w:bottom w:val="none" w:sz="6" w:color="auto"/>
              <w:left w:val="none" w:sz="6" w:color="auto"/>
              <w:right w:val="none" w:sz="6" w:color="auto"/>
            </w:tcBorders>
          </w:tcPr>
          <w:p>
            <w:pPr>
              <w:spacing w:before="80" w:after="80"/>
              <w:ind w:left="113"/>
            </w:pPr>
            <w:r>
              <w:rPr>
                <w:rFonts w:ascii="Calibri" w:hAnsi="Calibri"/>
                <w:b w:val="0"/>
                <w:i w:val="0"/>
                <w:color w:val="111827"/>
                <w:sz w:val="19"/>
              </w:rPr>
              <w:t>12/05 – 18/05/2026</w:t>
            </w:r>
          </w:p>
        </w:tc>
      </w:tr>
      <w:tr>
        <w:tc>
          <w:tcPr>
            <w:tcW w:type="dxa" w:w="1984"/>
            <w:shd w:val="clear" w:color="auto" w:fill="F1F5F9"/>
            <w:tcBorders>
              <w:top w:val="none" w:sz="6" w:color="auto"/>
              <w:bottom w:val="none" w:sz="6" w:color="auto"/>
              <w:left w:val="none" w:sz="6" w:color="auto"/>
              <w:right w:val="none" w:sz="6" w:color="auto"/>
            </w:tcBorders>
          </w:tcPr>
          <w:p>
            <w:pPr>
              <w:spacing w:before="80" w:after="80"/>
              <w:ind w:left="113"/>
            </w:pPr>
            <w:r>
              <w:rPr>
                <w:rFonts w:ascii="Calibri" w:hAnsi="Calibri"/>
                <w:b/>
                <w:i w:val="0"/>
                <w:color w:val="9CA3AF"/>
                <w:sz w:val="16"/>
              </w:rPr>
              <w:t>DATE</w:t>
            </w:r>
          </w:p>
        </w:tc>
        <w:tc>
          <w:tcPr>
            <w:tcW w:type="dxa" w:w="4819"/>
            <w:tcBorders>
              <w:top w:val="none" w:sz="6" w:color="auto"/>
              <w:bottom w:val="none" w:sz="6" w:color="auto"/>
              <w:left w:val="none" w:sz="6" w:color="auto"/>
              <w:right w:val="none" w:sz="6" w:color="auto"/>
            </w:tcBorders>
          </w:tcPr>
          <w:p>
            <w:pPr>
              <w:spacing w:before="80" w:after="80"/>
              <w:ind w:left="113"/>
            </w:pPr>
            <w:r>
              <w:rPr>
                <w:rFonts w:ascii="Calibri" w:hAnsi="Calibri"/>
                <w:b w:val="0"/>
                <w:i w:val="0"/>
                <w:color w:val="111827"/>
                <w:sz w:val="19"/>
              </w:rPr>
              <w:t>11/05/2026</w:t>
            </w:r>
          </w:p>
        </w:tc>
      </w:tr>
    </w:tbl>
    <w:p>
      <w:pPr>
        <w:spacing w:before="360"/>
        <w:jc w:val="center"/>
      </w:pPr>
      <w:r>
        <w:rPr>
          <w:rFonts w:ascii="Calibri" w:hAnsi="Calibri"/>
          <w:b w:val="0"/>
          <w:i/>
          <w:color w:val="CCCCCC"/>
          <w:sz w:val="16"/>
        </w:rPr>
        <w:t>Adamed Group  ·  Davipharm  ·  CONFIDENTIAL</w:t>
      </w:r>
    </w:p>
    <w:p>
      <w:r>
        <w:br w:type="page"/>
      </w:r>
    </w:p>
    <w:p>
      <w:pPr>
        <w:spacing w:before="320" w:after="120"/>
        <w:pBdr>
          <w:bottom w:val="single" w:sz="8" w:color="003B71"/>
        </w:pBdr>
      </w:pPr>
      <w:r>
        <w:rPr>
          <w:rFonts w:ascii="Calibri" w:hAnsi="Calibri"/>
          <w:b/>
          <w:i w:val="0"/>
          <w:color w:val="003B71"/>
          <w:sz w:val="22"/>
        </w:rPr>
        <w:t>EXECUTIVE SUMMARY</w:t>
      </w:r>
    </w:p>
    <w:tbl>
      <w:tblPr>
        <w:tblStyle w:val="TableGrid"/>
        <w:tblW w:type="auto" w:w="0"/>
        <w:jc w:val="left"/>
        <w:tblLook w:firstColumn="1" w:firstRow="1" w:lastColumn="0" w:lastRow="0" w:noHBand="0" w:noVBand="1" w:val="04A0"/>
      </w:tblPr>
      <w:tblGrid>
        <w:gridCol w:w="9072"/>
      </w:tblGrid>
      <w:tr>
        <w:tc>
          <w:tcPr>
            <w:tcW w:type="dxa" w:w="9071"/>
            <w:shd w:val="clear" w:color="auto" w:fill="EFF6FF"/>
            <w:tcBorders>
              <w:top w:val="none" w:sz="6" w:color="auto"/>
              <w:bottom w:val="none" w:sz="6" w:color="auto"/>
              <w:left w:val="single" w:sz="18" w:color="0056D2"/>
              <w:right w:val="none" w:sz="6" w:color="auto"/>
            </w:tcBorders>
          </w:tcPr>
          <w:p>
            <w:pPr>
              <w:spacing w:before="80" w:after="80"/>
              <w:ind w:left="170"/>
            </w:pPr>
            <w:r>
              <w:rPr>
                <w:rFonts w:ascii="Calibri" w:hAnsi="Calibri"/>
                <w:b/>
                <w:i w:val="0"/>
                <w:color w:val="111827"/>
                <w:sz w:val="20"/>
              </w:rPr>
              <w:t>This week: Tender reform opens opportunities for Davipharm while Long Châu's rapid expansion intensifies distribution channel pressure.</w:t>
            </w:r>
          </w:p>
        </w:tc>
      </w:tr>
    </w:tbl>
    <w:p>
      <w:pPr>
        <w:spacing w:before="80"/>
      </w:pPr>
    </w:p>
    <w:p>
      <w:pPr>
        <w:spacing w:after="80"/>
      </w:pPr>
    </w:p>
    <w:tbl>
      <w:tblPr>
        <w:tblStyle w:val="TableGrid"/>
        <w:tblW w:type="auto" w:w="0"/>
        <w:jc w:val="left"/>
        <w:tblLook w:firstColumn="1" w:firstRow="1" w:lastColumn="0" w:lastRow="0" w:noHBand="0" w:noVBand="1" w:val="04A0"/>
      </w:tblPr>
      <w:tblGrid>
        <w:gridCol w:w="4536"/>
        <w:gridCol w:w="4536"/>
      </w:tblGrid>
      <w:tr>
        <w:tc>
          <w:tcPr>
            <w:tcW w:type="dxa" w:w="4535"/>
            <w:tcBorders>
              <w:top w:val="none" w:sz="6" w:color="auto"/>
              <w:bottom w:val="none" w:sz="6" w:color="auto"/>
              <w:left w:val="none" w:sz="6" w:color="auto"/>
              <w:right w:val="none" w:sz="6" w:color="auto"/>
            </w:tcBorders>
            <w:shd w:val="clear" w:color="auto" w:fill="FAFBFF"/>
          </w:tcPr>
          <w:p>
            <w:pPr>
              <w:spacing w:before="80"/>
              <w:ind w:left="113"/>
            </w:pPr>
            <w:r>
              <w:rPr>
                <w:rFonts w:ascii="Calibri" w:hAnsi="Calibri"/>
                <w:b/>
                <w:i w:val="0"/>
                <w:color w:val="003B71"/>
                <w:sz w:val="17"/>
              </w:rPr>
              <w:t>💡  KEY INSIGHTS</w:t>
            </w:r>
          </w:p>
          <w:p>
            <w:pPr>
              <w:spacing w:before="20" w:after="60"/>
              <w:ind w:left="142"/>
            </w:pPr>
            <w:r>
              <w:rPr>
                <w:rFonts w:ascii="Calibri" w:hAnsi="Calibri"/>
                <w:b w:val="0"/>
                <w:i w:val="0"/>
                <w:color w:val="111827"/>
                <w:sz w:val="17"/>
              </w:rPr>
              <w:t>▸  Tendering:Criteria shift away from "lowest price" — GMP-EU manufacturers gain direct advantage.</w:t>
            </w:r>
          </w:p>
          <w:p>
            <w:pPr>
              <w:spacing w:before="20" w:after="60"/>
              <w:ind w:left="142"/>
            </w:pPr>
            <w:r>
              <w:rPr>
                <w:rFonts w:ascii="Calibri" w:hAnsi="Calibri"/>
                <w:b w:val="0"/>
                <w:i w:val="0"/>
                <w:color w:val="111827"/>
                <w:sz w:val="17"/>
              </w:rPr>
              <w:t>▸  OTC Channel:FPT Retail +73% profit Q1/2026, Long Châu leads — shelf-space negotiation increasingly challenging.</w:t>
            </w:r>
          </w:p>
          <w:p>
            <w:pPr>
              <w:spacing w:before="20" w:after="60"/>
              <w:ind w:left="142"/>
            </w:pPr>
            <w:r>
              <w:rPr>
                <w:rFonts w:ascii="Calibri" w:hAnsi="Calibri"/>
                <w:b w:val="0"/>
                <w:i w:val="0"/>
                <w:color w:val="111827"/>
                <w:sz w:val="17"/>
              </w:rPr>
              <w:t>▸  Supply Chain:Q1/2026 raw material imports declined sharply — API supply chain review warranted.</w:t>
            </w:r>
          </w:p>
          <w:p>
            <w:pPr>
              <w:spacing w:before="20" w:after="60"/>
              <w:ind w:left="142"/>
            </w:pPr>
            <w:r>
              <w:rPr>
                <w:rFonts w:ascii="Calibri" w:hAnsi="Calibri"/>
                <w:b w:val="0"/>
                <w:i w:val="0"/>
                <w:color w:val="111827"/>
                <w:sz w:val="17"/>
              </w:rPr>
              <w:t>▸  P1RA/Marketing: Prepare EU-GMP dossier to qualify for Group 1 tenders under new regulations.</w:t>
            </w:r>
          </w:p>
          <w:p>
            <w:pPr>
              <w:spacing w:before="20" w:after="60"/>
              <w:ind w:left="142"/>
            </w:pPr>
            <w:r>
              <w:rPr>
                <w:rFonts w:ascii="Calibri" w:hAnsi="Calibri"/>
                <w:b w:val="0"/>
                <w:i w:val="0"/>
                <w:color w:val="111827"/>
                <w:sz w:val="17"/>
              </w:rPr>
              <w:t>▸  P2Sales: Negotiate group-level partnership with Long Châu — avoid store-by-store negotiations.</w:t>
            </w:r>
          </w:p>
          <w:p>
            <w:pPr>
              <w:spacing w:before="20" w:after="60"/>
              <w:ind w:left="142"/>
            </w:pPr>
            <w:r>
              <w:rPr>
                <w:rFonts w:ascii="Calibri" w:hAnsi="Calibri"/>
                <w:b w:val="0"/>
                <w:i w:val="0"/>
                <w:color w:val="111827"/>
                <w:sz w:val="17"/>
              </w:rPr>
              <w:t>▸  P3Supply Chain: Audit API inventory and evaluate alternative sourcing amid import decline.</w:t>
            </w:r>
          </w:p>
        </w:tc>
        <w:tc>
          <w:tcPr>
            <w:tcW w:type="dxa" w:w="4535"/>
            <w:tcBorders>
              <w:top w:val="none" w:sz="6" w:color="auto"/>
              <w:bottom w:val="none" w:sz="6" w:color="auto"/>
              <w:left w:val="none" w:sz="6" w:color="auto"/>
              <w:right w:val="none" w:sz="6" w:color="auto"/>
            </w:tcBorders>
            <w:shd w:val="clear" w:color="auto" w:fill="FAFBFF"/>
          </w:tcPr>
          <w:p>
            <w:pPr>
              <w:spacing w:before="80"/>
              <w:ind w:left="113"/>
            </w:pPr>
            <w:r>
              <w:rPr>
                <w:rFonts w:ascii="Calibri" w:hAnsi="Calibri"/>
                <w:b/>
                <w:i w:val="0"/>
                <w:color w:val="0056D2"/>
                <w:sz w:val="17"/>
              </w:rPr>
              <w:t>⚡  PRIORITY ACTIONS</w:t>
            </w:r>
          </w:p>
          <w:p>
            <w:pPr>
              <w:spacing w:before="20" w:after="60"/>
              <w:ind w:left="142"/>
            </w:pPr>
            <w:r>
              <w:rPr>
                <w:rFonts w:ascii="Calibri" w:hAnsi="Calibri"/>
                <w:b w:val="0"/>
                <w:i w:val="0"/>
                <w:color w:val="0056D2"/>
                <w:sz w:val="17"/>
              </w:rPr>
              <w:t>→  P1RA/Marketing: Prepare EU-GMP dossier to qualify for Group 1 tenders under new regulations.</w:t>
            </w:r>
          </w:p>
          <w:p>
            <w:pPr>
              <w:spacing w:before="20" w:after="60"/>
              <w:ind w:left="142"/>
            </w:pPr>
            <w:r>
              <w:rPr>
                <w:rFonts w:ascii="Calibri" w:hAnsi="Calibri"/>
                <w:b w:val="0"/>
                <w:i w:val="0"/>
                <w:color w:val="0056D2"/>
                <w:sz w:val="17"/>
              </w:rPr>
              <w:t>→  P2Sales: Negotiate group-level partnership with Long Châu — avoid store-by-store negotiations.</w:t>
            </w:r>
          </w:p>
          <w:p>
            <w:pPr>
              <w:spacing w:before="20" w:after="60"/>
              <w:ind w:left="142"/>
            </w:pPr>
            <w:r>
              <w:rPr>
                <w:rFonts w:ascii="Calibri" w:hAnsi="Calibri"/>
                <w:b w:val="0"/>
                <w:i w:val="0"/>
                <w:color w:val="0056D2"/>
                <w:sz w:val="17"/>
              </w:rPr>
              <w:t>→  P3Supply Chain: Audit API inventory and evaluate alternative sourcing amid import decline.</w:t>
            </w:r>
          </w:p>
        </w:tc>
      </w:tr>
    </w:tbl>
    <w:p>
      <w:pPr>
        <w:spacing w:after="120"/>
      </w:pPr>
    </w:p>
    <w:p>
      <w:pPr>
        <w:spacing w:before="200" w:after="80"/>
      </w:pPr>
      <w:r>
        <w:rPr>
          <w:rFonts w:ascii="Calibri" w:hAnsi="Calibri"/>
          <w:b/>
          <w:i w:val="0"/>
          <w:color w:val="9CA3AF"/>
          <w:sz w:val="20"/>
        </w:rPr>
        <w:t>📡  Brand Mentions — Davipharm · Adamed</w:t>
      </w:r>
    </w:p>
    <w:tbl>
      <w:tblPr>
        <w:tblStyle w:val="TableGrid"/>
        <w:tblW w:type="auto" w:w="0"/>
        <w:jc w:val="left"/>
        <w:tblLook w:firstColumn="1" w:firstRow="1" w:lastColumn="0" w:lastRow="0" w:noHBand="0" w:noVBand="1" w:val="04A0"/>
      </w:tblPr>
      <w:tblGrid>
        <w:gridCol w:w="9072"/>
      </w:tblGrid>
      <w:tr>
        <w:tc>
          <w:tcPr>
            <w:tcW w:type="dxa" w:w="9071"/>
            <w:shd w:val="clear" w:color="auto" w:fill="F0FDF4"/>
            <w:tcBorders>
              <w:top w:val="none" w:sz="6" w:color="auto"/>
              <w:bottom w:val="none" w:sz="6" w:color="auto"/>
              <w:left w:val="single" w:sz="18" w:color="166534"/>
              <w:right w:val="none" w:sz="6" w:color="auto"/>
            </w:tcBorders>
          </w:tcPr>
          <w:p>
            <w:pPr>
              <w:spacing w:before="80" w:after="80"/>
              <w:ind w:left="170"/>
            </w:pPr>
            <w:r>
              <w:rPr>
                <w:rFonts w:ascii="Calibri" w:hAnsi="Calibri"/>
                <w:b/>
                <w:i w:val="0"/>
                <w:color w:val="111827"/>
                <w:sz w:val="18"/>
              </w:rPr>
              <w:t>✅ No negative mentions of Davipharm or Adamed found in the past 7 days. Brand is in a quiet state — no PR crisis management required.</w:t>
            </w:r>
          </w:p>
        </w:tc>
      </w:tr>
    </w:tbl>
    <w:p>
      <w:pPr>
        <w:spacing w:before="80"/>
      </w:pPr>
    </w:p>
    <w:p>
      <w:pPr>
        <w:spacing w:after="40"/>
      </w:pPr>
    </w:p>
    <w:p>
      <w:pPr>
        <w:spacing w:before="320" w:after="120"/>
        <w:pBdr>
          <w:bottom w:val="single" w:sz="8" w:color="003B71"/>
        </w:pBdr>
      </w:pPr>
      <w:r>
        <w:rPr>
          <w:rFonts w:ascii="Calibri" w:hAnsi="Calibri"/>
          <w:b/>
          <w:i w:val="0"/>
          <w:color w:val="003B71"/>
          <w:sz w:val="22"/>
        </w:rPr>
        <w:t>MARKET SENTIMENT THIS WEEK</w:t>
      </w:r>
    </w:p>
    <w:tbl>
      <w:tblPr>
        <w:tblStyle w:val="TableGrid"/>
        <w:tblW w:type="auto" w:w="0"/>
        <w:jc w:val="left"/>
        <w:tblLook w:firstColumn="1" w:firstRow="1" w:lastColumn="0" w:lastRow="0" w:noHBand="0" w:noVBand="1" w:val="04A0"/>
      </w:tblPr>
      <w:tblGrid>
        <w:gridCol w:w="2268"/>
        <w:gridCol w:w="2268"/>
        <w:gridCol w:w="2268"/>
        <w:gridCol w:w="2268"/>
      </w:tblGrid>
      <w:tr>
        <w:tc>
          <w:tcPr>
            <w:tcW w:type="dxa" w:w="3118"/>
            <w:shd w:val="clear" w:color="auto" w:fill="003B71"/>
            <w:tcBorders>
              <w:top w:val="none" w:sz="6" w:color="auto"/>
              <w:bottom w:val="none" w:sz="6" w:color="auto"/>
              <w:left w:val="none" w:sz="6" w:color="auto"/>
              <w:right w:val="none" w:sz="6" w:color="auto"/>
            </w:tcBorders>
          </w:tcPr>
          <w:p>
            <w:pPr>
              <w:spacing w:before="80" w:after="80"/>
              <w:ind w:left="85"/>
              <w:jc w:val="left"/>
            </w:pPr>
            <w:r>
              <w:rPr>
                <w:rFonts w:ascii="Calibri" w:hAnsi="Calibri"/>
                <w:b/>
                <w:i w:val="0"/>
                <w:color w:val="FFFFFF"/>
                <w:sz w:val="17"/>
              </w:rPr>
              <w:t>Section</w:t>
            </w:r>
          </w:p>
        </w:tc>
        <w:tc>
          <w:tcPr>
            <w:tcW w:type="dxa" w:w="1701"/>
            <w:shd w:val="clear" w:color="auto" w:fill="166534"/>
            <w:tcBorders>
              <w:top w:val="none" w:sz="6" w:color="auto"/>
              <w:bottom w:val="none" w:sz="6" w:color="auto"/>
              <w:left w:val="none" w:sz="6" w:color="auto"/>
              <w:right w:val="none" w:sz="6" w:color="auto"/>
            </w:tcBorders>
          </w:tcPr>
          <w:p>
            <w:pPr>
              <w:spacing w:before="80" w:after="80"/>
              <w:ind w:left="0"/>
              <w:jc w:val="center"/>
            </w:pPr>
            <w:r>
              <w:rPr>
                <w:rFonts w:ascii="Calibri" w:hAnsi="Calibri"/>
                <w:b/>
                <w:i w:val="0"/>
                <w:color w:val="FFFFFF"/>
                <w:sz w:val="17"/>
              </w:rPr>
              <w:t>✅  Positive</w:t>
            </w:r>
          </w:p>
        </w:tc>
        <w:tc>
          <w:tcPr>
            <w:tcW w:type="dxa" w:w="1984"/>
            <w:shd w:val="clear" w:color="auto" w:fill="374151"/>
            <w:tcBorders>
              <w:top w:val="none" w:sz="6" w:color="auto"/>
              <w:bottom w:val="none" w:sz="6" w:color="auto"/>
              <w:left w:val="none" w:sz="6" w:color="auto"/>
              <w:right w:val="none" w:sz="6" w:color="auto"/>
            </w:tcBorders>
          </w:tcPr>
          <w:p>
            <w:pPr>
              <w:spacing w:before="80" w:after="80"/>
              <w:ind w:left="0"/>
              <w:jc w:val="center"/>
            </w:pPr>
            <w:r>
              <w:rPr>
                <w:rFonts w:ascii="Calibri" w:hAnsi="Calibri"/>
                <w:b/>
                <w:i w:val="0"/>
                <w:color w:val="FFFFFF"/>
                <w:sz w:val="17"/>
              </w:rPr>
              <w:t>⚪  Neutral</w:t>
            </w:r>
          </w:p>
        </w:tc>
        <w:tc>
          <w:tcPr>
            <w:tcW w:type="dxa" w:w="2268"/>
            <w:shd w:val="clear" w:color="auto" w:fill="991B1B"/>
            <w:tcBorders>
              <w:top w:val="none" w:sz="6" w:color="auto"/>
              <w:bottom w:val="none" w:sz="6" w:color="auto"/>
              <w:left w:val="none" w:sz="6" w:color="auto"/>
              <w:right w:val="none" w:sz="6" w:color="auto"/>
            </w:tcBorders>
          </w:tcPr>
          <w:p>
            <w:pPr>
              <w:spacing w:before="80" w:after="80"/>
              <w:ind w:left="0"/>
              <w:jc w:val="center"/>
            </w:pPr>
            <w:r>
              <w:rPr>
                <w:rFonts w:ascii="Calibri" w:hAnsi="Calibri"/>
                <w:b/>
                <w:i w:val="0"/>
                <w:color w:val="FFFFFF"/>
                <w:sz w:val="17"/>
              </w:rPr>
              <w:t>⚠️  Risk / Challenge</w:t>
            </w:r>
          </w:p>
        </w:tc>
      </w:tr>
      <w:tr>
        <w:tc>
          <w:tcPr>
            <w:tcW w:type="dxa" w:w="3118"/>
            <w:shd w:val="clear" w:color="auto" w:fill="FAFBFF"/>
            <w:tcBorders>
              <w:top w:val="none" w:sz="6" w:color="auto"/>
              <w:bottom w:val="none" w:sz="6" w:color="auto"/>
              <w:left w:val="none" w:sz="6" w:color="auto"/>
              <w:right w:val="none" w:sz="6" w:color="auto"/>
            </w:tcBorders>
          </w:tcPr>
          <w:p>
            <w:pPr>
              <w:spacing w:before="100" w:after="100"/>
              <w:ind w:left="113"/>
            </w:pPr>
            <w:r>
              <w:rPr>
                <w:rFonts w:ascii="Calibri" w:hAnsi="Calibri"/>
                <w:b/>
                <w:i w:val="0"/>
                <w:color w:val="111827"/>
                <w:sz w:val="18"/>
              </w:rPr>
              <w:t>Regulatory &amp; Policy</w:t>
            </w:r>
          </w:p>
        </w:tc>
        <w:tc>
          <w:tcPr>
            <w:tcW w:type="dxa" w:w="1701"/>
            <w:shd w:val="clear" w:color="auto" w:fill="DCFCE7"/>
            <w:tcBorders>
              <w:top w:val="none" w:sz="6" w:color="auto"/>
              <w:bottom w:val="none" w:sz="6" w:color="auto"/>
              <w:left w:val="none" w:sz="6" w:color="auto"/>
              <w:right w:val="none" w:sz="6" w:color="auto"/>
            </w:tcBorders>
          </w:tcPr>
          <w:p>
            <w:pPr>
              <w:spacing w:before="80" w:after="80"/>
              <w:jc w:val="center"/>
            </w:pPr>
            <w:r>
              <w:rPr>
                <w:rFonts w:ascii="Calibri" w:hAnsi="Calibri"/>
                <w:b/>
                <w:i w:val="0"/>
                <w:color w:val="166534"/>
                <w:sz w:val="22"/>
              </w:rPr>
              <w:t>2</w:t>
            </w:r>
          </w:p>
        </w:tc>
        <w:tc>
          <w:tcPr>
            <w:tcW w:type="dxa" w:w="1984"/>
            <w:shd w:val="clear" w:color="auto" w:fill="F3F4F6"/>
            <w:tcBorders>
              <w:top w:val="none" w:sz="6" w:color="auto"/>
              <w:bottom w:val="none" w:sz="6" w:color="auto"/>
              <w:left w:val="none" w:sz="6" w:color="auto"/>
              <w:right w:val="none" w:sz="6" w:color="auto"/>
            </w:tcBorders>
          </w:tcPr>
          <w:p>
            <w:pPr>
              <w:spacing w:before="80" w:after="80"/>
              <w:jc w:val="center"/>
            </w:pPr>
            <w:r>
              <w:rPr>
                <w:rFonts w:ascii="Calibri" w:hAnsi="Calibri"/>
                <w:b/>
                <w:i w:val="0"/>
                <w:color w:val="374151"/>
                <w:sz w:val="22"/>
              </w:rPr>
              <w:t>1</w:t>
            </w:r>
          </w:p>
        </w:tc>
        <w:tc>
          <w:tcPr>
            <w:tcW w:type="dxa" w:w="2268"/>
            <w:shd w:val="clear" w:color="auto" w:fill="FFF0F0"/>
            <w:tcBorders>
              <w:top w:val="none" w:sz="6" w:color="auto"/>
              <w:bottom w:val="none" w:sz="6" w:color="auto"/>
              <w:left w:val="none" w:sz="6" w:color="auto"/>
              <w:right w:val="none" w:sz="6" w:color="auto"/>
            </w:tcBorders>
          </w:tcPr>
          <w:p>
            <w:pPr>
              <w:spacing w:before="80" w:after="80"/>
              <w:jc w:val="center"/>
            </w:pPr>
            <w:r>
              <w:rPr>
                <w:rFonts w:ascii="Calibri" w:hAnsi="Calibri"/>
                <w:b w:val="0"/>
                <w:i w:val="0"/>
                <w:color w:val="CCCCCC"/>
                <w:sz w:val="22"/>
              </w:rPr>
              <w:t>—</w:t>
            </w:r>
          </w:p>
        </w:tc>
      </w:tr>
      <w:tr>
        <w:tc>
          <w:tcPr>
            <w:tcW w:type="dxa" w:w="3118"/>
            <w:shd w:val="clear" w:color="auto" w:fill="F5F7FF"/>
            <w:tcBorders>
              <w:top w:val="none" w:sz="6" w:color="auto"/>
              <w:bottom w:val="none" w:sz="6" w:color="auto"/>
              <w:left w:val="none" w:sz="6" w:color="auto"/>
              <w:right w:val="none" w:sz="6" w:color="auto"/>
            </w:tcBorders>
          </w:tcPr>
          <w:p>
            <w:pPr>
              <w:spacing w:before="100" w:after="100"/>
              <w:ind w:left="113"/>
            </w:pPr>
            <w:r>
              <w:rPr>
                <w:rFonts w:ascii="Calibri" w:hAnsi="Calibri"/>
                <w:b/>
                <w:i w:val="0"/>
                <w:color w:val="111827"/>
                <w:sz w:val="18"/>
              </w:rPr>
              <w:t>Pharma Industry News</w:t>
            </w:r>
          </w:p>
        </w:tc>
        <w:tc>
          <w:tcPr>
            <w:tcW w:type="dxa" w:w="1701"/>
            <w:shd w:val="clear" w:color="auto" w:fill="DCFCE7"/>
            <w:tcBorders>
              <w:top w:val="none" w:sz="6" w:color="auto"/>
              <w:bottom w:val="none" w:sz="6" w:color="auto"/>
              <w:left w:val="none" w:sz="6" w:color="auto"/>
              <w:right w:val="none" w:sz="6" w:color="auto"/>
            </w:tcBorders>
          </w:tcPr>
          <w:p>
            <w:pPr>
              <w:spacing w:before="80" w:after="80"/>
              <w:jc w:val="center"/>
            </w:pPr>
            <w:r>
              <w:rPr>
                <w:rFonts w:ascii="Calibri" w:hAnsi="Calibri"/>
                <w:b/>
                <w:i w:val="0"/>
                <w:color w:val="166534"/>
                <w:sz w:val="22"/>
              </w:rPr>
              <w:t>3</w:t>
            </w:r>
          </w:p>
        </w:tc>
        <w:tc>
          <w:tcPr>
            <w:tcW w:type="dxa" w:w="1984"/>
            <w:shd w:val="clear" w:color="auto" w:fill="F3F4F6"/>
            <w:tcBorders>
              <w:top w:val="none" w:sz="6" w:color="auto"/>
              <w:bottom w:val="none" w:sz="6" w:color="auto"/>
              <w:left w:val="none" w:sz="6" w:color="auto"/>
              <w:right w:val="none" w:sz="6" w:color="auto"/>
            </w:tcBorders>
          </w:tcPr>
          <w:p>
            <w:pPr>
              <w:spacing w:before="80" w:after="80"/>
              <w:jc w:val="center"/>
            </w:pPr>
            <w:r>
              <w:rPr>
                <w:rFonts w:ascii="Calibri" w:hAnsi="Calibri"/>
                <w:b/>
                <w:i w:val="0"/>
                <w:color w:val="374151"/>
                <w:sz w:val="22"/>
              </w:rPr>
              <w:t>2</w:t>
            </w:r>
          </w:p>
        </w:tc>
        <w:tc>
          <w:tcPr>
            <w:tcW w:type="dxa" w:w="2268"/>
            <w:shd w:val="clear" w:color="auto" w:fill="FFF0F0"/>
            <w:tcBorders>
              <w:top w:val="none" w:sz="6" w:color="auto"/>
              <w:bottom w:val="none" w:sz="6" w:color="auto"/>
              <w:left w:val="none" w:sz="6" w:color="auto"/>
              <w:right w:val="none" w:sz="6" w:color="auto"/>
            </w:tcBorders>
          </w:tcPr>
          <w:p>
            <w:pPr>
              <w:spacing w:before="80" w:after="80"/>
              <w:jc w:val="center"/>
            </w:pPr>
            <w:r>
              <w:rPr>
                <w:rFonts w:ascii="Calibri" w:hAnsi="Calibri"/>
                <w:b w:val="0"/>
                <w:i w:val="0"/>
                <w:color w:val="CCCCCC"/>
                <w:sz w:val="22"/>
              </w:rPr>
              <w:t>—</w:t>
            </w:r>
          </w:p>
        </w:tc>
      </w:tr>
      <w:tr>
        <w:tc>
          <w:tcPr>
            <w:tcW w:type="dxa" w:w="3118"/>
            <w:shd w:val="clear" w:color="auto" w:fill="FAFBFF"/>
            <w:tcBorders>
              <w:top w:val="none" w:sz="6" w:color="auto"/>
              <w:bottom w:val="none" w:sz="6" w:color="auto"/>
              <w:left w:val="none" w:sz="6" w:color="auto"/>
              <w:right w:val="none" w:sz="6" w:color="auto"/>
            </w:tcBorders>
          </w:tcPr>
          <w:p>
            <w:pPr>
              <w:spacing w:before="100" w:after="100"/>
              <w:ind w:left="113"/>
            </w:pPr>
            <w:r>
              <w:rPr>
                <w:rFonts w:ascii="Calibri" w:hAnsi="Calibri"/>
                <w:b/>
                <w:i w:val="0"/>
                <w:color w:val="111827"/>
                <w:sz w:val="18"/>
              </w:rPr>
              <w:t>Competitors</w:t>
            </w:r>
          </w:p>
        </w:tc>
        <w:tc>
          <w:tcPr>
            <w:tcW w:type="dxa" w:w="1701"/>
            <w:shd w:val="clear" w:color="auto" w:fill="E9FBF0"/>
            <w:tcBorders>
              <w:top w:val="none" w:sz="6" w:color="auto"/>
              <w:bottom w:val="none" w:sz="6" w:color="auto"/>
              <w:left w:val="none" w:sz="6" w:color="auto"/>
              <w:right w:val="none" w:sz="6" w:color="auto"/>
            </w:tcBorders>
          </w:tcPr>
          <w:p>
            <w:pPr>
              <w:spacing w:before="80" w:after="80"/>
              <w:jc w:val="center"/>
            </w:pPr>
            <w:r>
              <w:rPr>
                <w:rFonts w:ascii="Calibri" w:hAnsi="Calibri"/>
                <w:b w:val="0"/>
                <w:i w:val="0"/>
                <w:color w:val="CCCCCC"/>
                <w:sz w:val="22"/>
              </w:rPr>
              <w:t>—</w:t>
            </w:r>
          </w:p>
        </w:tc>
        <w:tc>
          <w:tcPr>
            <w:tcW w:type="dxa" w:w="1984"/>
            <w:shd w:val="clear" w:color="auto" w:fill="F9FAFB"/>
            <w:tcBorders>
              <w:top w:val="none" w:sz="6" w:color="auto"/>
              <w:bottom w:val="none" w:sz="6" w:color="auto"/>
              <w:left w:val="none" w:sz="6" w:color="auto"/>
              <w:right w:val="none" w:sz="6" w:color="auto"/>
            </w:tcBorders>
          </w:tcPr>
          <w:p>
            <w:pPr>
              <w:spacing w:before="80" w:after="80"/>
              <w:jc w:val="center"/>
            </w:pPr>
            <w:r>
              <w:rPr>
                <w:rFonts w:ascii="Calibri" w:hAnsi="Calibri"/>
                <w:b w:val="0"/>
                <w:i w:val="0"/>
                <w:color w:val="CCCCCC"/>
                <w:sz w:val="22"/>
              </w:rPr>
              <w:t>—</w:t>
            </w:r>
          </w:p>
        </w:tc>
        <w:tc>
          <w:tcPr>
            <w:tcW w:type="dxa" w:w="2268"/>
            <w:shd w:val="clear" w:color="auto" w:fill="FEE2E2"/>
            <w:tcBorders>
              <w:top w:val="none" w:sz="6" w:color="auto"/>
              <w:bottom w:val="none" w:sz="6" w:color="auto"/>
              <w:left w:val="none" w:sz="6" w:color="auto"/>
              <w:right w:val="none" w:sz="6" w:color="auto"/>
            </w:tcBorders>
          </w:tcPr>
          <w:p>
            <w:pPr>
              <w:spacing w:before="80" w:after="80"/>
              <w:jc w:val="center"/>
            </w:pPr>
            <w:r>
              <w:rPr>
                <w:rFonts w:ascii="Calibri" w:hAnsi="Calibri"/>
                <w:b/>
                <w:i w:val="0"/>
                <w:color w:val="991B1B"/>
                <w:sz w:val="22"/>
              </w:rPr>
              <w:t>3</w:t>
            </w:r>
          </w:p>
        </w:tc>
      </w:tr>
    </w:tbl>
    <w:p>
      <w:pPr>
        <w:spacing w:after="80"/>
      </w:pPr>
    </w:p>
    <w:p>
      <w:r>
        <w:br w:type="page"/>
      </w:r>
    </w:p>
    <w:p>
      <w:pPr>
        <w:spacing w:before="320" w:after="120"/>
        <w:pBdr>
          <w:bottom w:val="single" w:sz="8" w:color="003B71"/>
        </w:pBdr>
      </w:pPr>
      <w:r>
        <w:rPr>
          <w:rFonts w:ascii="Calibri" w:hAnsi="Calibri"/>
          <w:b/>
          <w:i w:val="0"/>
          <w:color w:val="003B71"/>
          <w:sz w:val="22"/>
        </w:rPr>
        <w:t>REGULATORY &amp; POLICY</w:t>
      </w:r>
    </w:p>
    <w:tbl>
      <w:tblPr>
        <w:tblStyle w:val="TableGrid"/>
        <w:tblW w:type="auto" w:w="0"/>
        <w:jc w:val="left"/>
        <w:tblLook w:firstColumn="1" w:firstRow="1" w:lastColumn="0" w:lastRow="0" w:noHBand="0" w:noVBand="1" w:val="04A0"/>
      </w:tblPr>
      <w:tblGrid>
        <w:gridCol w:w="4536"/>
        <w:gridCol w:w="4536"/>
      </w:tblGrid>
      <w:tr>
        <w:tc>
          <w:tcPr>
            <w:tcW w:type="dxa" w:w="1984"/>
            <w:shd w:val="clear" w:color="auto" w:fill="EEF2FF"/>
            <w:tcBorders>
              <w:top w:val="none" w:sz="6" w:color="auto"/>
              <w:bottom w:val="none" w:sz="6" w:color="auto"/>
              <w:left w:val="none" w:sz="6" w:color="auto"/>
              <w:right w:val="none" w:sz="6" w:color="auto"/>
            </w:tcBorders>
          </w:tcPr>
          <w:p>
            <w:pPr>
              <w:spacing w:before="80" w:after="80"/>
              <w:ind w:left="85"/>
            </w:pPr>
            <w:r>
              <w:rPr>
                <w:rFonts w:ascii="Calibri" w:hAnsi="Calibri"/>
                <w:b/>
                <w:i w:val="0"/>
                <w:color w:val="4338CA"/>
                <w:sz w:val="15"/>
              </w:rPr>
              <w:t>DRUG TENDERING</w:t>
            </w:r>
          </w:p>
        </w:tc>
        <w:tc>
          <w:tcPr>
            <w:tcW w:type="dxa" w:w="4536"/>
            <w:tcBorders>
              <w:top w:val="none" w:sz="6" w:color="auto"/>
              <w:bottom w:val="none" w:sz="6" w:color="auto"/>
              <w:left w:val="none" w:sz="6" w:color="auto"/>
              <w:right w:val="none" w:sz="6" w:color="auto"/>
            </w:tcBorders>
          </w:tcPr>
          <w:p>
            <w:pPr>
              <w:spacing w:before="60" w:after="60"/>
              <w:ind w:left="113"/>
            </w:pPr>
            <w:r>
              <w:rPr>
                <w:rFonts w:ascii="Calibri" w:hAnsi="Calibri"/>
                <w:b/>
                <w:i w:val="0"/>
                <w:color w:val="111827"/>
                <w:sz w:val="21"/>
              </w:rPr>
              <w:t>Low-Price Drugs Lose Absolute Dominance in Public Procurement Tenders</w:t>
            </w:r>
          </w:p>
        </w:tc>
      </w:tr>
    </w:tbl>
    <w:p>
      <w:pPr>
        <w:spacing w:before="40" w:after="40"/>
        <w:ind w:left="170"/>
      </w:pPr>
      <w:r>
        <w:rPr>
          <w:rFonts w:ascii="Calibri" w:hAnsi="Calibri"/>
          <w:b w:val="0"/>
          <w:i/>
          <w:color w:val="6B7280"/>
          <w:sz w:val="18"/>
        </w:rPr>
        <w:t>New pharmaceutical tendering regulations are shifting selection criteria away from "lowest price" toward a composite scoring model encompassing quality, manufacturing capacity, and GMP standards — leveling the playing field for higher-standard domestic manufacturers.[Source]</w:t>
      </w:r>
    </w:p>
    <w:p>
      <w:pPr>
        <w:spacing w:before="20" w:after="40"/>
        <w:ind w:left="170"/>
      </w:pPr>
      <w:r>
        <w:rPr>
          <w:rFonts w:ascii="Calibri" w:hAnsi="Calibri"/>
          <w:b/>
          <w:i w:val="0"/>
          <w:color w:val="166534"/>
          <w:sz w:val="17"/>
        </w:rPr>
        <w:t>✅ Positive — Major opportunity for quality-certified manufacturers</w:t>
      </w:r>
    </w:p>
    <w:tbl>
      <w:tblPr>
        <w:tblStyle w:val="TableGrid"/>
        <w:tblW w:type="auto" w:w="0"/>
        <w:tblLook w:firstColumn="1" w:firstRow="1" w:lastColumn="0" w:lastRow="0" w:noHBand="0" w:noVBand="1" w:val="04A0"/>
      </w:tblPr>
      <w:tblGrid>
        <w:gridCol w:w="9072"/>
      </w:tblGrid>
      <w:tr>
        <w:tc>
          <w:tcPr>
            <w:tcW w:type="dxa" w:w="9072"/>
            <w:shd w:val="clear" w:color="auto" w:fill="F8FAFC"/>
            <w:tcBorders>
              <w:top w:val="none" w:sz="6" w:color="auto"/>
              <w:bottom w:val="none" w:sz="6" w:color="auto"/>
              <w:left w:val="single" w:sz="12" w:color="003B71"/>
              <w:right w:val="none" w:sz="6" w:color="auto"/>
            </w:tcBorders>
          </w:tcPr>
          <w:p>
            <w:pPr>
              <w:spacing w:before="60" w:after="60"/>
              <w:ind w:left="142"/>
            </w:pPr>
            <w:r>
              <w:rPr>
                <w:rFonts w:ascii="Calibri" w:hAnsi="Calibri"/>
                <w:b/>
                <w:i w:val="0"/>
                <w:color w:val="003B71"/>
                <w:sz w:val="17"/>
              </w:rPr>
              <w:t xml:space="preserve">Strategy  </w:t>
            </w:r>
            <w:r>
              <w:rPr>
                <w:rFonts w:ascii="Calibri" w:hAnsi="Calibri"/>
                <w:b w:val="0"/>
                <w:i w:val="0"/>
                <w:color w:val="334155"/>
                <w:sz w:val="17"/>
              </w:rPr>
              <w:t>🎯 Strategic Opportunity:The shift from "lowest price" to "best value" procurement criteria is highly favorable for Davipharm, which has invested heavily in EU-GMP/WHO-GMP standards. Previously, cost-cutting competitors could win tenders purely on price; now, quality credentials become a legitimate competitive weapon.⚔️ Competitive Dynamics vs. Direct Rivals (Imexpharm, DHG, Traphaco):This triggers a new "capability portfolio" race. Imexpharm's EU-GMP facilities make it the most formidable rival in premium hospital tenders. DHG and Traphaco hold broad portfolios but face plant-level certification scrutiny. Davipharm must proactively build standardized capability dossiers (GMP certificates, stability data, bioequivalence studies) to maximize technical scores in Group 1–2 tender lots.📋 Priority Actions:(1) Audit the full product portfolio to identify SKUs eligible for Group 1 (EU-GMP) bidding; (2) Strengthen a dedicated tender team with superior technical documentation capabilities; (3) Position Davipharm as "European Quality, Vietnamese Price" in B2B communications targeting hospitals and provincial health departments.</w:t>
            </w:r>
          </w:p>
        </w:tc>
      </w:tr>
    </w:tbl>
    <w:p>
      <w:pPr>
        <w:spacing w:before="40" w:after="120"/>
      </w:pPr>
    </w:p>
    <w:tbl>
      <w:tblPr>
        <w:tblStyle w:val="TableGrid"/>
        <w:tblW w:type="auto" w:w="0"/>
        <w:jc w:val="left"/>
        <w:tblLook w:firstColumn="1" w:firstRow="1" w:lastColumn="0" w:lastRow="0" w:noHBand="0" w:noVBand="1" w:val="04A0"/>
      </w:tblPr>
      <w:tblGrid>
        <w:gridCol w:w="4536"/>
        <w:gridCol w:w="4536"/>
      </w:tblGrid>
      <w:tr>
        <w:tc>
          <w:tcPr>
            <w:tcW w:type="dxa" w:w="1984"/>
            <w:shd w:val="clear" w:color="auto" w:fill="EEF2FF"/>
            <w:tcBorders>
              <w:top w:val="none" w:sz="6" w:color="auto"/>
              <w:bottom w:val="none" w:sz="6" w:color="auto"/>
              <w:left w:val="none" w:sz="6" w:color="auto"/>
              <w:right w:val="none" w:sz="6" w:color="auto"/>
            </w:tcBorders>
          </w:tcPr>
          <w:p>
            <w:pPr>
              <w:spacing w:before="80" w:after="80"/>
              <w:ind w:left="85"/>
            </w:pPr>
            <w:r>
              <w:rPr>
                <w:rFonts w:ascii="Calibri" w:hAnsi="Calibri"/>
                <w:b/>
                <w:i w:val="0"/>
                <w:color w:val="4338CA"/>
                <w:sz w:val="15"/>
              </w:rPr>
              <w:t>VIETNAM PHARMA POLICY</w:t>
            </w:r>
          </w:p>
        </w:tc>
        <w:tc>
          <w:tcPr>
            <w:tcW w:type="dxa" w:w="4536"/>
            <w:tcBorders>
              <w:top w:val="none" w:sz="6" w:color="auto"/>
              <w:bottom w:val="none" w:sz="6" w:color="auto"/>
              <w:left w:val="none" w:sz="6" w:color="auto"/>
              <w:right w:val="none" w:sz="6" w:color="auto"/>
            </w:tcBorders>
          </w:tcPr>
          <w:p>
            <w:pPr>
              <w:spacing w:before="60" w:after="60"/>
              <w:ind w:left="113"/>
            </w:pPr>
            <w:r>
              <w:rPr>
                <w:rFonts w:ascii="Calibri" w:hAnsi="Calibri"/>
                <w:b/>
                <w:i w:val="0"/>
                <w:color w:val="111827"/>
                <w:sz w:val="21"/>
              </w:rPr>
              <w:t>US Raises Concerns Over South Korea's Pharmaceutical Pricing &amp; Market Access Policies</w:t>
            </w:r>
          </w:p>
        </w:tc>
      </w:tr>
    </w:tbl>
    <w:p>
      <w:pPr>
        <w:spacing w:before="40" w:after="40"/>
        <w:ind w:left="170"/>
      </w:pPr>
      <w:r>
        <w:rPr>
          <w:rFonts w:ascii="Calibri" w:hAnsi="Calibri"/>
          <w:b w:val="0"/>
          <w:i/>
          <w:color w:val="6B7280"/>
          <w:sz w:val="18"/>
        </w:rPr>
        <w:t>The United States has formally raised concerns with South Korea regarding pharmaceutical policies, including drug pricing mechanisms, health insurance reimbursement conditions, and market access barriers for foreign pharmaceutical products. This forms part of bilateral trade negotiations and reflects a growing global trend toward greater transparency and fairness in pharmaceutical market policies.[Source]</w:t>
      </w:r>
    </w:p>
    <w:p>
      <w:pPr>
        <w:spacing w:before="20" w:after="40"/>
        <w:ind w:left="170"/>
      </w:pPr>
      <w:r>
        <w:rPr>
          <w:rFonts w:ascii="Calibri" w:hAnsi="Calibri"/>
          <w:b/>
          <w:i w:val="0"/>
          <w:color w:val="374151"/>
          <w:sz w:val="17"/>
        </w:rPr>
        <w:t>⚠️ Indirect Impact — Policy Warning Signal Relevant to Vietnam's Pharma Landscape</w:t>
      </w:r>
    </w:p>
    <w:tbl>
      <w:tblPr>
        <w:tblStyle w:val="TableGrid"/>
        <w:tblW w:type="auto" w:w="0"/>
        <w:tblLook w:firstColumn="1" w:firstRow="1" w:lastColumn="0" w:lastRow="0" w:noHBand="0" w:noVBand="1" w:val="04A0"/>
      </w:tblPr>
      <w:tblGrid>
        <w:gridCol w:w="9072"/>
      </w:tblGrid>
      <w:tr>
        <w:tc>
          <w:tcPr>
            <w:tcW w:type="dxa" w:w="9072"/>
            <w:shd w:val="clear" w:color="auto" w:fill="F8FAFC"/>
            <w:tcBorders>
              <w:top w:val="none" w:sz="6" w:color="auto"/>
              <w:bottom w:val="none" w:sz="6" w:color="auto"/>
              <w:left w:val="single" w:sz="12" w:color="003B71"/>
              <w:right w:val="none" w:sz="6" w:color="auto"/>
            </w:tcBorders>
          </w:tcPr>
          <w:p>
            <w:pPr>
              <w:spacing w:before="60" w:after="60"/>
              <w:ind w:left="142"/>
            </w:pPr>
            <w:r>
              <w:rPr>
                <w:rFonts w:ascii="Calibri" w:hAnsi="Calibri"/>
                <w:b/>
                <w:i w:val="0"/>
                <w:color w:val="003B71"/>
                <w:sz w:val="17"/>
              </w:rPr>
              <w:t xml:space="preserve">Strategy  </w:t>
            </w:r>
            <w:r>
              <w:rPr>
                <w:rFonts w:ascii="Calibri" w:hAnsi="Calibri"/>
                <w:b w:val="0"/>
                <w:i w:val="0"/>
                <w:color w:val="334155"/>
                <w:sz w:val="17"/>
              </w:rPr>
              <w:t>The US pressure on South Korea's pharmaceutical policies carries significant strategic implications for Davipharm across multiple dimensions:1. Regulatory Risk in Vietnam:Vietnam is actively implementing FTAs (EVFTA, CPTPP, UKVFTA). Similar external pressure could compel the Ministry of Health to reform tendering, pricing, and social health insurance (SHI) reimbursement frameworks — directly impacting Davipharm's generic portfolio competitiveness.2. Opportunity for Empagliflozin &amp; Dapoxetine:Should SHI reimbursement policies become more transparent and inclusive under international pressure, Davipharm's high-quality generics — Empagliflozin (Type 2 Diabetes) and Dapoxetine (Premature Ejaculation) — stand to gain SHI listing status, significantly expanding patient access and market volume.3. Tadalafil — Strategic OTC Positioning:Given potential SHI restructuring risks, Davipharm should accelerate a dual ETC/OTC go-to-market strategy for Tadalafil to reduce dependency on hospital tender channels and capture the growing self-pay consumer segment.Recommendation:Davipharm should closely monitor US–Vietnam trade negotiation developments and proactively engage in domestic pharmaceutical policy forums to safeguard the competitive advantages of its local generic product lines.</w:t>
            </w:r>
          </w:p>
        </w:tc>
      </w:tr>
    </w:tbl>
    <w:p>
      <w:pPr>
        <w:spacing w:before="40" w:after="120"/>
      </w:pPr>
    </w:p>
    <w:tbl>
      <w:tblPr>
        <w:tblStyle w:val="TableGrid"/>
        <w:tblW w:type="auto" w:w="0"/>
        <w:jc w:val="left"/>
        <w:tblLook w:firstColumn="1" w:firstRow="1" w:lastColumn="0" w:lastRow="0" w:noHBand="0" w:noVBand="1" w:val="04A0"/>
      </w:tblPr>
      <w:tblGrid>
        <w:gridCol w:w="4536"/>
        <w:gridCol w:w="4536"/>
      </w:tblGrid>
      <w:tr>
        <w:tc>
          <w:tcPr>
            <w:tcW w:type="dxa" w:w="1984"/>
            <w:shd w:val="clear" w:color="auto" w:fill="EEF2FF"/>
            <w:tcBorders>
              <w:top w:val="none" w:sz="6" w:color="auto"/>
              <w:bottom w:val="none" w:sz="6" w:color="auto"/>
              <w:left w:val="none" w:sz="6" w:color="auto"/>
              <w:right w:val="none" w:sz="6" w:color="auto"/>
            </w:tcBorders>
          </w:tcPr>
          <w:p>
            <w:pPr>
              <w:spacing w:before="80" w:after="80"/>
              <w:ind w:left="85"/>
            </w:pPr>
            <w:r>
              <w:rPr>
                <w:rFonts w:ascii="Calibri" w:hAnsi="Calibri"/>
                <w:b/>
                <w:i w:val="0"/>
                <w:color w:val="4338CA"/>
                <w:sz w:val="15"/>
              </w:rPr>
              <w:t>MOH · TENDERING</w:t>
            </w:r>
          </w:p>
        </w:tc>
        <w:tc>
          <w:tcPr>
            <w:tcW w:type="dxa" w:w="4536"/>
            <w:tcBorders>
              <w:top w:val="none" w:sz="6" w:color="auto"/>
              <w:bottom w:val="none" w:sz="6" w:color="auto"/>
              <w:left w:val="none" w:sz="6" w:color="auto"/>
              <w:right w:val="none" w:sz="6" w:color="auto"/>
            </w:tcBorders>
          </w:tcPr>
          <w:p>
            <w:pPr>
              <w:spacing w:before="60" w:after="60"/>
              <w:ind w:left="113"/>
            </w:pPr>
            <w:r>
              <w:rPr>
                <w:rFonts w:ascii="Calibri" w:hAnsi="Calibri"/>
                <w:b/>
                <w:i w:val="0"/>
                <w:color w:val="111827"/>
                <w:sz w:val="21"/>
              </w:rPr>
              <w:t>Vietnam's Minister of Health Addresses Procurement &amp; Tendering of Expanded Immunization Vaccines</w:t>
            </w:r>
          </w:p>
        </w:tc>
      </w:tr>
    </w:tbl>
    <w:p>
      <w:pPr>
        <w:spacing w:before="40" w:after="40"/>
        <w:ind w:left="170"/>
      </w:pPr>
      <w:r>
        <w:rPr>
          <w:rFonts w:ascii="Calibri" w:hAnsi="Calibri"/>
          <w:b w:val="0"/>
          <w:i/>
          <w:color w:val="6B7280"/>
          <w:sz w:val="18"/>
        </w:rPr>
        <w:t>Vietnam's Minister of Health officially addressed the procurement and tendering process for vaccines under the National Expanded Program on Immunization (EPI), emphasizing transparency, legal compliance, and stable supply assurance for the population. This signals the Government's intensified oversight and reform of public pharmaceutical procurement mechanisms.[Source]</w:t>
      </w:r>
    </w:p>
    <w:p>
      <w:pPr>
        <w:spacing w:before="20" w:after="40"/>
        <w:ind w:left="170"/>
      </w:pPr>
      <w:r>
        <w:rPr>
          <w:rFonts w:ascii="Calibri" w:hAnsi="Calibri"/>
          <w:b/>
          <w:i w:val="0"/>
          <w:color w:val="166534"/>
          <w:sz w:val="17"/>
        </w:rPr>
        <w:t>✅ Positive — Procurement reform fosters a more transparent competitive environment for domestic pharmaceutical companies</w:t>
      </w:r>
    </w:p>
    <w:tbl>
      <w:tblPr>
        <w:tblStyle w:val="TableGrid"/>
        <w:tblW w:type="auto" w:w="0"/>
        <w:tblLook w:firstColumn="1" w:firstRow="1" w:lastColumn="0" w:lastRow="0" w:noHBand="0" w:noVBand="1" w:val="04A0"/>
      </w:tblPr>
      <w:tblGrid>
        <w:gridCol w:w="9072"/>
      </w:tblGrid>
      <w:tr>
        <w:tc>
          <w:tcPr>
            <w:tcW w:type="dxa" w:w="9072"/>
            <w:shd w:val="clear" w:color="auto" w:fill="F8FAFC"/>
            <w:tcBorders>
              <w:top w:val="none" w:sz="6" w:color="auto"/>
              <w:bottom w:val="none" w:sz="6" w:color="auto"/>
              <w:left w:val="single" w:sz="12" w:color="003B71"/>
              <w:right w:val="none" w:sz="6" w:color="auto"/>
            </w:tcBorders>
          </w:tcPr>
          <w:p>
            <w:pPr>
              <w:spacing w:before="60" w:after="60"/>
              <w:ind w:left="142"/>
            </w:pPr>
            <w:r>
              <w:rPr>
                <w:rFonts w:ascii="Calibri" w:hAnsi="Calibri"/>
                <w:b/>
                <w:i w:val="0"/>
                <w:color w:val="003B71"/>
                <w:sz w:val="17"/>
              </w:rPr>
              <w:t xml:space="preserve">Strategy  </w:t>
            </w:r>
            <w:r>
              <w:rPr>
                <w:rFonts w:ascii="Calibri" w:hAnsi="Calibri"/>
                <w:b w:val="0"/>
                <w:i w:val="0"/>
                <w:color w:val="334155"/>
                <w:sz w:val="17"/>
              </w:rPr>
              <w:t>While the article focuses on vaccines — not Davipharm's core segment — the procurement reform signals carry significant spillover implications:① Systemic Opportunity:The Ministry of Health's push for greater tendering transparency (Circulars 14 &amp; 15) creates a more level playing field for Davipharm's high-quality generics — particularlyEmpagliflozin(type 2 diabetes) andTadalafil— to compete in Tier 1–2 hospital tenders on the basis of GMP standards and competitive pricing.② Risk to Monitor:If centralized national tendering is expanded to chronic disease drug categories (cardiovascular, metabolic), downward price pressure will intensify — requiring Davipharm to optimize manufacturing costs and build robust tender qualification dossiers.③ Recommended Action:Proactively prepare complete technical dossiers forDapoxetineandEmpagliflozinto be tender-ready for provincial and central hospital procurement packages as the centralized tender list is updated in Q3–Q4 2025.</w:t>
            </w:r>
          </w:p>
        </w:tc>
      </w:tr>
    </w:tbl>
    <w:p>
      <w:pPr>
        <w:spacing w:before="40" w:after="120"/>
      </w:pPr>
    </w:p>
    <w:p>
      <w:r>
        <w:br w:type="page"/>
      </w:r>
    </w:p>
    <w:p>
      <w:pPr>
        <w:spacing w:before="320" w:after="120"/>
        <w:pBdr>
          <w:bottom w:val="single" w:sz="8" w:color="003B71"/>
        </w:pBdr>
      </w:pPr>
      <w:r>
        <w:rPr>
          <w:rFonts w:ascii="Calibri" w:hAnsi="Calibri"/>
          <w:b/>
          <w:i w:val="0"/>
          <w:color w:val="003B71"/>
          <w:sz w:val="22"/>
        </w:rPr>
        <w:t>PHARMA INDUSTRY NEWS</w:t>
      </w:r>
    </w:p>
    <w:tbl>
      <w:tblPr>
        <w:tblStyle w:val="TableGrid"/>
        <w:tblW w:type="auto" w:w="0"/>
        <w:jc w:val="left"/>
        <w:tblLook w:firstColumn="1" w:firstRow="1" w:lastColumn="0" w:lastRow="0" w:noHBand="0" w:noVBand="1" w:val="04A0"/>
      </w:tblPr>
      <w:tblGrid>
        <w:gridCol w:w="4536"/>
        <w:gridCol w:w="4536"/>
      </w:tblGrid>
      <w:tr>
        <w:tc>
          <w:tcPr>
            <w:tcW w:type="dxa" w:w="1984"/>
            <w:shd w:val="clear" w:color="auto" w:fill="EEF2FF"/>
            <w:tcBorders>
              <w:top w:val="none" w:sz="6" w:color="auto"/>
              <w:bottom w:val="none" w:sz="6" w:color="auto"/>
              <w:left w:val="none" w:sz="6" w:color="auto"/>
              <w:right w:val="none" w:sz="6" w:color="auto"/>
            </w:tcBorders>
          </w:tcPr>
          <w:p>
            <w:pPr>
              <w:spacing w:before="80" w:after="80"/>
              <w:ind w:left="85"/>
            </w:pPr>
            <w:r>
              <w:rPr>
                <w:rFonts w:ascii="Calibri" w:hAnsi="Calibri"/>
                <w:b/>
                <w:i w:val="0"/>
                <w:color w:val="4338CA"/>
                <w:sz w:val="15"/>
              </w:rPr>
              <w:t>VIETNAM PHARMA MARKET</w:t>
            </w:r>
          </w:p>
        </w:tc>
        <w:tc>
          <w:tcPr>
            <w:tcW w:type="dxa" w:w="4536"/>
            <w:tcBorders>
              <w:top w:val="none" w:sz="6" w:color="auto"/>
              <w:bottom w:val="none" w:sz="6" w:color="auto"/>
              <w:left w:val="none" w:sz="6" w:color="auto"/>
              <w:right w:val="none" w:sz="6" w:color="auto"/>
            </w:tcBorders>
          </w:tcPr>
          <w:p>
            <w:pPr>
              <w:spacing w:before="60" w:after="60"/>
              <w:ind w:left="113"/>
            </w:pPr>
            <w:r>
              <w:rPr>
                <w:rFonts w:ascii="Calibri" w:hAnsi="Calibri"/>
                <w:b/>
                <w:i w:val="0"/>
                <w:color w:val="111827"/>
                <w:sz w:val="21"/>
              </w:rPr>
              <w:t>Pharmacy Chain Franchising: Market Expansion Linked to Pharmaceutical Governance Standardization</w:t>
            </w:r>
          </w:p>
        </w:tc>
      </w:tr>
    </w:tbl>
    <w:p>
      <w:pPr>
        <w:spacing w:before="40" w:after="40"/>
        <w:ind w:left="170"/>
      </w:pPr>
      <w:r>
        <w:rPr>
          <w:rFonts w:ascii="Calibri" w:hAnsi="Calibri"/>
          <w:b w:val="0"/>
          <w:i/>
          <w:color w:val="6B7280"/>
          <w:sz w:val="18"/>
        </w:rPr>
        <w:t>Pharmacy chain franchising is emerging as a key retail expansion trend in Vietnam, combining rapid outlet growth with standardized pharmaceutical management and GPP-compliant quality control. Major chains such as Long Chau and Pharmacity are aggressively pursuing this model to quickly scale their nationwide distribution networks.[Source]</w:t>
      </w:r>
    </w:p>
    <w:p>
      <w:pPr>
        <w:spacing w:before="20" w:after="40"/>
        <w:ind w:left="170"/>
      </w:pPr>
      <w:r>
        <w:rPr>
          <w:rFonts w:ascii="Calibri" w:hAnsi="Calibri"/>
          <w:b/>
          <w:i w:val="0"/>
          <w:color w:val="166534"/>
          <w:sz w:val="17"/>
        </w:rPr>
        <w:t>⚡ Conditionally Positive Impact — Channel expansion broadens market access for manufacturers, but increases pressure on listing fees and shelf-space negotiation power.</w:t>
      </w:r>
    </w:p>
    <w:tbl>
      <w:tblPr>
        <w:tblStyle w:val="TableGrid"/>
        <w:tblW w:type="auto" w:w="0"/>
        <w:tblLook w:firstColumn="1" w:firstRow="1" w:lastColumn="0" w:lastRow="0" w:noHBand="0" w:noVBand="1" w:val="04A0"/>
      </w:tblPr>
      <w:tblGrid>
        <w:gridCol w:w="9072"/>
      </w:tblGrid>
      <w:tr>
        <w:tc>
          <w:tcPr>
            <w:tcW w:type="dxa" w:w="9072"/>
            <w:shd w:val="clear" w:color="auto" w:fill="F8FAFC"/>
            <w:tcBorders>
              <w:top w:val="none" w:sz="6" w:color="auto"/>
              <w:bottom w:val="none" w:sz="6" w:color="auto"/>
              <w:left w:val="single" w:sz="12" w:color="003B71"/>
              <w:right w:val="none" w:sz="6" w:color="auto"/>
            </w:tcBorders>
          </w:tcPr>
          <w:p>
            <w:pPr>
              <w:spacing w:before="60" w:after="60"/>
              <w:ind w:left="142"/>
            </w:pPr>
            <w:r>
              <w:rPr>
                <w:rFonts w:ascii="Calibri" w:hAnsi="Calibri"/>
                <w:b/>
                <w:i w:val="0"/>
                <w:color w:val="003B71"/>
                <w:sz w:val="17"/>
              </w:rPr>
              <w:t xml:space="preserve">Strategy  </w:t>
            </w:r>
            <w:r>
              <w:rPr>
                <w:rFonts w:ascii="Calibri" w:hAnsi="Calibri"/>
                <w:b w:val="0"/>
                <w:i w:val="0"/>
                <w:color w:val="334155"/>
                <w:sz w:val="17"/>
              </w:rPr>
              <w:t>🏪 Channel Power Dynamics — Core Risk to Monitor:As Long Chau and Pharmacity scale their franchise networks, their negotiating leverage over manufacturers grows proport</w:t>
            </w:r>
          </w:p>
        </w:tc>
      </w:tr>
    </w:tbl>
    <w:p>
      <w:pPr>
        <w:spacing w:before="40" w:after="120"/>
      </w:pPr>
    </w:p>
    <w:tbl>
      <w:tblPr>
        <w:tblStyle w:val="TableGrid"/>
        <w:tblW w:type="auto" w:w="0"/>
        <w:jc w:val="left"/>
        <w:tblLook w:firstColumn="1" w:firstRow="1" w:lastColumn="0" w:lastRow="0" w:noHBand="0" w:noVBand="1" w:val="04A0"/>
      </w:tblPr>
      <w:tblGrid>
        <w:gridCol w:w="4536"/>
        <w:gridCol w:w="4536"/>
      </w:tblGrid>
      <w:tr>
        <w:tc>
          <w:tcPr>
            <w:tcW w:type="dxa" w:w="1984"/>
            <w:shd w:val="clear" w:color="auto" w:fill="EEF2FF"/>
            <w:tcBorders>
              <w:top w:val="none" w:sz="6" w:color="auto"/>
              <w:bottom w:val="none" w:sz="6" w:color="auto"/>
              <w:left w:val="none" w:sz="6" w:color="auto"/>
              <w:right w:val="none" w:sz="6" w:color="auto"/>
            </w:tcBorders>
          </w:tcPr>
          <w:p>
            <w:pPr>
              <w:spacing w:before="80" w:after="80"/>
              <w:ind w:left="85"/>
            </w:pPr>
            <w:r>
              <w:rPr>
                <w:rFonts w:ascii="Calibri" w:hAnsi="Calibri"/>
                <w:b/>
                <w:i w:val="0"/>
                <w:color w:val="4338CA"/>
                <w:sz w:val="15"/>
              </w:rPr>
              <w:t>VIETNAM PHARMA MARKET</w:t>
            </w:r>
          </w:p>
        </w:tc>
        <w:tc>
          <w:tcPr>
            <w:tcW w:type="dxa" w:w="4536"/>
            <w:tcBorders>
              <w:top w:val="none" w:sz="6" w:color="auto"/>
              <w:bottom w:val="none" w:sz="6" w:color="auto"/>
              <w:left w:val="none" w:sz="6" w:color="auto"/>
              <w:right w:val="none" w:sz="6" w:color="auto"/>
            </w:tcBorders>
          </w:tcPr>
          <w:p>
            <w:pPr>
              <w:spacing w:before="60" w:after="60"/>
              <w:ind w:left="113"/>
            </w:pPr>
            <w:r>
              <w:rPr>
                <w:rFonts w:ascii="Calibri" w:hAnsi="Calibri"/>
                <w:b/>
                <w:i w:val="0"/>
                <w:color w:val="111827"/>
                <w:sz w:val="21"/>
              </w:rPr>
              <w:t>Q1 2026: Vietnam's Pharmaceutical Raw Material Imports Decline Sharply – Strategic Implications for Domestic Manufacturers</w:t>
            </w:r>
          </w:p>
        </w:tc>
      </w:tr>
    </w:tbl>
    <w:p>
      <w:pPr>
        <w:spacing w:before="40" w:after="40"/>
        <w:ind w:left="170"/>
      </w:pPr>
      <w:r>
        <w:rPr>
          <w:rFonts w:ascii="Calibri" w:hAnsi="Calibri"/>
          <w:b w:val="0"/>
          <w:i/>
          <w:color w:val="6B7280"/>
          <w:sz w:val="18"/>
        </w:rPr>
        <w:t>According to Vinanet, Vietnam's pharmaceutical raw material and excipient import value dropped significantly in Q1 2026 compared to the same period last year. This trend reflects shifts in global pharmaceutical supply chains, currency pressures, and domestic manufacturers' efforts to optimize inventory or seek alternative sourcing strategies.[Source]</w:t>
      </w:r>
    </w:p>
    <w:p>
      <w:pPr>
        <w:spacing w:before="20" w:after="40"/>
        <w:ind w:left="170"/>
      </w:pPr>
      <w:r>
        <w:rPr>
          <w:rFonts w:ascii="Calibri" w:hAnsi="Calibri"/>
          <w:b/>
          <w:i w:val="0"/>
          <w:color w:val="374151"/>
          <w:sz w:val="17"/>
        </w:rPr>
        <w:t>⚠️ Neutral – Dual Impact: Short-term supply risk offset by strategic opportunity to restructure sourcing and strengthen domestic competitive positioning</w:t>
      </w:r>
    </w:p>
    <w:p>
      <w:pPr>
        <w:spacing w:before="40" w:after="120"/>
      </w:pPr>
    </w:p>
    <w:tbl>
      <w:tblPr>
        <w:tblStyle w:val="TableGrid"/>
        <w:tblW w:type="auto" w:w="0"/>
        <w:jc w:val="left"/>
        <w:tblLook w:firstColumn="1" w:firstRow="1" w:lastColumn="0" w:lastRow="0" w:noHBand="0" w:noVBand="1" w:val="04A0"/>
      </w:tblPr>
      <w:tblGrid>
        <w:gridCol w:w="4536"/>
        <w:gridCol w:w="4536"/>
      </w:tblGrid>
      <w:tr>
        <w:tc>
          <w:tcPr>
            <w:tcW w:type="dxa" w:w="1984"/>
            <w:shd w:val="clear" w:color="auto" w:fill="EEF2FF"/>
            <w:tcBorders>
              <w:top w:val="none" w:sz="6" w:color="auto"/>
              <w:bottom w:val="none" w:sz="6" w:color="auto"/>
              <w:left w:val="none" w:sz="6" w:color="auto"/>
              <w:right w:val="none" w:sz="6" w:color="auto"/>
            </w:tcBorders>
          </w:tcPr>
          <w:p>
            <w:pPr>
              <w:spacing w:before="80" w:after="80"/>
              <w:ind w:left="85"/>
            </w:pPr>
            <w:r>
              <w:rPr>
                <w:rFonts w:ascii="Calibri" w:hAnsi="Calibri"/>
                <w:b/>
                <w:i w:val="0"/>
                <w:color w:val="4338CA"/>
                <w:sz w:val="15"/>
              </w:rPr>
              <w:t>VIETNAM PHARMA MARKET</w:t>
            </w:r>
          </w:p>
        </w:tc>
        <w:tc>
          <w:tcPr>
            <w:tcW w:type="dxa" w:w="4536"/>
            <w:tcBorders>
              <w:top w:val="none" w:sz="6" w:color="auto"/>
              <w:bottom w:val="none" w:sz="6" w:color="auto"/>
              <w:left w:val="none" w:sz="6" w:color="auto"/>
              <w:right w:val="none" w:sz="6" w:color="auto"/>
            </w:tcBorders>
          </w:tcPr>
          <w:p>
            <w:pPr>
              <w:spacing w:before="60" w:after="60"/>
              <w:ind w:left="113"/>
            </w:pPr>
            <w:r>
              <w:rPr>
                <w:rFonts w:ascii="Calibri" w:hAnsi="Calibri"/>
                <w:b/>
                <w:i w:val="0"/>
                <w:color w:val="111827"/>
                <w:sz w:val="21"/>
              </w:rPr>
              <w:t>September 2nd Pharma Sets Hundred-Billion VND Revenue Target, Restructures Senior Leadership</w:t>
            </w:r>
          </w:p>
        </w:tc>
      </w:tr>
    </w:tbl>
    <w:p>
      <w:pPr>
        <w:spacing w:before="40" w:after="40"/>
        <w:ind w:left="170"/>
      </w:pPr>
      <w:r>
        <w:rPr>
          <w:rFonts w:ascii="Calibri" w:hAnsi="Calibri"/>
          <w:b w:val="0"/>
          <w:i/>
          <w:color w:val="6B7280"/>
          <w:sz w:val="18"/>
        </w:rPr>
        <w:t>September 2nd Pharmaceutical Company (DNP) has announced a hundred-billion VND revenue target for the upcoming fiscal year, alongside a senior leadership restructuring aimed at strengthening governance and accelerating growth. This signals that small-to-mid-sized domestic pharma companies are actively reorganizing to compete in an increasingly dynamic market.[Source]</w:t>
      </w:r>
    </w:p>
    <w:p>
      <w:pPr>
        <w:spacing w:before="20" w:after="40"/>
        <w:ind w:left="170"/>
      </w:pPr>
      <w:r>
        <w:rPr>
          <w:rFonts w:ascii="Calibri" w:hAnsi="Calibri"/>
          <w:b/>
          <w:i w:val="0"/>
          <w:color w:val="374151"/>
          <w:sz w:val="17"/>
        </w:rPr>
        <w:t>⚠️ Neutral – Indirect competitive signal from mid-tier domestic pharma segment</w:t>
      </w:r>
    </w:p>
    <w:tbl>
      <w:tblPr>
        <w:tblStyle w:val="TableGrid"/>
        <w:tblW w:type="auto" w:w="0"/>
        <w:tblLook w:firstColumn="1" w:firstRow="1" w:lastColumn="0" w:lastRow="0" w:noHBand="0" w:noVBand="1" w:val="04A0"/>
      </w:tblPr>
      <w:tblGrid>
        <w:gridCol w:w="9072"/>
      </w:tblGrid>
      <w:tr>
        <w:tc>
          <w:tcPr>
            <w:tcW w:type="dxa" w:w="9072"/>
            <w:shd w:val="clear" w:color="auto" w:fill="F8FAFC"/>
            <w:tcBorders>
              <w:top w:val="none" w:sz="6" w:color="auto"/>
              <w:bottom w:val="none" w:sz="6" w:color="auto"/>
              <w:left w:val="single" w:sz="12" w:color="003B71"/>
              <w:right w:val="none" w:sz="6" w:color="auto"/>
            </w:tcBorders>
          </w:tcPr>
          <w:p>
            <w:pPr>
              <w:spacing w:before="60" w:after="60"/>
              <w:ind w:left="142"/>
            </w:pPr>
            <w:r>
              <w:rPr>
                <w:rFonts w:ascii="Calibri" w:hAnsi="Calibri"/>
                <w:b/>
                <w:i w:val="0"/>
                <w:color w:val="003B71"/>
                <w:sz w:val="17"/>
              </w:rPr>
              <w:t xml:space="preserve">Strategy  </w:t>
            </w:r>
            <w:r>
              <w:rPr>
                <w:rFonts w:ascii="Calibri" w:hAnsi="Calibri"/>
                <w:b w:val="0"/>
                <w:i w:val="0"/>
                <w:color w:val="334155"/>
                <w:sz w:val="17"/>
              </w:rPr>
              <w:t>🔍</w:t>
            </w:r>
          </w:p>
        </w:tc>
      </w:tr>
    </w:tbl>
    <w:p>
      <w:pPr>
        <w:spacing w:before="40" w:after="120"/>
      </w:pPr>
    </w:p>
    <w:tbl>
      <w:tblPr>
        <w:tblStyle w:val="TableGrid"/>
        <w:tblW w:type="auto" w:w="0"/>
        <w:jc w:val="left"/>
        <w:tblLook w:firstColumn="1" w:firstRow="1" w:lastColumn="0" w:lastRow="0" w:noHBand="0" w:noVBand="1" w:val="04A0"/>
      </w:tblPr>
      <w:tblGrid>
        <w:gridCol w:w="4536"/>
        <w:gridCol w:w="4536"/>
      </w:tblGrid>
      <w:tr>
        <w:tc>
          <w:tcPr>
            <w:tcW w:type="dxa" w:w="1984"/>
            <w:shd w:val="clear" w:color="auto" w:fill="EEF2FF"/>
            <w:tcBorders>
              <w:top w:val="none" w:sz="6" w:color="auto"/>
              <w:bottom w:val="none" w:sz="6" w:color="auto"/>
              <w:left w:val="none" w:sz="6" w:color="auto"/>
              <w:right w:val="none" w:sz="6" w:color="auto"/>
            </w:tcBorders>
          </w:tcPr>
          <w:p>
            <w:pPr>
              <w:spacing w:before="80" w:after="80"/>
              <w:ind w:left="85"/>
            </w:pPr>
            <w:r>
              <w:rPr>
                <w:rFonts w:ascii="Calibri" w:hAnsi="Calibri"/>
                <w:b/>
                <w:i w:val="0"/>
                <w:color w:val="4338CA"/>
                <w:sz w:val="15"/>
              </w:rPr>
              <w:t>FPT RETAIL LONG CHÂU</w:t>
            </w:r>
          </w:p>
        </w:tc>
        <w:tc>
          <w:tcPr>
            <w:tcW w:type="dxa" w:w="4536"/>
            <w:tcBorders>
              <w:top w:val="none" w:sz="6" w:color="auto"/>
              <w:bottom w:val="none" w:sz="6" w:color="auto"/>
              <w:left w:val="none" w:sz="6" w:color="auto"/>
              <w:right w:val="none" w:sz="6" w:color="auto"/>
            </w:tcBorders>
          </w:tcPr>
          <w:p>
            <w:pPr>
              <w:spacing w:before="60" w:after="60"/>
              <w:ind w:left="113"/>
            </w:pPr>
            <w:r>
              <w:rPr>
                <w:rFonts w:ascii="Calibri" w:hAnsi="Calibri"/>
                <w:b/>
                <w:i w:val="0"/>
                <w:color w:val="111827"/>
                <w:sz w:val="21"/>
              </w:rPr>
              <w:t>Long Chau Drives FPT Retail Growth with People-Centric Strategy — Channel Power Implications for Pharma Manufacturers</w:t>
            </w:r>
          </w:p>
        </w:tc>
      </w:tr>
    </w:tbl>
    <w:p>
      <w:pPr>
        <w:spacing w:before="40" w:after="40"/>
        <w:ind w:left="170"/>
      </w:pPr>
      <w:r>
        <w:rPr>
          <w:rFonts w:ascii="Calibri" w:hAnsi="Calibri"/>
          <w:b w:val="0"/>
          <w:i/>
          <w:color w:val="6B7280"/>
          <w:sz w:val="18"/>
        </w:rPr>
        <w:t>Long Chau pharmacy chain (under FPT Retail) continues to be the primary growth engine, expanding its nationwide network and reinforcing its leadership in Vietnam's retail pharmaceutical market. Its strategy centers on community health service, increased outlet coverage, and enhanced customer experience.[Source]</w:t>
      </w:r>
    </w:p>
    <w:p>
      <w:pPr>
        <w:spacing w:before="20" w:after="40"/>
        <w:ind w:left="170"/>
      </w:pPr>
      <w:r>
        <w:rPr>
          <w:rFonts w:ascii="Calibri" w:hAnsi="Calibri"/>
          <w:b/>
          <w:i w:val="0"/>
          <w:color w:val="166534"/>
          <w:sz w:val="17"/>
        </w:rPr>
        <w:t>⚡ Dual Impact: Distribution expansion opportunity — offset by channel dependency risk &amp; pricing pressure</w:t>
      </w:r>
    </w:p>
    <w:tbl>
      <w:tblPr>
        <w:tblStyle w:val="TableGrid"/>
        <w:tblW w:type="auto" w:w="0"/>
        <w:tblLook w:firstColumn="1" w:firstRow="1" w:lastColumn="0" w:lastRow="0" w:noHBand="0" w:noVBand="1" w:val="04A0"/>
      </w:tblPr>
      <w:tblGrid>
        <w:gridCol w:w="9072"/>
      </w:tblGrid>
      <w:tr>
        <w:tc>
          <w:tcPr>
            <w:tcW w:type="dxa" w:w="9072"/>
            <w:shd w:val="clear" w:color="auto" w:fill="F8FAFC"/>
            <w:tcBorders>
              <w:top w:val="none" w:sz="6" w:color="auto"/>
              <w:bottom w:val="none" w:sz="6" w:color="auto"/>
              <w:left w:val="single" w:sz="12" w:color="003B71"/>
              <w:right w:val="none" w:sz="6" w:color="auto"/>
            </w:tcBorders>
          </w:tcPr>
          <w:p>
            <w:pPr>
              <w:spacing w:before="60" w:after="60"/>
              <w:ind w:left="142"/>
            </w:pPr>
            <w:r>
              <w:rPr>
                <w:rFonts w:ascii="Calibri" w:hAnsi="Calibri"/>
                <w:b/>
                <w:i w:val="0"/>
                <w:color w:val="003B71"/>
                <w:sz w:val="17"/>
              </w:rPr>
              <w:t xml:space="preserve">Strategy  </w:t>
            </w:r>
            <w:r>
              <w:rPr>
                <w:rFonts w:ascii="Calibri" w:hAnsi="Calibri"/>
                <w:b w:val="0"/>
                <w:i w:val="0"/>
                <w:color w:val="334155"/>
                <w:sz w:val="17"/>
              </w:rPr>
              <w:t>🏪 Channel Power Dynamics:Long Chau's sustained expansion (1,800+ outlets nationwide) is reshaping the manufacturer-retailer power balance. As Long Chau captures an increasing share of Davipharm's OTC revenue, the retailer gains leverage to demand higher trade discounts, extended payment terms, or exclusive SKU arrangements — creating significant channel dependency risk.📦 Shelf-Space &amp; Portfolio Positioning:Long Chau's "people-centric" strategy favors products with clear clinical value, competitive pricing, and strong brand recognition. Davipharm must proactively negotiate premium shelf positioning (eye-level, end-cap displays) for strategic product lines, particularly vitamins, OTC antibiotics, and premium generics.🤝 Strategic Recommendations:(1) Establish a Strategic Partnership Program with Long Chau, including pharmacist training support on</w:t>
            </w:r>
          </w:p>
        </w:tc>
      </w:tr>
    </w:tbl>
    <w:p>
      <w:pPr>
        <w:spacing w:before="40" w:after="120"/>
      </w:pPr>
    </w:p>
    <w:tbl>
      <w:tblPr>
        <w:tblStyle w:val="TableGrid"/>
        <w:tblW w:type="auto" w:w="0"/>
        <w:jc w:val="left"/>
        <w:tblLook w:firstColumn="1" w:firstRow="1" w:lastColumn="0" w:lastRow="0" w:noHBand="0" w:noVBand="1" w:val="04A0"/>
      </w:tblPr>
      <w:tblGrid>
        <w:gridCol w:w="4536"/>
        <w:gridCol w:w="4536"/>
      </w:tblGrid>
      <w:tr>
        <w:tc>
          <w:tcPr>
            <w:tcW w:type="dxa" w:w="1984"/>
            <w:shd w:val="clear" w:color="auto" w:fill="EEF2FF"/>
            <w:tcBorders>
              <w:top w:val="none" w:sz="6" w:color="auto"/>
              <w:bottom w:val="none" w:sz="6" w:color="auto"/>
              <w:left w:val="none" w:sz="6" w:color="auto"/>
              <w:right w:val="none" w:sz="6" w:color="auto"/>
            </w:tcBorders>
          </w:tcPr>
          <w:p>
            <w:pPr>
              <w:spacing w:before="80" w:after="80"/>
              <w:ind w:left="85"/>
            </w:pPr>
            <w:r>
              <w:rPr>
                <w:rFonts w:ascii="Calibri" w:hAnsi="Calibri"/>
                <w:b/>
                <w:i w:val="0"/>
                <w:color w:val="4338CA"/>
                <w:sz w:val="15"/>
              </w:rPr>
              <w:t>PHARMACITY</w:t>
            </w:r>
          </w:p>
        </w:tc>
        <w:tc>
          <w:tcPr>
            <w:tcW w:type="dxa" w:w="4536"/>
            <w:tcBorders>
              <w:top w:val="none" w:sz="6" w:color="auto"/>
              <w:bottom w:val="none" w:sz="6" w:color="auto"/>
              <w:left w:val="none" w:sz="6" w:color="auto"/>
              <w:right w:val="none" w:sz="6" w:color="auto"/>
            </w:tcBorders>
          </w:tcPr>
          <w:p>
            <w:pPr>
              <w:spacing w:before="60" w:after="60"/>
              <w:ind w:left="113"/>
            </w:pPr>
            <w:r>
              <w:rPr>
                <w:rFonts w:ascii="Calibri" w:hAnsi="Calibri"/>
                <w:b/>
                <w:i w:val="0"/>
                <w:color w:val="111827"/>
                <w:sz w:val="21"/>
              </w:rPr>
              <w:t>Pharmacity: Ambition to 'Connect the Healthcare Map' and Mission to Serve Vietnamese Health</w:t>
            </w:r>
          </w:p>
        </w:tc>
      </w:tr>
    </w:tbl>
    <w:p>
      <w:pPr>
        <w:spacing w:before="40" w:after="40"/>
        <w:ind w:left="170"/>
      </w:pPr>
      <w:r>
        <w:rPr>
          <w:rFonts w:ascii="Calibri" w:hAnsi="Calibri"/>
          <w:b w:val="0"/>
          <w:i/>
          <w:color w:val="6B7280"/>
          <w:sz w:val="18"/>
        </w:rPr>
        <w:t>Pharmacity continues to assert its vision of expanding its pharmacy chain network nationwide, targeting coverage across all provinces including remote areas, aiming to "connect Vietnam's healthcare map." The chain emphasizes a mission of comprehensive healthcare services — not just drug retail, but also patient consultation and ecosystem connectivity.[Source]</w:t>
      </w:r>
    </w:p>
    <w:p>
      <w:pPr>
        <w:spacing w:before="20" w:after="40"/>
        <w:ind w:left="170"/>
      </w:pPr>
      <w:r>
        <w:rPr>
          <w:rFonts w:ascii="Calibri" w:hAnsi="Calibri"/>
          <w:b/>
          <w:i w:val="0"/>
          <w:color w:val="166534"/>
          <w:sz w:val="17"/>
        </w:rPr>
        <w:t>⚡ Conditionally Positive — Major distribution channel expansion opportunity, but with dependency risk and shelf-space pressure</w:t>
      </w:r>
    </w:p>
    <w:tbl>
      <w:tblPr>
        <w:tblStyle w:val="TableGrid"/>
        <w:tblW w:type="auto" w:w="0"/>
        <w:tblLook w:firstColumn="1" w:firstRow="1" w:lastColumn="0" w:lastRow="0" w:noHBand="0" w:noVBand="1" w:val="04A0"/>
      </w:tblPr>
      <w:tblGrid>
        <w:gridCol w:w="9072"/>
      </w:tblGrid>
      <w:tr>
        <w:tc>
          <w:tcPr>
            <w:tcW w:type="dxa" w:w="9072"/>
            <w:shd w:val="clear" w:color="auto" w:fill="F8FAFC"/>
            <w:tcBorders>
              <w:top w:val="none" w:sz="6" w:color="auto"/>
              <w:bottom w:val="none" w:sz="6" w:color="auto"/>
              <w:left w:val="single" w:sz="12" w:color="003B71"/>
              <w:right w:val="none" w:sz="6" w:color="auto"/>
            </w:tcBorders>
          </w:tcPr>
          <w:p>
            <w:pPr>
              <w:spacing w:before="60" w:after="60"/>
              <w:ind w:left="142"/>
            </w:pPr>
            <w:r>
              <w:rPr>
                <w:rFonts w:ascii="Calibri" w:hAnsi="Calibri"/>
                <w:b/>
                <w:i w:val="0"/>
                <w:color w:val="003B71"/>
                <w:sz w:val="17"/>
              </w:rPr>
              <w:t xml:space="preserve">Strategy  </w:t>
            </w:r>
            <w:r>
              <w:rPr>
                <w:rFonts w:ascii="Calibri" w:hAnsi="Calibri"/>
                <w:b w:val="0"/>
                <w:i w:val="0"/>
                <w:color w:val="334155"/>
                <w:sz w:val="17"/>
              </w:rPr>
              <w:t>🏪 Channel Power:Pharmacity's network expansion means the chain increasingly controls access to OTC consumers, especially in underserved provinces. Davipharm must reassess dependency risk — high revenue concentration in this channel weakens negotiating leverage on pricing and terms.📦 Shelf-space &amp; Listing Fees:Pharmacity's growth ambitions typically come with higher listing fees, SKU ration</w:t>
            </w:r>
          </w:p>
        </w:tc>
      </w:tr>
    </w:tbl>
    <w:p>
      <w:pPr>
        <w:spacing w:before="40" w:after="120"/>
      </w:pPr>
    </w:p>
    <w:p>
      <w:r>
        <w:br w:type="page"/>
      </w:r>
    </w:p>
    <w:p>
      <w:pPr>
        <w:spacing w:before="320" w:after="120"/>
        <w:pBdr>
          <w:bottom w:val="single" w:sz="8" w:color="003B71"/>
        </w:pBdr>
      </w:pPr>
      <w:r>
        <w:rPr>
          <w:rFonts w:ascii="Calibri" w:hAnsi="Calibri"/>
          <w:b/>
          <w:i w:val="0"/>
          <w:color w:val="003B71"/>
          <w:sz w:val="22"/>
        </w:rPr>
        <w:t>COMPETITOR INTELLIGENCE</w:t>
      </w:r>
    </w:p>
    <w:tbl>
      <w:tblPr>
        <w:tblStyle w:val="TableGrid"/>
        <w:tblW w:type="auto" w:w="0"/>
        <w:jc w:val="left"/>
        <w:tblLook w:firstColumn="1" w:firstRow="1" w:lastColumn="0" w:lastRow="0" w:noHBand="0" w:noVBand="1" w:val="04A0"/>
      </w:tblPr>
      <w:tblGrid>
        <w:gridCol w:w="4536"/>
        <w:gridCol w:w="4536"/>
      </w:tblGrid>
      <w:tr>
        <w:tc>
          <w:tcPr>
            <w:tcW w:type="dxa" w:w="1984"/>
            <w:shd w:val="clear" w:color="auto" w:fill="EEF2FF"/>
            <w:tcBorders>
              <w:top w:val="none" w:sz="6" w:color="auto"/>
              <w:bottom w:val="none" w:sz="6" w:color="auto"/>
              <w:left w:val="none" w:sz="6" w:color="auto"/>
              <w:right w:val="none" w:sz="6" w:color="auto"/>
            </w:tcBorders>
          </w:tcPr>
          <w:p>
            <w:pPr>
              <w:spacing w:before="80" w:after="80"/>
              <w:ind w:left="85"/>
            </w:pPr>
            <w:r>
              <w:rPr>
                <w:rFonts w:ascii="Calibri" w:hAnsi="Calibri"/>
                <w:b/>
                <w:i w:val="0"/>
                <w:color w:val="4338CA"/>
                <w:sz w:val="15"/>
              </w:rPr>
              <w:t>DHG PHARMA</w:t>
            </w:r>
          </w:p>
        </w:tc>
        <w:tc>
          <w:tcPr>
            <w:tcW w:type="dxa" w:w="4536"/>
            <w:tcBorders>
              <w:top w:val="none" w:sz="6" w:color="auto"/>
              <w:bottom w:val="none" w:sz="6" w:color="auto"/>
              <w:left w:val="none" w:sz="6" w:color="auto"/>
              <w:right w:val="none" w:sz="6" w:color="auto"/>
            </w:tcBorders>
          </w:tcPr>
          <w:p>
            <w:pPr>
              <w:spacing w:before="60" w:after="60"/>
              <w:ind w:left="113"/>
            </w:pPr>
            <w:r>
              <w:rPr>
                <w:rFonts w:ascii="Calibri" w:hAnsi="Calibri"/>
                <w:b/>
                <w:i w:val="0"/>
                <w:color w:val="111827"/>
                <w:sz w:val="21"/>
              </w:rPr>
              <w:t>DHG Pharma Pays Generous Dividends, Japanese Giant Taisho Consistently Pockets Hundreds of Billions VND</w:t>
            </w:r>
          </w:p>
        </w:tc>
      </w:tr>
    </w:tbl>
    <w:p>
      <w:pPr>
        <w:spacing w:before="40" w:after="40"/>
        <w:ind w:left="170"/>
      </w:pPr>
      <w:r>
        <w:rPr>
          <w:rFonts w:ascii="Calibri" w:hAnsi="Calibri"/>
          <w:b w:val="0"/>
          <w:i/>
          <w:color w:val="6B7280"/>
          <w:sz w:val="18"/>
        </w:rPr>
        <w:t>DHG Pharma (Dược Hậu Giang) continues its high dividend payout policy, allowing its major strategic shareholder — Japanese pharmaceutical giant Taisho — to consistently receive hundreds of billions of VND annually. This reflects DHG's strong financial foundation and stable profitability within Vietnam's pharmaceutical sector.[Source]</w:t>
      </w:r>
    </w:p>
    <w:p>
      <w:pPr>
        <w:spacing w:before="20" w:after="40"/>
        <w:ind w:left="170"/>
      </w:pPr>
      <w:r>
        <w:rPr>
          <w:rFonts w:ascii="Calibri" w:hAnsi="Calibri"/>
          <w:b/>
          <w:i w:val="0"/>
          <w:color w:val="991B1B"/>
          <w:sz w:val="17"/>
        </w:rPr>
        <w:t>⚠️ Challenging — Competitor backed by strong Japanese financial support, increasing long-term competitive pressure on Davipharm</w:t>
      </w:r>
    </w:p>
    <w:tbl>
      <w:tblPr>
        <w:tblStyle w:val="TableGrid"/>
        <w:tblW w:type="auto" w:w="0"/>
        <w:tblLook w:firstColumn="1" w:firstRow="1" w:lastColumn="0" w:lastRow="0" w:noHBand="0" w:noVBand="1" w:val="04A0"/>
      </w:tblPr>
      <w:tblGrid>
        <w:gridCol w:w="9072"/>
      </w:tblGrid>
      <w:tr>
        <w:tc>
          <w:tcPr>
            <w:tcW w:type="dxa" w:w="9072"/>
            <w:shd w:val="clear" w:color="auto" w:fill="F8FAFC"/>
            <w:tcBorders>
              <w:top w:val="none" w:sz="6" w:color="auto"/>
              <w:bottom w:val="none" w:sz="6" w:color="auto"/>
              <w:left w:val="single" w:sz="12" w:color="003B71"/>
              <w:right w:val="none" w:sz="6" w:color="auto"/>
            </w:tcBorders>
          </w:tcPr>
          <w:p>
            <w:pPr>
              <w:spacing w:before="60" w:after="60"/>
              <w:ind w:left="142"/>
            </w:pPr>
            <w:r>
              <w:rPr>
                <w:rFonts w:ascii="Calibri" w:hAnsi="Calibri"/>
                <w:b/>
                <w:i w:val="0"/>
                <w:color w:val="003B71"/>
                <w:sz w:val="17"/>
              </w:rPr>
              <w:t xml:space="preserve">Strategy  </w:t>
            </w:r>
            <w:r>
              <w:rPr>
                <w:rFonts w:ascii="Calibri" w:hAnsi="Calibri"/>
                <w:b w:val="0"/>
                <w:i w:val="0"/>
                <w:color w:val="334155"/>
                <w:sz w:val="17"/>
              </w:rPr>
              <w:t>🔴 Product Competition &amp; Competitor Financial Strength:DHG's sustained high dividend payouts, backed by Taisho's financial support, signal that this key competitor has ample resources to continuously invest in R&amp;D, GMP-standard manufacturing upgrades, and product portfolio expansion — particularly in OTC and premium generic segments that directly overlap with Davipharm's core business.🔴 Hospital Tendering (ETC Channel):With a solid financial base, DHG can afford to accept thinner margins in hospital tender bids to capture market share, placing significant pricing pressure on Davipharm in the ETC channel.🟡 Opportunity for Davipharm:DHG's focus on maintaining profitability for dividend distribution may make them more conservative in pursuing high-risk innovation or niche therapeutic segments. Davipharm should exploit this gap by accelerating product innovation, targeting specialized treatment segments underserved by DHG, and building sustainable</w:t>
            </w:r>
          </w:p>
        </w:tc>
      </w:tr>
    </w:tbl>
    <w:p>
      <w:pPr>
        <w:spacing w:before="40" w:after="120"/>
      </w:pPr>
    </w:p>
    <w:tbl>
      <w:tblPr>
        <w:tblStyle w:val="TableGrid"/>
        <w:tblW w:type="auto" w:w="0"/>
        <w:jc w:val="left"/>
        <w:tblLook w:firstColumn="1" w:firstRow="1" w:lastColumn="0" w:lastRow="0" w:noHBand="0" w:noVBand="1" w:val="04A0"/>
      </w:tblPr>
      <w:tblGrid>
        <w:gridCol w:w="4536"/>
        <w:gridCol w:w="4536"/>
      </w:tblGrid>
      <w:tr>
        <w:tc>
          <w:tcPr>
            <w:tcW w:type="dxa" w:w="1984"/>
            <w:shd w:val="clear" w:color="auto" w:fill="EEF2FF"/>
            <w:tcBorders>
              <w:top w:val="none" w:sz="6" w:color="auto"/>
              <w:bottom w:val="none" w:sz="6" w:color="auto"/>
              <w:left w:val="none" w:sz="6" w:color="auto"/>
              <w:right w:val="none" w:sz="6" w:color="auto"/>
            </w:tcBorders>
          </w:tcPr>
          <w:p>
            <w:pPr>
              <w:spacing w:before="80" w:after="80"/>
              <w:ind w:left="85"/>
            </w:pPr>
            <w:r>
              <w:rPr>
                <w:rFonts w:ascii="Calibri" w:hAnsi="Calibri"/>
                <w:b/>
                <w:i w:val="0"/>
                <w:color w:val="4338CA"/>
                <w:sz w:val="15"/>
              </w:rPr>
              <w:t>LONG CHÂU CHAIN</w:t>
            </w:r>
          </w:p>
        </w:tc>
        <w:tc>
          <w:tcPr>
            <w:tcW w:type="dxa" w:w="4536"/>
            <w:tcBorders>
              <w:top w:val="none" w:sz="6" w:color="auto"/>
              <w:bottom w:val="none" w:sz="6" w:color="auto"/>
              <w:left w:val="none" w:sz="6" w:color="auto"/>
              <w:right w:val="none" w:sz="6" w:color="auto"/>
            </w:tcBorders>
          </w:tcPr>
          <w:p>
            <w:pPr>
              <w:spacing w:before="60" w:after="60"/>
              <w:ind w:left="113"/>
            </w:pPr>
            <w:r>
              <w:rPr>
                <w:rFonts w:ascii="Calibri" w:hAnsi="Calibri"/>
                <w:b/>
                <w:i w:val="0"/>
                <w:color w:val="111827"/>
                <w:sz w:val="21"/>
              </w:rPr>
              <w:t>Long Châu Pharmacy Chain: Pioneering Digital Data Integration &amp; Breakthrough Healthcare Services</w:t>
            </w:r>
          </w:p>
        </w:tc>
      </w:tr>
    </w:tbl>
    <w:p>
      <w:pPr>
        <w:spacing w:before="40" w:after="40"/>
        <w:ind w:left="170"/>
      </w:pPr>
      <w:r>
        <w:rPr>
          <w:rFonts w:ascii="Calibri" w:hAnsi="Calibri"/>
          <w:b w:val="0"/>
          <w:i/>
          <w:color w:val="6B7280"/>
          <w:sz w:val="18"/>
        </w:rPr>
        <w:t>Long Châu pharmacy chain (FPT Retail) is aggressively leveraging digital data and technology across its operations, launching new healthcare services to enhance customer experience and reinforce its leading position in Vietnam's pharmaceutical retail market. The strategy encompasses personalized health consultations, digital patient record integration, and expansion of a comprehensive healthcare ecosystem.[Source]</w:t>
      </w:r>
    </w:p>
    <w:p>
      <w:pPr>
        <w:spacing w:before="20" w:after="40"/>
        <w:ind w:left="170"/>
      </w:pPr>
      <w:r>
        <w:rPr>
          <w:rFonts w:ascii="Calibri" w:hAnsi="Calibri"/>
          <w:b/>
          <w:i w:val="0"/>
          <w:color w:val="991B1B"/>
          <w:sz w:val="17"/>
        </w:rPr>
        <w:t>⚠️ High Competitive Pressure — Long Châu's digital acceleration intensifies bargaining power over generic pharma suppliers</w:t>
      </w:r>
    </w:p>
    <w:tbl>
      <w:tblPr>
        <w:tblStyle w:val="TableGrid"/>
        <w:tblW w:type="auto" w:w="0"/>
        <w:tblLook w:firstColumn="1" w:firstRow="1" w:lastColumn="0" w:lastRow="0" w:noHBand="0" w:noVBand="1" w:val="04A0"/>
      </w:tblPr>
      <w:tblGrid>
        <w:gridCol w:w="9072"/>
      </w:tblGrid>
      <w:tr>
        <w:tc>
          <w:tcPr>
            <w:tcW w:type="dxa" w:w="9072"/>
            <w:shd w:val="clear" w:color="auto" w:fill="F8FAFC"/>
            <w:tcBorders>
              <w:top w:val="none" w:sz="6" w:color="auto"/>
              <w:bottom w:val="none" w:sz="6" w:color="auto"/>
              <w:left w:val="single" w:sz="12" w:color="003B71"/>
              <w:right w:val="none" w:sz="6" w:color="auto"/>
            </w:tcBorders>
          </w:tcPr>
          <w:p>
            <w:pPr>
              <w:spacing w:before="60" w:after="60"/>
              <w:ind w:left="142"/>
            </w:pPr>
            <w:r>
              <w:rPr>
                <w:rFonts w:ascii="Calibri" w:hAnsi="Calibri"/>
                <w:b/>
                <w:i w:val="0"/>
                <w:color w:val="003B71"/>
                <w:sz w:val="17"/>
              </w:rPr>
              <w:t xml:space="preserve">Strategy  </w:t>
            </w:r>
            <w:r>
              <w:rPr>
                <w:rFonts w:ascii="Calibri" w:hAnsi="Calibri"/>
                <w:b w:val="0"/>
                <w:i w:val="0"/>
                <w:color w:val="334155"/>
                <w:sz w:val="17"/>
              </w:rPr>
              <w:t>Direct Threat:As Long Châu integrates digital data and personalized advisory, it will increasingly favor products with strong clinical evidence, recognized branding, or exclusive distribution agreements — disadvantaging Davipharm's generics lacking a clear brand strategy.Empagliflozin Risk:In the T2DM segment, Long Châu may prioritize originator brands (Jardiance) or generics with exclusive deals. Davipharm must negotiate priority placement on Long Châu's digital shelf and within its AI recommendation engine.Tadalafil &amp; Dapoxetine Opportunity:Long Châu's discreet digital men's health consultation services represent a golden channel. Davipharm should propose co-branding programs or integrated men's health packages embedding Tadalafil/Dapoxetine into Long Châu's digital customer journey.Strategic Action:Prioritize strategic supply agreements with Long Châu; invest in Real-World Evidence (RWE) for Empagliflozin to meet the evidence-based selection criteria of Long Châu</w:t>
            </w:r>
          </w:p>
        </w:tc>
      </w:tr>
    </w:tbl>
    <w:p>
      <w:pPr>
        <w:spacing w:before="40" w:after="120"/>
      </w:pPr>
    </w:p>
    <w:tbl>
      <w:tblPr>
        <w:tblStyle w:val="TableGrid"/>
        <w:tblW w:type="auto" w:w="0"/>
        <w:jc w:val="left"/>
        <w:tblLook w:firstColumn="1" w:firstRow="1" w:lastColumn="0" w:lastRow="0" w:noHBand="0" w:noVBand="1" w:val="04A0"/>
      </w:tblPr>
      <w:tblGrid>
        <w:gridCol w:w="4536"/>
        <w:gridCol w:w="4536"/>
      </w:tblGrid>
      <w:tr>
        <w:tc>
          <w:tcPr>
            <w:tcW w:type="dxa" w:w="1984"/>
            <w:shd w:val="clear" w:color="auto" w:fill="EEF2FF"/>
            <w:tcBorders>
              <w:top w:val="none" w:sz="6" w:color="auto"/>
              <w:bottom w:val="none" w:sz="6" w:color="auto"/>
              <w:left w:val="none" w:sz="6" w:color="auto"/>
              <w:right w:val="none" w:sz="6" w:color="auto"/>
            </w:tcBorders>
          </w:tcPr>
          <w:p>
            <w:pPr>
              <w:spacing w:before="80" w:after="80"/>
              <w:ind w:left="85"/>
            </w:pPr>
            <w:r>
              <w:rPr>
                <w:rFonts w:ascii="Calibri" w:hAnsi="Calibri"/>
                <w:b/>
                <w:i w:val="0"/>
                <w:color w:val="4338CA"/>
                <w:sz w:val="15"/>
              </w:rPr>
              <w:t>FPT RETAIL LONG CHÂU</w:t>
            </w:r>
          </w:p>
        </w:tc>
        <w:tc>
          <w:tcPr>
            <w:tcW w:type="dxa" w:w="4536"/>
            <w:tcBorders>
              <w:top w:val="none" w:sz="6" w:color="auto"/>
              <w:bottom w:val="none" w:sz="6" w:color="auto"/>
              <w:left w:val="none" w:sz="6" w:color="auto"/>
              <w:right w:val="none" w:sz="6" w:color="auto"/>
            </w:tcBorders>
          </w:tcPr>
          <w:p>
            <w:pPr>
              <w:spacing w:before="60" w:after="60"/>
              <w:ind w:left="113"/>
            </w:pPr>
            <w:r>
              <w:rPr>
                <w:rFonts w:ascii="Calibri" w:hAnsi="Calibri"/>
                <w:b/>
                <w:i w:val="0"/>
                <w:color w:val="111827"/>
                <w:sz w:val="21"/>
              </w:rPr>
              <w:t>FPT Retail Q1/2026 Profit Surges 73% — Long Châu Pharmacy Chain Drives Dominant Growth</w:t>
            </w:r>
          </w:p>
        </w:tc>
      </w:tr>
    </w:tbl>
    <w:p>
      <w:pPr>
        <w:spacing w:before="40" w:after="40"/>
        <w:ind w:left="170"/>
      </w:pPr>
      <w:r>
        <w:rPr>
          <w:rFonts w:ascii="Calibri" w:hAnsi="Calibri"/>
          <w:b w:val="0"/>
          <w:i/>
          <w:color w:val="6B7280"/>
          <w:sz w:val="18"/>
        </w:rPr>
        <w:t>FPT Retail reported a 73% year-on-year net profit increase in Q1/2026, primarily driven by the Long Châu pharmacy chain's aggressive network expansion, higher prescription and OTC drug revenues, and improved gross margins through direct manufacturer negotiations and optimized product portfolio management.[Source]</w:t>
      </w:r>
    </w:p>
    <w:p>
      <w:pPr>
        <w:spacing w:before="20" w:after="40"/>
        <w:ind w:left="170"/>
      </w:pPr>
      <w:r>
        <w:rPr>
          <w:rFonts w:ascii="Calibri" w:hAnsi="Calibri"/>
          <w:b/>
          <w:i w:val="0"/>
          <w:color w:val="991B1B"/>
          <w:sz w:val="17"/>
        </w:rPr>
        <w:t>⚠️ Negative Impact — Long Châu's accelerating growth intensifies retail pharmacy channel competition, directly pressuring Davipharm's shelf presence and pricing power</w:t>
      </w:r>
    </w:p>
    <w:tbl>
      <w:tblPr>
        <w:tblStyle w:val="TableGrid"/>
        <w:tblW w:type="auto" w:w="0"/>
        <w:tblLook w:firstColumn="1" w:firstRow="1" w:lastColumn="0" w:lastRow="0" w:noHBand="0" w:noVBand="1" w:val="04A0"/>
      </w:tblPr>
      <w:tblGrid>
        <w:gridCol w:w="9072"/>
      </w:tblGrid>
      <w:tr>
        <w:tc>
          <w:tcPr>
            <w:tcW w:type="dxa" w:w="9072"/>
            <w:shd w:val="clear" w:color="auto" w:fill="F8FAFC"/>
            <w:tcBorders>
              <w:top w:val="none" w:sz="6" w:color="auto"/>
              <w:bottom w:val="none" w:sz="6" w:color="auto"/>
              <w:left w:val="single" w:sz="12" w:color="003B71"/>
              <w:right w:val="none" w:sz="6" w:color="auto"/>
            </w:tcBorders>
          </w:tcPr>
          <w:p>
            <w:pPr>
              <w:spacing w:before="60" w:after="60"/>
              <w:ind w:left="142"/>
            </w:pPr>
            <w:r>
              <w:rPr>
                <w:rFonts w:ascii="Calibri" w:hAnsi="Calibri"/>
                <w:b/>
                <w:i w:val="0"/>
                <w:color w:val="003B71"/>
                <w:sz w:val="17"/>
              </w:rPr>
              <w:t xml:space="preserve">Strategy  </w:t>
            </w:r>
            <w:r>
              <w:rPr>
                <w:rFonts w:ascii="Calibri" w:hAnsi="Calibri"/>
                <w:b w:val="0"/>
                <w:i w:val="0"/>
                <w:color w:val="334155"/>
                <w:sz w:val="17"/>
              </w:rPr>
              <w:t>Direct Threat:Long Châu's 73% profit growth and 3,000+ outlet network significantly strengthens its bargaining power over manufacturers, creating downward pressure on Davipharm's wholesale pricing and payment terms. ForEmpagliflozin— a high-growth diabetes segment — Long Châu may prioritize lower-cost international generics unless Davipharm maintains competitive pricing and margin-sharing policies.Strategic Opportunity:Long Châu's rapid expansion creates strong demand for reliable domestic supply, particularly for sensitive, high-margin products likeTadalafilandDapoxetine, where Long Châu needs trusted local manufacturing partners for quality assurance and regulatory compliance. Davipharm should proactively negotiate preferred or exclusive supply agreements for these SKUs, bundled with pharmacist training programs.Recommended Actions:(1) Develop a differentiated value proposition for the Long Châu channel featuring Empagliflozin + medication adherence support bundles; (2)</w:t>
            </w:r>
          </w:p>
        </w:tc>
      </w:tr>
    </w:tbl>
    <w:p>
      <w:pPr>
        <w:spacing w:before="40" w:after="120"/>
      </w:pPr>
    </w:p>
    <w:p>
      <w:r>
        <w:br w:type="page"/>
      </w:r>
    </w:p>
    <w:p>
      <w:pPr>
        <w:spacing w:before="320" w:after="120"/>
        <w:pBdr>
          <w:bottom w:val="single" w:sz="8" w:color="003B71"/>
        </w:pBdr>
      </w:pPr>
      <w:r>
        <w:rPr>
          <w:rFonts w:ascii="Calibri" w:hAnsi="Calibri"/>
          <w:b/>
          <w:i w:val="0"/>
          <w:color w:val="003B71"/>
          <w:sz w:val="22"/>
        </w:rPr>
        <w:t>PRODUCT PORTFOLIO</w:t>
      </w:r>
    </w:p>
    <w:tbl>
      <w:tblPr>
        <w:tblStyle w:val="TableGrid"/>
        <w:tblW w:type="auto" w:w="0"/>
        <w:jc w:val="left"/>
        <w:tblLook w:firstColumn="1" w:firstRow="1" w:lastColumn="0" w:lastRow="0" w:noHBand="0" w:noVBand="1" w:val="04A0"/>
      </w:tblPr>
      <w:tblGrid>
        <w:gridCol w:w="1814"/>
        <w:gridCol w:w="1814"/>
        <w:gridCol w:w="1814"/>
        <w:gridCol w:w="1814"/>
        <w:gridCol w:w="1814"/>
      </w:tblGrid>
      <w:tr>
        <w:tc>
          <w:tcPr>
            <w:tcW w:type="dxa" w:w="1701"/>
            <w:shd w:val="clear" w:color="auto" w:fill="003B71"/>
          </w:tcPr>
          <w:p>
            <w:pPr>
              <w:spacing w:before="80" w:after="80"/>
              <w:ind w:left="85"/>
            </w:pPr>
            <w:r>
              <w:rPr>
                <w:rFonts w:ascii="Calibri" w:hAnsi="Calibri"/>
                <w:b/>
                <w:i w:val="0"/>
                <w:color w:val="FFFFFF"/>
                <w:sz w:val="17"/>
              </w:rPr>
              <w:t>Product</w:t>
            </w:r>
          </w:p>
        </w:tc>
        <w:tc>
          <w:tcPr>
            <w:tcW w:type="dxa" w:w="2381"/>
            <w:shd w:val="clear" w:color="auto" w:fill="003B71"/>
          </w:tcPr>
          <w:p>
            <w:pPr>
              <w:spacing w:before="80" w:after="80"/>
              <w:ind w:left="85"/>
            </w:pPr>
            <w:r>
              <w:rPr>
                <w:rFonts w:ascii="Calibri" w:hAnsi="Calibri"/>
                <w:b/>
                <w:i w:val="0"/>
                <w:color w:val="FFFFFF"/>
                <w:sz w:val="17"/>
              </w:rPr>
              <w:t>Active · Indication</w:t>
            </w:r>
          </w:p>
        </w:tc>
        <w:tc>
          <w:tcPr>
            <w:tcW w:type="dxa" w:w="1134"/>
            <w:shd w:val="clear" w:color="auto" w:fill="003B71"/>
          </w:tcPr>
          <w:p>
            <w:pPr>
              <w:spacing w:before="80" w:after="80"/>
              <w:ind w:left="85"/>
            </w:pPr>
            <w:r>
              <w:rPr>
                <w:rFonts w:ascii="Calibri" w:hAnsi="Calibri"/>
                <w:b/>
                <w:i w:val="0"/>
                <w:color w:val="FFFFFF"/>
                <w:sz w:val="17"/>
              </w:rPr>
              <w:t>Price</w:t>
            </w:r>
          </w:p>
        </w:tc>
        <w:tc>
          <w:tcPr>
            <w:tcW w:type="dxa" w:w="1247"/>
            <w:shd w:val="clear" w:color="auto" w:fill="003B71"/>
          </w:tcPr>
          <w:p>
            <w:pPr>
              <w:spacing w:before="80" w:after="80"/>
              <w:ind w:left="85"/>
            </w:pPr>
            <w:r>
              <w:rPr>
                <w:rFonts w:ascii="Calibri" w:hAnsi="Calibri"/>
                <w:b/>
                <w:i w:val="0"/>
                <w:color w:val="FFFFFF"/>
                <w:sz w:val="17"/>
              </w:rPr>
              <w:t>Status</w:t>
            </w:r>
          </w:p>
        </w:tc>
        <w:tc>
          <w:tcPr>
            <w:tcW w:type="dxa" w:w="2608"/>
            <w:shd w:val="clear" w:color="auto" w:fill="003B71"/>
          </w:tcPr>
          <w:p>
            <w:pPr>
              <w:spacing w:before="80" w:after="80"/>
              <w:ind w:left="85"/>
            </w:pPr>
            <w:r>
              <w:rPr>
                <w:rFonts w:ascii="Calibri" w:hAnsi="Calibri"/>
                <w:b/>
                <w:i w:val="0"/>
                <w:color w:val="FFFFFF"/>
                <w:sz w:val="17"/>
              </w:rPr>
              <w:t>Strategic Note</w:t>
            </w:r>
          </w:p>
        </w:tc>
      </w:tr>
      <w:tr>
        <w:tc>
          <w:tcPr>
            <w:tcW w:type="dxa" w:w="1701"/>
          </w:tcPr>
          <w:p>
            <w:pPr>
              <w:spacing w:before="60" w:after="60"/>
              <w:ind w:left="85"/>
            </w:pPr>
            <w:r>
              <w:rPr>
                <w:rFonts w:ascii="Calibri" w:hAnsi="Calibri"/>
                <w:b/>
                <w:i w:val="0"/>
                <w:color w:val="003B71"/>
                <w:sz w:val="17"/>
              </w:rPr>
              <w:t>Empagliflozin</w:t>
            </w:r>
          </w:p>
        </w:tc>
        <w:tc>
          <w:tcPr>
            <w:tcW w:type="dxa" w:w="2381"/>
          </w:tcPr>
          <w:p>
            <w:pPr>
              <w:spacing w:before="60" w:after="60"/>
              <w:ind w:left="85"/>
            </w:pPr>
            <w:r>
              <w:rPr>
                <w:rFonts w:ascii="Calibri" w:hAnsi="Calibri"/>
                <w:b w:val="0"/>
                <w:i w:val="0"/>
                <w:color w:val="374151"/>
                <w:sz w:val="17"/>
              </w:rPr>
              <w:t>Tiểu đường / Suy tim</w:t>
            </w:r>
          </w:p>
        </w:tc>
        <w:tc>
          <w:tcPr>
            <w:tcW w:type="dxa" w:w="1134"/>
          </w:tcPr>
          <w:p>
            <w:pPr>
              <w:spacing w:before="60" w:after="60"/>
              <w:ind w:left="85"/>
            </w:pPr>
            <w:r>
              <w:rPr>
                <w:rFonts w:ascii="Calibri" w:hAnsi="Calibri"/>
                <w:b w:val="0"/>
                <w:i w:val="0"/>
                <w:color w:val="374151"/>
                <w:sz w:val="17"/>
              </w:rPr>
              <w:t>Cơ hội cao</w:t>
            </w:r>
          </w:p>
        </w:tc>
        <w:tc>
          <w:tcPr>
            <w:tcW w:type="dxa" w:w="1247"/>
            <w:shd w:val="clear" w:color="auto" w:fill="EFF6FF"/>
          </w:tcPr>
          <w:p>
            <w:pPr>
              <w:spacing w:before="60" w:after="60"/>
              <w:ind w:left="85"/>
            </w:pPr>
            <w:r>
              <w:rPr>
                <w:rFonts w:ascii="Calibri" w:hAnsi="Calibri"/>
                <w:b/>
                <w:i w:val="0"/>
                <w:color w:val="0056D2"/>
                <w:sz w:val="17"/>
              </w:rPr>
              <w:t>Ưu tiên thầu Nhóm 1</w:t>
            </w:r>
          </w:p>
        </w:tc>
        <w:tc>
          <w:tcPr>
            <w:tcW w:type="dxa" w:w="2608"/>
          </w:tcPr>
          <w:p>
            <w:pPr>
              <w:spacing w:before="60" w:after="60"/>
              <w:ind w:left="85"/>
            </w:pPr>
            <w:r>
              <w:rPr>
                <w:rFonts w:ascii="Calibri" w:hAnsi="Calibri"/>
                <w:b w:val="0"/>
                <w:i w:val="0"/>
                <w:color w:val="374151"/>
                <w:sz w:val="17"/>
              </w:rPr>
            </w:r>
          </w:p>
        </w:tc>
      </w:tr>
      <w:tr>
        <w:tc>
          <w:tcPr>
            <w:tcW w:type="dxa" w:w="1701"/>
          </w:tcPr>
          <w:p>
            <w:pPr>
              <w:spacing w:before="60" w:after="60"/>
              <w:ind w:left="85"/>
            </w:pPr>
            <w:r>
              <w:rPr>
                <w:rFonts w:ascii="Calibri" w:hAnsi="Calibri"/>
                <w:b/>
                <w:i w:val="0"/>
                <w:color w:val="003B71"/>
                <w:sz w:val="17"/>
              </w:rPr>
              <w:t>Tadalafil</w:t>
            </w:r>
          </w:p>
        </w:tc>
        <w:tc>
          <w:tcPr>
            <w:tcW w:type="dxa" w:w="2381"/>
          </w:tcPr>
          <w:p>
            <w:pPr>
              <w:spacing w:before="60" w:after="60"/>
              <w:ind w:left="85"/>
            </w:pPr>
            <w:r>
              <w:rPr>
                <w:rFonts w:ascii="Calibri" w:hAnsi="Calibri"/>
                <w:b w:val="0"/>
                <w:i w:val="0"/>
                <w:color w:val="374151"/>
                <w:sz w:val="17"/>
              </w:rPr>
              <w:t>Nam khoa</w:t>
            </w:r>
          </w:p>
        </w:tc>
        <w:tc>
          <w:tcPr>
            <w:tcW w:type="dxa" w:w="1134"/>
          </w:tcPr>
          <w:p>
            <w:pPr>
              <w:spacing w:before="60" w:after="60"/>
              <w:ind w:left="85"/>
            </w:pPr>
            <w:r>
              <w:rPr>
                <w:rFonts w:ascii="Calibri" w:hAnsi="Calibri"/>
                <w:b w:val="0"/>
                <w:i w:val="0"/>
                <w:color w:val="374151"/>
                <w:sz w:val="17"/>
              </w:rPr>
              <w:t>Cạnh tranh</w:t>
            </w:r>
          </w:p>
        </w:tc>
        <w:tc>
          <w:tcPr>
            <w:tcW w:type="dxa" w:w="1247"/>
            <w:shd w:val="clear" w:color="auto" w:fill="EFF6FF"/>
          </w:tcPr>
          <w:p>
            <w:pPr>
              <w:spacing w:before="60" w:after="60"/>
              <w:ind w:left="85"/>
            </w:pPr>
            <w:r>
              <w:rPr>
                <w:rFonts w:ascii="Calibri" w:hAnsi="Calibri"/>
                <w:b/>
                <w:i w:val="0"/>
                <w:color w:val="0056D2"/>
                <w:sz w:val="17"/>
              </w:rPr>
              <w:t>Theo dõi giá Sun Pharma</w:t>
            </w:r>
          </w:p>
        </w:tc>
        <w:tc>
          <w:tcPr>
            <w:tcW w:type="dxa" w:w="2608"/>
          </w:tcPr>
          <w:p>
            <w:pPr>
              <w:spacing w:before="60" w:after="60"/>
              <w:ind w:left="85"/>
            </w:pPr>
            <w:r>
              <w:rPr>
                <w:rFonts w:ascii="Calibri" w:hAnsi="Calibri"/>
                <w:b w:val="0"/>
                <w:i w:val="0"/>
                <w:color w:val="374151"/>
                <w:sz w:val="17"/>
              </w:rPr>
            </w:r>
          </w:p>
        </w:tc>
      </w:tr>
      <w:tr>
        <w:tc>
          <w:tcPr>
            <w:tcW w:type="dxa" w:w="1701"/>
          </w:tcPr>
          <w:p>
            <w:pPr>
              <w:spacing w:before="60" w:after="60"/>
              <w:ind w:left="85"/>
            </w:pPr>
            <w:r>
              <w:rPr>
                <w:rFonts w:ascii="Calibri" w:hAnsi="Calibri"/>
                <w:b/>
                <w:i w:val="0"/>
                <w:color w:val="003B71"/>
                <w:sz w:val="17"/>
              </w:rPr>
              <w:t>Dapoxetine</w:t>
            </w:r>
          </w:p>
        </w:tc>
        <w:tc>
          <w:tcPr>
            <w:tcW w:type="dxa" w:w="2381"/>
          </w:tcPr>
          <w:p>
            <w:pPr>
              <w:spacing w:before="60" w:after="60"/>
              <w:ind w:left="85"/>
            </w:pPr>
            <w:r>
              <w:rPr>
                <w:rFonts w:ascii="Calibri" w:hAnsi="Calibri"/>
                <w:b w:val="0"/>
                <w:i w:val="0"/>
                <w:color w:val="374151"/>
                <w:sz w:val="17"/>
              </w:rPr>
              <w:t>Nam khoa</w:t>
            </w:r>
          </w:p>
        </w:tc>
        <w:tc>
          <w:tcPr>
            <w:tcW w:type="dxa" w:w="1134"/>
          </w:tcPr>
          <w:p>
            <w:pPr>
              <w:spacing w:before="60" w:after="60"/>
              <w:ind w:left="85"/>
            </w:pPr>
            <w:r>
              <w:rPr>
                <w:rFonts w:ascii="Calibri" w:hAnsi="Calibri"/>
                <w:b w:val="0"/>
                <w:i w:val="0"/>
                <w:color w:val="374151"/>
                <w:sz w:val="17"/>
              </w:rPr>
              <w:t>Ổn  VNDịnh</w:t>
            </w:r>
          </w:p>
        </w:tc>
        <w:tc>
          <w:tcPr>
            <w:tcW w:type="dxa" w:w="1247"/>
            <w:shd w:val="clear" w:color="auto" w:fill="EFF6FF"/>
          </w:tcPr>
          <w:p>
            <w:pPr>
              <w:spacing w:before="60" w:after="60"/>
              <w:ind w:left="85"/>
            </w:pPr>
            <w:r>
              <w:rPr>
                <w:rFonts w:ascii="Calibri" w:hAnsi="Calibri"/>
                <w:b/>
                <w:i w:val="0"/>
                <w:color w:val="0056D2"/>
                <w:sz w:val="17"/>
              </w:rPr>
              <w:t>Kiểm tra Long Châu listing</w:t>
            </w:r>
          </w:p>
        </w:tc>
        <w:tc>
          <w:tcPr>
            <w:tcW w:type="dxa" w:w="2608"/>
          </w:tcPr>
          <w:p>
            <w:pPr>
              <w:spacing w:before="60" w:after="60"/>
              <w:ind w:left="85"/>
            </w:pPr>
            <w:r>
              <w:rPr>
                <w:rFonts w:ascii="Calibri" w:hAnsi="Calibri"/>
                <w:b w:val="0"/>
                <w:i w:val="0"/>
                <w:color w:val="374151"/>
                <w:sz w:val="17"/>
              </w:rPr>
            </w:r>
          </w:p>
        </w:tc>
      </w:tr>
      <w:tr>
        <w:tc>
          <w:tcPr>
            <w:tcW w:type="dxa" w:w="1701"/>
          </w:tcPr>
          <w:p>
            <w:pPr>
              <w:spacing w:before="60" w:after="60"/>
              <w:ind w:left="85"/>
            </w:pPr>
            <w:r>
              <w:rPr>
                <w:rFonts w:ascii="Calibri" w:hAnsi="Calibri"/>
                <w:b/>
                <w:i w:val="0"/>
                <w:color w:val="003B71"/>
                <w:sz w:val="17"/>
              </w:rPr>
              <w:t>Cytisine</w:t>
            </w:r>
          </w:p>
        </w:tc>
        <w:tc>
          <w:tcPr>
            <w:tcW w:type="dxa" w:w="2381"/>
          </w:tcPr>
          <w:p>
            <w:pPr>
              <w:spacing w:before="60" w:after="60"/>
              <w:ind w:left="85"/>
            </w:pPr>
            <w:r>
              <w:rPr>
                <w:rFonts w:ascii="Calibri" w:hAnsi="Calibri"/>
                <w:b w:val="0"/>
                <w:i w:val="0"/>
                <w:color w:val="374151"/>
                <w:sz w:val="17"/>
              </w:rPr>
              <w:t>Cai thuốc lá</w:t>
            </w:r>
          </w:p>
        </w:tc>
        <w:tc>
          <w:tcPr>
            <w:tcW w:type="dxa" w:w="1134"/>
          </w:tcPr>
          <w:p>
            <w:pPr>
              <w:spacing w:before="60" w:after="60"/>
              <w:ind w:left="85"/>
            </w:pPr>
            <w:r>
              <w:rPr>
                <w:rFonts w:ascii="Calibri" w:hAnsi="Calibri"/>
                <w:b w:val="0"/>
                <w:i w:val="0"/>
                <w:color w:val="374151"/>
                <w:sz w:val="17"/>
              </w:rPr>
              <w:t>Pre-launch</w:t>
            </w:r>
          </w:p>
        </w:tc>
        <w:tc>
          <w:tcPr>
            <w:tcW w:type="dxa" w:w="1247"/>
            <w:shd w:val="clear" w:color="auto" w:fill="EFF6FF"/>
          </w:tcPr>
          <w:p>
            <w:pPr>
              <w:spacing w:before="60" w:after="60"/>
              <w:ind w:left="85"/>
            </w:pPr>
            <w:r>
              <w:rPr>
                <w:rFonts w:ascii="Calibri" w:hAnsi="Calibri"/>
                <w:b/>
                <w:i w:val="0"/>
                <w:color w:val="0056D2"/>
                <w:sz w:val="17"/>
              </w:rPr>
              <w:t>Q4/2026 – Cơ hội vàng</w:t>
            </w:r>
          </w:p>
        </w:tc>
        <w:tc>
          <w:tcPr>
            <w:tcW w:type="dxa" w:w="2608"/>
          </w:tcPr>
          <w:p>
            <w:pPr>
              <w:spacing w:before="60" w:after="60"/>
              <w:ind w:left="85"/>
            </w:pPr>
            <w:r>
              <w:rPr>
                <w:rFonts w:ascii="Calibri" w:hAnsi="Calibri"/>
                <w:b w:val="0"/>
                <w:i w:val="0"/>
                <w:color w:val="374151"/>
                <w:sz w:val="17"/>
              </w:rPr>
            </w:r>
          </w:p>
        </w:tc>
      </w:tr>
      <w:tr>
        <w:tc>
          <w:tcPr>
            <w:tcW w:type="dxa" w:w="1701"/>
          </w:tcPr>
          <w:p>
            <w:pPr>
              <w:spacing w:before="60" w:after="60"/>
              <w:ind w:left="85"/>
            </w:pPr>
            <w:r>
              <w:rPr>
                <w:rFonts w:ascii="Calibri" w:hAnsi="Calibri"/>
                <w:b/>
                <w:i w:val="0"/>
                <w:color w:val="003B71"/>
                <w:sz w:val="17"/>
              </w:rPr>
              <w:t>Metilone</w:t>
            </w:r>
          </w:p>
        </w:tc>
        <w:tc>
          <w:tcPr>
            <w:tcW w:type="dxa" w:w="2381"/>
          </w:tcPr>
          <w:p>
            <w:pPr>
              <w:spacing w:before="60" w:after="60"/>
              <w:ind w:left="85"/>
            </w:pPr>
            <w:r>
              <w:rPr>
                <w:rFonts w:ascii="Calibri" w:hAnsi="Calibri"/>
                <w:b w:val="0"/>
                <w:i w:val="0"/>
                <w:color w:val="374151"/>
                <w:sz w:val="17"/>
              </w:rPr>
              <w:t>Kháng viêm</w:t>
            </w:r>
          </w:p>
        </w:tc>
        <w:tc>
          <w:tcPr>
            <w:tcW w:type="dxa" w:w="1134"/>
          </w:tcPr>
          <w:p>
            <w:pPr>
              <w:spacing w:before="60" w:after="60"/>
              <w:ind w:left="85"/>
            </w:pPr>
            <w:r>
              <w:rPr>
                <w:rFonts w:ascii="Calibri" w:hAnsi="Calibri"/>
                <w:b w:val="0"/>
                <w:i w:val="0"/>
                <w:color w:val="374151"/>
                <w:sz w:val="17"/>
              </w:rPr>
              <w:t>Ổn  VNDịnh</w:t>
            </w:r>
          </w:p>
        </w:tc>
        <w:tc>
          <w:tcPr>
            <w:tcW w:type="dxa" w:w="1247"/>
            <w:shd w:val="clear" w:color="auto" w:fill="EFF6FF"/>
          </w:tcPr>
          <w:p>
            <w:pPr>
              <w:spacing w:before="60" w:after="60"/>
              <w:ind w:left="85"/>
            </w:pPr>
            <w:r>
              <w:rPr>
                <w:rFonts w:ascii="Calibri" w:hAnsi="Calibri"/>
                <w:b/>
                <w:i w:val="0"/>
                <w:color w:val="0056D2"/>
                <w:sz w:val="17"/>
              </w:rPr>
              <w:t>Duy trì kênh ETC</w:t>
            </w:r>
          </w:p>
        </w:tc>
        <w:tc>
          <w:tcPr>
            <w:tcW w:type="dxa" w:w="2608"/>
          </w:tcPr>
          <w:p>
            <w:pPr>
              <w:spacing w:before="60" w:after="60"/>
              <w:ind w:left="85"/>
            </w:pPr>
            <w:r>
              <w:rPr>
                <w:rFonts w:ascii="Calibri" w:hAnsi="Calibri"/>
                <w:b w:val="0"/>
                <w:i w:val="0"/>
                <w:color w:val="374151"/>
                <w:sz w:val="17"/>
              </w:rPr>
            </w:r>
          </w:p>
        </w:tc>
      </w:tr>
    </w:tbl>
    <w:p>
      <w:pPr>
        <w:spacing w:after="200"/>
      </w:pPr>
    </w:p>
    <w:p>
      <w:pPr>
        <w:spacing w:before="320" w:after="120"/>
        <w:pBdr>
          <w:bottom w:val="single" w:sz="8" w:color="003B71"/>
        </w:pBdr>
      </w:pPr>
      <w:r>
        <w:rPr>
          <w:rFonts w:ascii="Calibri" w:hAnsi="Calibri"/>
          <w:b/>
          <w:i w:val="0"/>
          <w:color w:val="003B71"/>
          <w:sz w:val="22"/>
        </w:rPr>
        <w:t>TOP 5 MOST SEARCHED PRODUCTS — DAVIPHARM.INFO</w:t>
      </w:r>
    </w:p>
    <w:p>
      <w:pPr>
        <w:spacing w:before="40" w:after="60"/>
      </w:pPr>
      <w:r>
        <w:rPr>
          <w:rFonts w:ascii="Calibri" w:hAnsi="Calibri"/>
          <w:b w:val="0"/>
          <w:i/>
          <w:color w:val="9CA3AF"/>
          <w:sz w:val="17"/>
        </w:rPr>
        <w:t>Google Search Console  ·  Last 30 days  ·  Data: 11/05/2026</w:t>
      </w:r>
    </w:p>
    <w:p>
      <w:pPr>
        <w:spacing w:before="120" w:after="120"/>
        <w:jc w:val="center"/>
      </w:pPr>
      <w:r>
        <w:drawing>
          <wp:inline xmlns:a="http://schemas.openxmlformats.org/drawingml/2006/main" xmlns:pic="http://schemas.openxmlformats.org/drawingml/2006/picture">
            <wp:extent cx="5580000" cy="2444219"/>
            <wp:docPr id="2" name="Picture 2"/>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580000" cy="2444219"/>
                    </a:xfrm>
                    <a:prstGeom prst="rect"/>
                  </pic:spPr>
                </pic:pic>
              </a:graphicData>
            </a:graphic>
          </wp:inline>
        </w:drawing>
      </w:r>
    </w:p>
    <w:p>
      <w:r>
        <w:br w:type="page"/>
      </w:r>
    </w:p>
    <w:p>
      <w:pPr>
        <w:spacing w:before="320" w:after="120"/>
        <w:pBdr>
          <w:bottom w:val="single" w:sz="8" w:color="003B71"/>
        </w:pBdr>
      </w:pPr>
      <w:r>
        <w:rPr>
          <w:rFonts w:ascii="Calibri" w:hAnsi="Calibri"/>
          <w:b/>
          <w:i w:val="0"/>
          <w:color w:val="003B71"/>
          <w:sz w:val="22"/>
        </w:rPr>
        <w:t>ACTION RECOMMENDATIONS</w:t>
      </w:r>
    </w:p>
    <w:tbl>
      <w:tblPr>
        <w:tblStyle w:val="TableGrid"/>
        <w:tblW w:type="auto" w:w="0"/>
        <w:jc w:val="left"/>
        <w:tblLook w:firstColumn="1" w:firstRow="1" w:lastColumn="0" w:lastRow="0" w:noHBand="0" w:noVBand="1" w:val="04A0"/>
      </w:tblPr>
      <w:tblGrid>
        <w:gridCol w:w="1814"/>
        <w:gridCol w:w="1814"/>
        <w:gridCol w:w="1814"/>
        <w:gridCol w:w="1814"/>
        <w:gridCol w:w="1814"/>
      </w:tblGrid>
      <w:tr>
        <w:tc>
          <w:tcPr>
            <w:tcW w:type="dxa" w:w="454"/>
            <w:shd w:val="clear" w:color="auto" w:fill="003B71"/>
            <w:tcBorders>
              <w:top w:val="none" w:sz="6" w:color="auto"/>
              <w:bottom w:val="none" w:sz="6" w:color="auto"/>
              <w:left w:val="none" w:sz="6" w:color="auto"/>
              <w:right w:val="none" w:sz="6" w:color="auto"/>
            </w:tcBorders>
          </w:tcPr>
          <w:p>
            <w:pPr>
              <w:spacing w:before="80" w:after="80"/>
              <w:ind w:left="0"/>
              <w:jc w:val="center"/>
            </w:pPr>
          </w:p>
        </w:tc>
        <w:tc>
          <w:tcPr>
            <w:tcW w:type="dxa" w:w="4422"/>
            <w:shd w:val="clear" w:color="auto" w:fill="003B71"/>
            <w:tcBorders>
              <w:top w:val="none" w:sz="6" w:color="auto"/>
              <w:bottom w:val="none" w:sz="6" w:color="auto"/>
              <w:left w:val="none" w:sz="6" w:color="auto"/>
              <w:right w:val="none" w:sz="6" w:color="auto"/>
            </w:tcBorders>
          </w:tcPr>
          <w:p>
            <w:pPr>
              <w:spacing w:before="80" w:after="80"/>
              <w:ind w:left="85"/>
              <w:jc w:val="left"/>
            </w:pPr>
            <w:r>
              <w:rPr>
                <w:rFonts w:ascii="Calibri" w:hAnsi="Calibri"/>
                <w:b/>
                <w:i w:val="0"/>
                <w:color w:val="FFFFFF"/>
                <w:sz w:val="17"/>
              </w:rPr>
              <w:t>Strategic Action</w:t>
            </w:r>
          </w:p>
        </w:tc>
        <w:tc>
          <w:tcPr>
            <w:tcW w:type="dxa" w:w="1417"/>
            <w:shd w:val="clear" w:color="auto" w:fill="003B71"/>
            <w:tcBorders>
              <w:top w:val="none" w:sz="6" w:color="auto"/>
              <w:bottom w:val="none" w:sz="6" w:color="auto"/>
              <w:left w:val="none" w:sz="6" w:color="auto"/>
              <w:right w:val="none" w:sz="6" w:color="auto"/>
            </w:tcBorders>
          </w:tcPr>
          <w:p>
            <w:pPr>
              <w:spacing w:before="80" w:after="80"/>
              <w:ind w:left="0"/>
              <w:jc w:val="center"/>
            </w:pPr>
            <w:r>
              <w:rPr>
                <w:rFonts w:ascii="Calibri" w:hAnsi="Calibri"/>
                <w:b/>
                <w:i w:val="0"/>
                <w:color w:val="FFFFFF"/>
                <w:sz w:val="17"/>
              </w:rPr>
              <w:t>Team</w:t>
            </w:r>
          </w:p>
        </w:tc>
        <w:tc>
          <w:tcPr>
            <w:tcW w:type="dxa" w:w="1134"/>
            <w:shd w:val="clear" w:color="auto" w:fill="003B71"/>
            <w:tcBorders>
              <w:top w:val="none" w:sz="6" w:color="auto"/>
              <w:bottom w:val="none" w:sz="6" w:color="auto"/>
              <w:left w:val="none" w:sz="6" w:color="auto"/>
              <w:right w:val="none" w:sz="6" w:color="auto"/>
            </w:tcBorders>
          </w:tcPr>
          <w:p>
            <w:pPr>
              <w:spacing w:before="80" w:after="80"/>
              <w:ind w:left="0"/>
              <w:jc w:val="center"/>
            </w:pPr>
            <w:r>
              <w:rPr>
                <w:rFonts w:ascii="Calibri" w:hAnsi="Calibri"/>
                <w:b/>
                <w:i w:val="0"/>
                <w:color w:val="FFFFFF"/>
                <w:sz w:val="17"/>
              </w:rPr>
              <w:t>Source</w:t>
            </w:r>
          </w:p>
        </w:tc>
        <w:tc>
          <w:tcPr>
            <w:tcW w:type="dxa" w:w="1644"/>
            <w:shd w:val="clear" w:color="auto" w:fill="003B71"/>
            <w:tcBorders>
              <w:top w:val="none" w:sz="6" w:color="auto"/>
              <w:bottom w:val="none" w:sz="6" w:color="auto"/>
              <w:left w:val="none" w:sz="6" w:color="auto"/>
              <w:right w:val="none" w:sz="6" w:color="auto"/>
            </w:tcBorders>
          </w:tcPr>
          <w:p>
            <w:pPr>
              <w:spacing w:before="80" w:after="80"/>
              <w:ind w:left="0"/>
              <w:jc w:val="center"/>
            </w:pPr>
            <w:r>
              <w:rPr>
                <w:rFonts w:ascii="Calibri" w:hAnsi="Calibri"/>
                <w:b/>
                <w:i w:val="0"/>
                <w:color w:val="FFFFFF"/>
                <w:sz w:val="17"/>
              </w:rPr>
              <w:t>Priority</w:t>
            </w:r>
          </w:p>
        </w:tc>
      </w:tr>
      <w:tr>
        <w:tc>
          <w:tcPr>
            <w:tcW w:type="dxa" w:w="454"/>
            <w:shd w:val="clear" w:color="auto" w:fill="DCFCE7"/>
            <w:tcBorders>
              <w:top w:val="none" w:sz="6" w:color="auto"/>
              <w:bottom w:val="none" w:sz="6" w:color="auto"/>
              <w:left w:val="none" w:sz="6" w:color="auto"/>
              <w:right w:val="none" w:sz="6" w:color="auto"/>
            </w:tcBorders>
          </w:tcPr>
          <w:p>
            <w:pPr>
              <w:spacing w:before="100" w:after="100"/>
              <w:jc w:val="center"/>
            </w:pPr>
            <w:r>
              <w:t>🟢</w:t>
            </w:r>
          </w:p>
        </w:tc>
        <w:tc>
          <w:tcPr>
            <w:tcW w:type="dxa" w:w="4422"/>
            <w:shd w:val="clear" w:color="auto" w:fill="FFFFFF"/>
            <w:tcBorders>
              <w:top w:val="none" w:sz="6" w:color="auto"/>
              <w:bottom w:val="none" w:sz="6" w:color="auto"/>
              <w:left w:val="none" w:sz="6" w:color="auto"/>
              <w:right w:val="none" w:sz="6" w:color="auto"/>
            </w:tcBorders>
          </w:tcPr>
          <w:p>
            <w:pPr>
              <w:spacing w:before="80" w:after="80"/>
              <w:ind w:left="85"/>
            </w:pPr>
            <w:r>
              <w:rPr>
                <w:rFonts w:ascii="Calibri" w:hAnsi="Calibri"/>
                <w:b/>
                <w:i w:val="0"/>
                <w:color w:val="111827"/>
                <w:sz w:val="18"/>
              </w:rPr>
              <w:t>High — Qualify for Group 1 tenders with EU-GMP dossier</w:t>
            </w:r>
          </w:p>
        </w:tc>
        <w:tc>
          <w:tcPr>
            <w:tcW w:type="dxa" w:w="1417"/>
            <w:shd w:val="clear" w:color="auto" w:fill="FFFFFF"/>
            <w:tcBorders>
              <w:top w:val="none" w:sz="6" w:color="auto"/>
              <w:bottom w:val="none" w:sz="6" w:color="auto"/>
              <w:left w:val="none" w:sz="6" w:color="auto"/>
              <w:right w:val="none" w:sz="6" w:color="auto"/>
            </w:tcBorders>
          </w:tcPr>
          <w:p>
            <w:pPr>
              <w:spacing w:before="80" w:after="80"/>
              <w:jc w:val="center"/>
            </w:pPr>
            <w:r>
              <w:rPr>
                <w:rFonts w:ascii="Calibri" w:hAnsi="Calibri"/>
                <w:b w:val="0"/>
                <w:i w:val="0"/>
                <w:color w:val="003B71"/>
                <w:sz w:val="17"/>
              </w:rPr>
              <w:t>RA &amp; Marketing</w:t>
            </w:r>
          </w:p>
        </w:tc>
        <w:tc>
          <w:tcPr>
            <w:tcW w:type="dxa" w:w="1134"/>
            <w:shd w:val="clear" w:color="auto" w:fill="FFFFFF"/>
            <w:tcBorders>
              <w:top w:val="none" w:sz="6" w:color="auto"/>
              <w:bottom w:val="none" w:sz="6" w:color="auto"/>
              <w:left w:val="none" w:sz="6" w:color="auto"/>
              <w:right w:val="none" w:sz="6" w:color="auto"/>
            </w:tcBorders>
          </w:tcPr>
          <w:p>
            <w:pPr>
              <w:spacing w:before="80" w:after="80"/>
              <w:jc w:val="center"/>
            </w:pPr>
            <w:r>
              <w:rPr>
                <w:rFonts w:ascii="Calibri" w:hAnsi="Calibri"/>
                <w:b w:val="0"/>
                <w:i w:val="0"/>
                <w:color w:val="6B7280"/>
                <w:sz w:val="17"/>
              </w:rPr>
              <w:t>Tendering Policy</w:t>
            </w:r>
          </w:p>
        </w:tc>
        <w:tc>
          <w:tcPr>
            <w:tcW w:type="dxa" w:w="1644"/>
            <w:shd w:val="clear" w:color="auto" w:fill="DCFCE7"/>
            <w:tcBorders>
              <w:top w:val="none" w:sz="6" w:color="auto"/>
              <w:bottom w:val="none" w:sz="6" w:color="auto"/>
              <w:left w:val="none" w:sz="6" w:color="auto"/>
              <w:right w:val="none" w:sz="6" w:color="auto"/>
            </w:tcBorders>
          </w:tcPr>
          <w:p>
            <w:pPr>
              <w:spacing w:before="80" w:after="80"/>
              <w:jc w:val="center"/>
            </w:pPr>
            <w:r>
              <w:rPr>
                <w:rFonts w:ascii="Calibri" w:hAnsi="Calibri"/>
                <w:b/>
                <w:i w:val="0"/>
                <w:color w:val="22C55E"/>
                <w:sz w:val="17"/>
              </w:rPr>
              <w:t>🔴 High</w:t>
            </w:r>
          </w:p>
        </w:tc>
      </w:tr>
      <w:tr>
        <w:tc>
          <w:tcPr>
            <w:tcW w:type="dxa" w:w="454"/>
            <w:shd w:val="clear" w:color="auto" w:fill="DCFCE7"/>
            <w:tcBorders>
              <w:top w:val="none" w:sz="6" w:color="auto"/>
              <w:bottom w:val="none" w:sz="6" w:color="auto"/>
              <w:left w:val="none" w:sz="6" w:color="auto"/>
              <w:right w:val="none" w:sz="6" w:color="auto"/>
            </w:tcBorders>
          </w:tcPr>
          <w:p>
            <w:pPr>
              <w:spacing w:before="100" w:after="100"/>
              <w:jc w:val="center"/>
            </w:pPr>
            <w:r>
              <w:t>🟢</w:t>
            </w:r>
          </w:p>
        </w:tc>
        <w:tc>
          <w:tcPr>
            <w:tcW w:type="dxa" w:w="4422"/>
            <w:shd w:val="clear" w:color="auto" w:fill="FAFBFF"/>
            <w:tcBorders>
              <w:top w:val="none" w:sz="6" w:color="auto"/>
              <w:bottom w:val="none" w:sz="6" w:color="auto"/>
              <w:left w:val="none" w:sz="6" w:color="auto"/>
              <w:right w:val="none" w:sz="6" w:color="auto"/>
            </w:tcBorders>
          </w:tcPr>
          <w:p>
            <w:pPr>
              <w:spacing w:before="80" w:after="80"/>
              <w:ind w:left="85"/>
            </w:pPr>
            <w:r>
              <w:rPr>
                <w:rFonts w:ascii="Calibri" w:hAnsi="Calibri"/>
                <w:b/>
                <w:i w:val="0"/>
                <w:color w:val="111827"/>
                <w:sz w:val="18"/>
              </w:rPr>
              <w:t>High — Negotiate group-level deal, not store-by-store</w:t>
            </w:r>
          </w:p>
        </w:tc>
        <w:tc>
          <w:tcPr>
            <w:tcW w:type="dxa" w:w="1417"/>
            <w:shd w:val="clear" w:color="auto" w:fill="FAFBFF"/>
            <w:tcBorders>
              <w:top w:val="none" w:sz="6" w:color="auto"/>
              <w:bottom w:val="none" w:sz="6" w:color="auto"/>
              <w:left w:val="none" w:sz="6" w:color="auto"/>
              <w:right w:val="none" w:sz="6" w:color="auto"/>
            </w:tcBorders>
          </w:tcPr>
          <w:p>
            <w:pPr>
              <w:spacing w:before="80" w:after="80"/>
              <w:jc w:val="center"/>
            </w:pPr>
            <w:r>
              <w:rPr>
                <w:rFonts w:ascii="Calibri" w:hAnsi="Calibri"/>
                <w:b w:val="0"/>
                <w:i w:val="0"/>
                <w:color w:val="003B71"/>
                <w:sz w:val="17"/>
              </w:rPr>
              <w:t>Sales</w:t>
            </w:r>
          </w:p>
        </w:tc>
        <w:tc>
          <w:tcPr>
            <w:tcW w:type="dxa" w:w="1134"/>
            <w:shd w:val="clear" w:color="auto" w:fill="FAFBFF"/>
            <w:tcBorders>
              <w:top w:val="none" w:sz="6" w:color="auto"/>
              <w:bottom w:val="none" w:sz="6" w:color="auto"/>
              <w:left w:val="none" w:sz="6" w:color="auto"/>
              <w:right w:val="none" w:sz="6" w:color="auto"/>
            </w:tcBorders>
          </w:tcPr>
          <w:p>
            <w:pPr>
              <w:spacing w:before="80" w:after="80"/>
              <w:jc w:val="center"/>
            </w:pPr>
            <w:r>
              <w:rPr>
                <w:rFonts w:ascii="Calibri" w:hAnsi="Calibri"/>
                <w:b w:val="0"/>
                <w:i w:val="0"/>
                <w:color w:val="6B7280"/>
                <w:sz w:val="17"/>
              </w:rPr>
              <w:t>Long Châu Expansion</w:t>
            </w:r>
          </w:p>
        </w:tc>
        <w:tc>
          <w:tcPr>
            <w:tcW w:type="dxa" w:w="1644"/>
            <w:shd w:val="clear" w:color="auto" w:fill="DCFCE7"/>
            <w:tcBorders>
              <w:top w:val="none" w:sz="6" w:color="auto"/>
              <w:bottom w:val="none" w:sz="6" w:color="auto"/>
              <w:left w:val="none" w:sz="6" w:color="auto"/>
              <w:right w:val="none" w:sz="6" w:color="auto"/>
            </w:tcBorders>
          </w:tcPr>
          <w:p>
            <w:pPr>
              <w:spacing w:before="80" w:after="80"/>
              <w:jc w:val="center"/>
            </w:pPr>
            <w:r>
              <w:rPr>
                <w:rFonts w:ascii="Calibri" w:hAnsi="Calibri"/>
                <w:b/>
                <w:i w:val="0"/>
                <w:color w:val="22C55E"/>
                <w:sz w:val="17"/>
              </w:rPr>
              <w:t>🔴 High</w:t>
            </w:r>
          </w:p>
        </w:tc>
      </w:tr>
      <w:tr>
        <w:tc>
          <w:tcPr>
            <w:tcW w:type="dxa" w:w="454"/>
            <w:shd w:val="clear" w:color="auto" w:fill="DCFCE7"/>
            <w:tcBorders>
              <w:top w:val="none" w:sz="6" w:color="auto"/>
              <w:bottom w:val="none" w:sz="6" w:color="auto"/>
              <w:left w:val="none" w:sz="6" w:color="auto"/>
              <w:right w:val="none" w:sz="6" w:color="auto"/>
            </w:tcBorders>
          </w:tcPr>
          <w:p>
            <w:pPr>
              <w:spacing w:before="100" w:after="100"/>
              <w:jc w:val="center"/>
            </w:pPr>
            <w:r>
              <w:t>🟢</w:t>
            </w:r>
          </w:p>
        </w:tc>
        <w:tc>
          <w:tcPr>
            <w:tcW w:type="dxa" w:w="4422"/>
            <w:shd w:val="clear" w:color="auto" w:fill="FFFFFF"/>
            <w:tcBorders>
              <w:top w:val="none" w:sz="6" w:color="auto"/>
              <w:bottom w:val="none" w:sz="6" w:color="auto"/>
              <w:left w:val="none" w:sz="6" w:color="auto"/>
              <w:right w:val="none" w:sz="6" w:color="auto"/>
            </w:tcBorders>
          </w:tcPr>
          <w:p>
            <w:pPr>
              <w:spacing w:before="80" w:after="80"/>
              <w:ind w:left="85"/>
            </w:pPr>
            <w:r>
              <w:rPr>
                <w:rFonts w:ascii="Calibri" w:hAnsi="Calibri"/>
                <w:b/>
                <w:i w:val="0"/>
                <w:color w:val="111827"/>
                <w:sz w:val="18"/>
              </w:rPr>
              <w:t>Medium — Review API stock and alternative suppliers</w:t>
            </w:r>
          </w:p>
        </w:tc>
        <w:tc>
          <w:tcPr>
            <w:tcW w:type="dxa" w:w="1417"/>
            <w:shd w:val="clear" w:color="auto" w:fill="FFFFFF"/>
            <w:tcBorders>
              <w:top w:val="none" w:sz="6" w:color="auto"/>
              <w:bottom w:val="none" w:sz="6" w:color="auto"/>
              <w:left w:val="none" w:sz="6" w:color="auto"/>
              <w:right w:val="none" w:sz="6" w:color="auto"/>
            </w:tcBorders>
          </w:tcPr>
          <w:p>
            <w:pPr>
              <w:spacing w:before="80" w:after="80"/>
              <w:jc w:val="center"/>
            </w:pPr>
            <w:r>
              <w:rPr>
                <w:rFonts w:ascii="Calibri" w:hAnsi="Calibri"/>
                <w:b w:val="0"/>
                <w:i w:val="0"/>
                <w:color w:val="003B71"/>
                <w:sz w:val="17"/>
              </w:rPr>
              <w:t>Supply Chain</w:t>
            </w:r>
          </w:p>
        </w:tc>
        <w:tc>
          <w:tcPr>
            <w:tcW w:type="dxa" w:w="1134"/>
            <w:shd w:val="clear" w:color="auto" w:fill="FFFFFF"/>
            <w:tcBorders>
              <w:top w:val="none" w:sz="6" w:color="auto"/>
              <w:bottom w:val="none" w:sz="6" w:color="auto"/>
              <w:left w:val="none" w:sz="6" w:color="auto"/>
              <w:right w:val="none" w:sz="6" w:color="auto"/>
            </w:tcBorders>
          </w:tcPr>
          <w:p>
            <w:pPr>
              <w:spacing w:before="80" w:after="80"/>
              <w:jc w:val="center"/>
            </w:pPr>
            <w:r>
              <w:rPr>
                <w:rFonts w:ascii="Calibri" w:hAnsi="Calibri"/>
                <w:b w:val="0"/>
                <w:i w:val="0"/>
                <w:color w:val="6B7280"/>
                <w:sz w:val="17"/>
              </w:rPr>
              <w:t>Raw Material Import</w:t>
            </w:r>
          </w:p>
        </w:tc>
        <w:tc>
          <w:tcPr>
            <w:tcW w:type="dxa" w:w="1644"/>
            <w:shd w:val="clear" w:color="auto" w:fill="DCFCE7"/>
            <w:tcBorders>
              <w:top w:val="none" w:sz="6" w:color="auto"/>
              <w:bottom w:val="none" w:sz="6" w:color="auto"/>
              <w:left w:val="none" w:sz="6" w:color="auto"/>
              <w:right w:val="none" w:sz="6" w:color="auto"/>
            </w:tcBorders>
          </w:tcPr>
          <w:p>
            <w:pPr>
              <w:spacing w:before="80" w:after="80"/>
              <w:jc w:val="center"/>
            </w:pPr>
            <w:r>
              <w:rPr>
                <w:rFonts w:ascii="Calibri" w:hAnsi="Calibri"/>
                <w:b/>
                <w:i w:val="0"/>
                <w:color w:val="22C55E"/>
                <w:sz w:val="17"/>
              </w:rPr>
              <w:t>🟡 Medium</w:t>
            </w:r>
          </w:p>
        </w:tc>
      </w:tr>
      <w:tr>
        <w:tc>
          <w:tcPr>
            <w:tcW w:type="dxa" w:w="454"/>
            <w:shd w:val="clear" w:color="auto" w:fill="DCFCE7"/>
            <w:tcBorders>
              <w:top w:val="none" w:sz="6" w:color="auto"/>
              <w:bottom w:val="none" w:sz="6" w:color="auto"/>
              <w:left w:val="none" w:sz="6" w:color="auto"/>
              <w:right w:val="none" w:sz="6" w:color="auto"/>
            </w:tcBorders>
          </w:tcPr>
          <w:p>
            <w:pPr>
              <w:spacing w:before="100" w:after="100"/>
              <w:jc w:val="center"/>
            </w:pPr>
            <w:r>
              <w:t>🟢</w:t>
            </w:r>
          </w:p>
        </w:tc>
        <w:tc>
          <w:tcPr>
            <w:tcW w:type="dxa" w:w="4422"/>
            <w:shd w:val="clear" w:color="auto" w:fill="FAFBFF"/>
            <w:tcBorders>
              <w:top w:val="none" w:sz="6" w:color="auto"/>
              <w:bottom w:val="none" w:sz="6" w:color="auto"/>
              <w:left w:val="none" w:sz="6" w:color="auto"/>
              <w:right w:val="none" w:sz="6" w:color="auto"/>
            </w:tcBorders>
          </w:tcPr>
          <w:p>
            <w:pPr>
              <w:spacing w:before="80" w:after="80"/>
              <w:ind w:left="85"/>
            </w:pPr>
            <w:r>
              <w:rPr>
                <w:rFonts w:ascii="Calibri" w:hAnsi="Calibri"/>
                <w:b/>
                <w:i w:val="0"/>
                <w:color w:val="111827"/>
                <w:sz w:val="18"/>
              </w:rPr>
              <w:t>Medium — Monitor Sun Pharma pricing for Tadalafil</w:t>
            </w:r>
          </w:p>
        </w:tc>
        <w:tc>
          <w:tcPr>
            <w:tcW w:type="dxa" w:w="1417"/>
            <w:shd w:val="clear" w:color="auto" w:fill="FAFBFF"/>
            <w:tcBorders>
              <w:top w:val="none" w:sz="6" w:color="auto"/>
              <w:bottom w:val="none" w:sz="6" w:color="auto"/>
              <w:left w:val="none" w:sz="6" w:color="auto"/>
              <w:right w:val="none" w:sz="6" w:color="auto"/>
            </w:tcBorders>
          </w:tcPr>
          <w:p>
            <w:pPr>
              <w:spacing w:before="80" w:after="80"/>
              <w:jc w:val="center"/>
            </w:pPr>
            <w:r>
              <w:rPr>
                <w:rFonts w:ascii="Calibri" w:hAnsi="Calibri"/>
                <w:b w:val="0"/>
                <w:i w:val="0"/>
                <w:color w:val="003B71"/>
                <w:sz w:val="17"/>
              </w:rPr>
              <w:t>Marketing</w:t>
            </w:r>
          </w:p>
        </w:tc>
        <w:tc>
          <w:tcPr>
            <w:tcW w:type="dxa" w:w="1134"/>
            <w:shd w:val="clear" w:color="auto" w:fill="FAFBFF"/>
            <w:tcBorders>
              <w:top w:val="none" w:sz="6" w:color="auto"/>
              <w:bottom w:val="none" w:sz="6" w:color="auto"/>
              <w:left w:val="none" w:sz="6" w:color="auto"/>
              <w:right w:val="none" w:sz="6" w:color="auto"/>
            </w:tcBorders>
          </w:tcPr>
          <w:p>
            <w:pPr>
              <w:spacing w:before="80" w:after="80"/>
              <w:jc w:val="center"/>
            </w:pPr>
            <w:r>
              <w:rPr>
                <w:rFonts w:ascii="Calibri" w:hAnsi="Calibri"/>
                <w:b w:val="0"/>
                <w:i w:val="0"/>
                <w:color w:val="6B7280"/>
                <w:sz w:val="17"/>
              </w:rPr>
              <w:t>Sản phẩm Tadalafil</w:t>
            </w:r>
          </w:p>
        </w:tc>
        <w:tc>
          <w:tcPr>
            <w:tcW w:type="dxa" w:w="1644"/>
            <w:shd w:val="clear" w:color="auto" w:fill="DCFCE7"/>
            <w:tcBorders>
              <w:top w:val="none" w:sz="6" w:color="auto"/>
              <w:bottom w:val="none" w:sz="6" w:color="auto"/>
              <w:left w:val="none" w:sz="6" w:color="auto"/>
              <w:right w:val="none" w:sz="6" w:color="auto"/>
            </w:tcBorders>
          </w:tcPr>
          <w:p>
            <w:pPr>
              <w:spacing w:before="80" w:after="80"/>
              <w:jc w:val="center"/>
            </w:pPr>
            <w:r>
              <w:rPr>
                <w:rFonts w:ascii="Calibri" w:hAnsi="Calibri"/>
                <w:b/>
                <w:i w:val="0"/>
                <w:color w:val="22C55E"/>
                <w:sz w:val="17"/>
              </w:rPr>
              <w:t>🟡 Medium</w:t>
            </w:r>
          </w:p>
        </w:tc>
      </w:tr>
      <w:tr>
        <w:tc>
          <w:tcPr>
            <w:tcW w:type="dxa" w:w="454"/>
            <w:shd w:val="clear" w:color="auto" w:fill="DCFCE7"/>
            <w:tcBorders>
              <w:top w:val="none" w:sz="6" w:color="auto"/>
              <w:bottom w:val="none" w:sz="6" w:color="auto"/>
              <w:left w:val="none" w:sz="6" w:color="auto"/>
              <w:right w:val="none" w:sz="6" w:color="auto"/>
            </w:tcBorders>
          </w:tcPr>
          <w:p>
            <w:pPr>
              <w:spacing w:before="100" w:after="100"/>
              <w:jc w:val="center"/>
            </w:pPr>
            <w:r>
              <w:t>🟢</w:t>
            </w:r>
          </w:p>
        </w:tc>
        <w:tc>
          <w:tcPr>
            <w:tcW w:type="dxa" w:w="4422"/>
            <w:shd w:val="clear" w:color="auto" w:fill="FFFFFF"/>
            <w:tcBorders>
              <w:top w:val="none" w:sz="6" w:color="auto"/>
              <w:bottom w:val="none" w:sz="6" w:color="auto"/>
              <w:left w:val="none" w:sz="6" w:color="auto"/>
              <w:right w:val="none" w:sz="6" w:color="auto"/>
            </w:tcBorders>
          </w:tcPr>
          <w:p>
            <w:pPr>
              <w:spacing w:before="80" w:after="80"/>
              <w:ind w:left="85"/>
            </w:pPr>
            <w:r>
              <w:rPr>
                <w:rFonts w:ascii="Calibri" w:hAnsi="Calibri"/>
                <w:b/>
                <w:i w:val="0"/>
                <w:color w:val="111827"/>
                <w:sz w:val="18"/>
              </w:rPr>
              <w:t>Low — Plan Q4/2026 Cytisine launch; assess cessation market</w:t>
            </w:r>
          </w:p>
        </w:tc>
        <w:tc>
          <w:tcPr>
            <w:tcW w:type="dxa" w:w="1417"/>
            <w:shd w:val="clear" w:color="auto" w:fill="FFFFFF"/>
            <w:tcBorders>
              <w:top w:val="none" w:sz="6" w:color="auto"/>
              <w:bottom w:val="none" w:sz="6" w:color="auto"/>
              <w:left w:val="none" w:sz="6" w:color="auto"/>
              <w:right w:val="none" w:sz="6" w:color="auto"/>
            </w:tcBorders>
          </w:tcPr>
          <w:p>
            <w:pPr>
              <w:spacing w:before="80" w:after="80"/>
              <w:jc w:val="center"/>
            </w:pPr>
            <w:r>
              <w:rPr>
                <w:rFonts w:ascii="Calibri" w:hAnsi="Calibri"/>
                <w:b w:val="0"/>
                <w:i w:val="0"/>
                <w:color w:val="003B71"/>
                <w:sz w:val="17"/>
              </w:rPr>
              <w:t>Strategy</w:t>
            </w:r>
          </w:p>
        </w:tc>
        <w:tc>
          <w:tcPr>
            <w:tcW w:type="dxa" w:w="1134"/>
            <w:shd w:val="clear" w:color="auto" w:fill="FFFFFF"/>
            <w:tcBorders>
              <w:top w:val="none" w:sz="6" w:color="auto"/>
              <w:bottom w:val="none" w:sz="6" w:color="auto"/>
              <w:left w:val="none" w:sz="6" w:color="auto"/>
              <w:right w:val="none" w:sz="6" w:color="auto"/>
            </w:tcBorders>
          </w:tcPr>
          <w:p>
            <w:pPr>
              <w:spacing w:before="80" w:after="80"/>
              <w:jc w:val="center"/>
            </w:pPr>
            <w:r>
              <w:rPr>
                <w:rFonts w:ascii="Calibri" w:hAnsi="Calibri"/>
                <w:b w:val="0"/>
                <w:i w:val="0"/>
                <w:color w:val="6B7280"/>
                <w:sz w:val="17"/>
              </w:rPr>
              <w:t>Portfolio Cytisine</w:t>
            </w:r>
          </w:p>
        </w:tc>
        <w:tc>
          <w:tcPr>
            <w:tcW w:type="dxa" w:w="1644"/>
            <w:shd w:val="clear" w:color="auto" w:fill="DCFCE7"/>
            <w:tcBorders>
              <w:top w:val="none" w:sz="6" w:color="auto"/>
              <w:bottom w:val="none" w:sz="6" w:color="auto"/>
              <w:left w:val="none" w:sz="6" w:color="auto"/>
              <w:right w:val="none" w:sz="6" w:color="auto"/>
            </w:tcBorders>
          </w:tcPr>
          <w:p>
            <w:pPr>
              <w:spacing w:before="80" w:after="80"/>
              <w:jc w:val="center"/>
            </w:pPr>
            <w:r>
              <w:rPr>
                <w:rFonts w:ascii="Calibri" w:hAnsi="Calibri"/>
                <w:b/>
                <w:i w:val="0"/>
                <w:color w:val="22C55E"/>
                <w:sz w:val="17"/>
              </w:rPr>
              <w:t>🟢 Low</w:t>
            </w:r>
          </w:p>
        </w:tc>
      </w:tr>
    </w:tbl>
    <w:p>
      <w:pPr>
        <w:spacing w:after="200"/>
      </w:pPr>
    </w:p>
    <w:tbl>
      <w:tblPr>
        <w:tblStyle w:val="TableGrid"/>
        <w:tblW w:type="auto" w:w="0"/>
        <w:tblLook w:firstColumn="1" w:firstRow="1" w:lastColumn="0" w:lastRow="0" w:noHBand="0" w:noVBand="1" w:val="04A0"/>
      </w:tblPr>
      <w:tblGrid>
        <w:gridCol w:w="9072"/>
      </w:tblGrid>
      <w:tr>
        <w:tc>
          <w:tcPr>
            <w:tcW w:type="dxa" w:w="9072"/>
            <w:shd w:val="clear" w:color="auto" w:fill="F1F5F9"/>
            <w:tcBorders>
              <w:top w:val="none" w:sz="6" w:color="auto"/>
              <w:bottom w:val="none" w:sz="6" w:color="auto"/>
              <w:left w:val="none" w:sz="6" w:color="auto"/>
              <w:right w:val="none" w:sz="6" w:color="auto"/>
            </w:tcBorders>
          </w:tcPr>
          <w:p>
            <w:pPr>
              <w:spacing w:before="120" w:after="120"/>
              <w:jc w:val="center"/>
            </w:pPr>
            <w:r>
              <w:rPr>
                <w:rFonts w:ascii="Calibri" w:hAnsi="Calibri"/>
                <w:b w:val="0"/>
                <w:i/>
                <w:color w:val="9CA3AF"/>
                <w:sz w:val="15"/>
              </w:rPr>
              <w:t>Davipharm Market Intelligence System  ·  Powered by Claude Sonnet 4.6  ·  11/05/2026  ·  CONFIDENTIAL</w:t>
            </w:r>
          </w:p>
        </w:tc>
      </w:tr>
    </w:tbl>
    <w:sectPr w:rsidR="00FC693F" w:rsidRPr="0006063C" w:rsidSect="00034616">
      <w:footerReference w:type="default" r:id="rId9"/>
      <w:pgSz w:w="11906" w:h="16838"/>
      <w:pgMar w:top="1134" w:right="1417" w:bottom="1134" w:left="141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b w:val="0"/>
        <w:i w:val="0"/>
        <w:color w:val="9CA3AF"/>
        <w:sz w:val="16"/>
      </w:rPr>
      <w:fldChar w:fldCharType="begin"/>
      <w:instrText xml:space="preserve">PAGE</w:instrText>
      <w:fldChar w:fldCharType="separate"/>
      <w:fldChar w:fldCharType="end"/>
    </w:r>
    <w:r>
      <w:rPr>
        <w:rFonts w:ascii="Calibri" w:hAnsi="Calibri"/>
        <w:b w:val="0"/>
        <w:i w:val="0"/>
        <w:color w:val="9CA3AF"/>
        <w:sz w:val="16"/>
      </w:rPr>
      <w:t xml:space="preserve"> / </w:t>
    </w:r>
    <w:r>
      <w:rPr>
        <w:rFonts w:ascii="Calibri" w:hAnsi="Calibri"/>
        <w:b w:val="0"/>
        <w:i w:val="0"/>
        <w:color w:val="9CA3AF"/>
        <w:sz w:val="16"/>
      </w:rPr>
      <w:fldChar w:fldCharType="begin"/>
      <w:instrText xml:space="preserve">NUMPAGES</w:instrText>
      <w:fldChar w:fldCharType="separate"/>
      <w:fldChar w:fldCharType="end"/>
    </w:r>
    <w:r>
      <w:rPr>
        <w:rFonts w:ascii="Calibri" w:hAnsi="Calibri"/>
        <w:b w:val="0"/>
        <w:i w:val="0"/>
        <w:color w:val="9CA3AF"/>
        <w:sz w:val="14"/>
      </w:rPr>
      <w:t xml:space="preserve">  |  Davipharm Market Intelligence  |  CONFIDENTIAL</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