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13/05/2026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11–17/05/2026: Bằng chứng khoa học về lão hóa tăng tốc và làn sóng ung thư ngày càng trẻ hóa xác nhận nhu cầu dài hạn cho toàn bộ danh mục bệnh mạn tính và ung thư của Davipharm, mở cơ hội listing tại kênh bệnh viện tư chuyên sâu.</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Lão hóa tăng tốc ở 44 &amp; 60:Dữ liệu Stanford xác nhận hai phân khúc bệnh nhân ưu tiên (40–50 và 60+) — nền tảng khoa học mạnh để Marketing định vị "can thiệp sớm" cho RAVASTEL, EIMLER-10, PECHAUNOX và ZENTOGOUT.</w:t>
            </w:r>
          </w:p>
          <w:p>
            <w:pPr>
              <w:spacing w:before="20" w:after="60"/>
              <w:ind w:left="142"/>
            </w:pPr>
            <w:r>
              <w:rPr>
                <w:rFonts w:ascii="Calibri" w:hAnsi="Calibri"/>
                <w:b w:val="0"/>
                <w:i w:val="0"/>
                <w:color w:val="111827"/>
                <w:sz w:val="17"/>
              </w:rPr>
              <w:t>▸  Ung thư đại tràng — ~17.000 ca/năm:Bệnh nhân đa bệnh lý (tim mạch, tiêu hóa, huyết khối) tại bệnh viện tư lớn mở cơ hội cross-listing cho JIRACEK, PECHAUNOX và ZABALES trong phác đồ hỗ trợ peri-operative.</w:t>
            </w:r>
          </w:p>
          <w:p>
            <w:pPr>
              <w:spacing w:before="20" w:after="60"/>
              <w:ind w:left="142"/>
            </w:pPr>
            <w:r>
              <w:rPr>
                <w:rFonts w:ascii="Calibri" w:hAnsi="Calibri"/>
                <w:b w:val="0"/>
                <w:i w:val="0"/>
                <w:color w:val="111827"/>
                <w:sz w:val="17"/>
              </w:rPr>
              <w:t>▸  Khoảng trống danh mục ung thư vú:Thị trường hormone therapy ung thư vú đang mở rộng nhưng Davipharm chưa có sản phẩm phù hợp — cần đánh giá M&amp;A/in-licensing aromatase inhibitors hoặc anti-estrogens.</w:t>
            </w:r>
          </w:p>
          <w:p>
            <w:pPr>
              <w:spacing w:before="20" w:after="60"/>
              <w:ind w:left="142"/>
            </w:pPr>
            <w:r>
              <w:rPr>
                <w:rFonts w:ascii="Calibri" w:hAnsi="Calibri"/>
                <w:b w:val="0"/>
                <w:i w:val="0"/>
                <w:color w:val="111827"/>
                <w:sz w:val="17"/>
              </w:rPr>
              <w:t>▸  P1Marketing &amp; Medical Affairs triển khai chương trình KOL/CME khai thác dữ liệu Stanford</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P1Marketing &amp; Medical Affairs triển khai chương trình KOL/CME khai thác dữ liệu Stanford</w:t>
            </w:r>
          </w:p>
        </w:tc>
      </w:tr>
    </w:tbl>
    <w:p>
      <w:pPr>
        <w:spacing w:after="12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4</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5</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Bệnh viện S.I.S Cần Thơ được hướng dẫn xử lý nước thải y tế</w:t>
            </w:r>
          </w:p>
        </w:tc>
      </w:tr>
    </w:tbl>
    <w:p>
      <w:pPr>
        <w:spacing w:before="40" w:after="40"/>
        <w:ind w:left="170"/>
      </w:pPr>
      <w:r>
        <w:rPr>
          <w:rFonts w:ascii="Calibri" w:hAnsi="Calibri"/>
          <w:b w:val="0"/>
          <w:i/>
          <w:color w:val="6B7280"/>
          <w:sz w:val="18"/>
        </w:rPr>
        <w:t>Bài báo phản ánh hoạt động tuân thủ môi trường tại bệnh viện tư nhân S.I.S Cần Thơ liên quan đến thu gom và xử lý nước thải y tế — không liên quan trực tiếp đến ngành dược phẩm hay thị trường phân phối thuốc. Nội dung bài mang tính thông tin địa phương, không có dữ liệu thị trường có giá trị phân tích.</w:t>
      </w:r>
    </w:p>
    <w:p>
      <w:pPr>
        <w:spacing w:before="20" w:after="40"/>
        <w:ind w:left="170"/>
      </w:pPr>
      <w:r>
        <w:rPr>
          <w:rFonts w:ascii="Calibri" w:hAnsi="Calibri"/>
          <w:b/>
          <w:i w:val="0"/>
          <w:color w:val="374151"/>
          <w:sz w:val="17"/>
        </w:rPr>
        <w:t>⚪ Tin tức không có tác động đến hoạt động kinh doanh hoặc chiến lược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Không có hành động cần thiết — bài báo nằm ngoài phạm vi theo dõi chiến lược dược phẩm; khuyến nghị loại khỏi bộ lọc tin tức BOD để tối ưu thời gian phân tích.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5 nhóm thực phẩm thiết yếu trong dinh dưỡng sau tuổi 50</w:t>
            </w:r>
          </w:p>
        </w:tc>
      </w:tr>
    </w:tbl>
    <w:p>
      <w:pPr>
        <w:spacing w:before="40" w:after="40"/>
        <w:ind w:left="170"/>
      </w:pPr>
      <w:r>
        <w:rPr>
          <w:rFonts w:ascii="Calibri" w:hAnsi="Calibri"/>
          <w:b w:val="0"/>
          <w:i/>
          <w:color w:val="6B7280"/>
          <w:sz w:val="18"/>
        </w:rPr>
        <w:t>Truyền thông y tế đang đẩy mạnh nội dung dinh dưỡng cho người cao tuổi, phản ánh nhu cầu ngày càng tăng của nhóm dân số trên 50 tuổi tại Việt Nam. Xu hướng này tạo ra không gian thị trường rõ ràng cho các sản phẩm thực phẩm chức năng bổ sung vi chất, canxi, vitamin D và omega-3.</w:t>
      </w:r>
    </w:p>
    <w:p>
      <w:pPr>
        <w:spacing w:before="20" w:after="40"/>
        <w:ind w:left="170"/>
      </w:pPr>
      <w:r>
        <w:rPr>
          <w:rFonts w:ascii="Calibri" w:hAnsi="Calibri"/>
          <w:b/>
          <w:i w:val="0"/>
          <w:color w:val="166534"/>
          <w:sz w:val="17"/>
        </w:rPr>
        <w:t>📈 Nội dung truyền thông y tế về dinh dưỡng người cao tuổi gia tăng — cơ hội mở rộng danh mục TPCN cho phân khúc 50+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Tận dụng xu hướng truyền thông này để đẩy mạnh marketing cho các sản phẩm canxi, vitamin D tổng hợp và omega-3 hiện có, đồng thời xem xét phát triển combo dinh dưỡng "Active 50+" nhằm chiếm lĩnh phân khúc người cao tuổi đang tăng trưởng nhanh.</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11 thực phẩm chức năng cần tránh khi dùng thuốc chống đông máu</w:t>
            </w:r>
          </w:p>
        </w:tc>
      </w:tr>
    </w:tbl>
    <w:p>
      <w:pPr>
        <w:spacing w:before="40" w:after="40"/>
        <w:ind w:left="170"/>
      </w:pPr>
      <w:r>
        <w:rPr>
          <w:rFonts w:ascii="Calibri" w:hAnsi="Calibri"/>
          <w:b w:val="0"/>
          <w:i/>
          <w:color w:val="6B7280"/>
          <w:sz w:val="18"/>
        </w:rPr>
        <w:t>Báo SK&amp;ĐS cảnh báo 11 nhóm thực phẩm chức năng (TPCN) có tương tác nguy hiểm với thuốc chống đông, làm tăng nguy cơ chảy máu hoặc đông máu bất thường. Thông tin này xuất hiện trong bối cảnh thị trường TPCN Việt Nam tăng trưởng mạnh nhưng nhận thức về tương tác thuốc-TPCN còn thấp.</w:t>
      </w:r>
    </w:p>
    <w:p>
      <w:pPr>
        <w:spacing w:before="20" w:after="40"/>
        <w:ind w:left="170"/>
      </w:pPr>
      <w:r>
        <w:rPr>
          <w:rFonts w:ascii="Calibri" w:hAnsi="Calibri"/>
          <w:b/>
          <w:i w:val="0"/>
          <w:color w:val="166534"/>
          <w:sz w:val="17"/>
        </w:rPr>
        <w:t>💡 Cơ hội định vị Davipharm như chuyên gia an toàn dùng thuốc — lợi thế truyền thông B2B và B2C trong phân khúc tim mạch.</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Phát triển tài liệu tư vấn "Hướng dẫn dùng thuốc chống đông an toàn" phân phối qua nhà thuốc và bác sĩ kê toa — tăng nhận diện thương hiệu trong phân khúc tim mạch và củng cố quan hệ với kênh ETC/OTC. Đồng thời, rà soát danh mục TPCN/OTC hiện có để đảm bảo nhãn sản phẩm cảnh báo đầy đủ tương tác thuốc, giảm thiểu rủi ro pháp lý.</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Biến chứng thủy đậu nghiêm trọng: Trẻ 6 tuổi nhiễm khuẩn huyết, thở máy nguy kịch</w:t>
            </w:r>
          </w:p>
        </w:tc>
      </w:tr>
    </w:tbl>
    <w:p>
      <w:pPr>
        <w:spacing w:before="40" w:after="40"/>
        <w:ind w:left="170"/>
      </w:pPr>
      <w:r>
        <w:rPr>
          <w:rFonts w:ascii="Calibri" w:hAnsi="Calibri"/>
          <w:b w:val="0"/>
          <w:i/>
          <w:color w:val="6B7280"/>
          <w:sz w:val="18"/>
        </w:rPr>
        <w:t>Trường hợp trẻ 6 tuổi biến chứng nhiễm khuẩn huyết do thủy đậu gây chú ý dư luận, làm tăng nhận thức cộng đồng về nguy cơ bội nhiễm vi khuẩn sau nhiễm virus. Nhu cầu kháng sinh điều trị nhiễm khuẩn thứ phát và thuốc kháng virus tại các cơ sở nhi khoa dự kiến gia tăng trong mùa dịch thủy đậu.</w:t>
      </w:r>
    </w:p>
    <w:p>
      <w:pPr>
        <w:spacing w:before="20" w:after="40"/>
        <w:ind w:left="170"/>
      </w:pPr>
      <w:r>
        <w:rPr>
          <w:rFonts w:ascii="Calibri" w:hAnsi="Calibri"/>
          <w:b/>
          <w:i w:val="0"/>
          <w:color w:val="166534"/>
          <w:sz w:val="17"/>
        </w:rPr>
        <w:t>📈 Cơ hội tăng trưởng ngắn hạn cho danh mục kháng sinh nhi khoa và thuốc hỗ trợ điều trị biến chứng thủy đậu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Đẩy mạnh hoạt động Medical Rep tại các bệnh viện nhi và phòng khám nhi khoa với danh mục kháng sinh phổ rộng (amoxicillin-clavulanate, cephalosporin) và acyclovir — nhấn mạnh vai trò điều trị sớm để ngăn biến chứng. Cân nhắc phát hành tài liệu KOL/y văn hỗ trợ bác sĩ nhi về phác đồ xử lý biến chứng thủy đậu nhằm tăng nhận diện thương hiệu Davipharm trong phân khúc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NHÂN DÂN – XÃ HỘI</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Kỹ thuật mổ nội soi tuyến giáp "Dr Lương" thu hút bệnh nhân &amp; bác sĩ quốc tế đến Việt Nam</w:t>
            </w:r>
          </w:p>
        </w:tc>
      </w:tr>
    </w:tbl>
    <w:p>
      <w:pPr>
        <w:spacing w:before="40" w:after="40"/>
        <w:ind w:left="170"/>
      </w:pPr>
      <w:r>
        <w:rPr>
          <w:rFonts w:ascii="Calibri" w:hAnsi="Calibri"/>
          <w:b w:val="0"/>
          <w:i/>
          <w:color w:val="6B7280"/>
          <w:sz w:val="18"/>
        </w:rPr>
        <w:t>Phương pháp mổ nội soi tuyến giáp "Dr Lương" của Việt Nam đang thu hút bệnh nhân từ Philippines và bác sĩ từ Azerbaijan, Ấn Độ đến học hỏi, khẳng định vị thế trung tâm y tế chất lượng cao trong khu vực. Xu hướng du lịch y tế quốc tế vào Việt Nam mở ra nhu cầu gia tăng đối với dược phẩm hậu phẫu và thuốc đặc trị tuyến giáp tại các bệnh viện tuyến đầu.</w:t>
      </w:r>
    </w:p>
    <w:p>
      <w:pPr>
        <w:spacing w:before="20" w:after="40"/>
        <w:ind w:left="170"/>
      </w:pPr>
      <w:r>
        <w:rPr>
          <w:rFonts w:ascii="Calibri" w:hAnsi="Calibri"/>
          <w:b/>
          <w:i w:val="0"/>
          <w:color w:val="166534"/>
          <w:sz w:val="17"/>
        </w:rPr>
        <w:t>🟢 Tín hiệu tích cực gián tiếp — du lịch y tế tăng trưởng thúc đẩy nhu cầu dược phẩm hậu phẫu tuyến giáp tại bệnh viện đối tác.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Davipharm nên chủ động tiếp cận các bệnh viện chuyên sâu thực hiện kỹ thuật "Dr Lương" (như BV Nội tiết TW, BV Bạch Mai) để đưa thuốc levothyroxine, canxi và kháng sinh hậu phẫu vào danh mục ưu tiên đấu thầu. Đây là cơ hội xây dựng quan hệ đối tác bệnh viện dài hạn, đặc biệt khi lượng bệnh nhân quốc tế gia tăng sẽ nâng cao tiêu chuẩn thuốc được chỉ định.</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Bổ nhiệm Cục trưởng Cục An toàn Thực phẩm — Thay đổi nhân sự lãnh đạo quản lý ATTP</w:t>
            </w:r>
          </w:p>
        </w:tc>
      </w:tr>
    </w:tbl>
    <w:p>
      <w:pPr>
        <w:spacing w:before="40" w:after="40"/>
        <w:ind w:left="170"/>
      </w:pPr>
      <w:r>
        <w:rPr>
          <w:rFonts w:ascii="Calibri" w:hAnsi="Calibri"/>
          <w:b w:val="0"/>
          <w:i/>
          <w:color w:val="6B7280"/>
          <w:sz w:val="18"/>
        </w:rPr>
        <w:t>Bộ trưởng Bộ Y tế Đào Hồng Lan trao quyết định bổ nhiệm Cục trưởng Cục An toàn Thực phẩm (VFA) — cơ quan quản lý thực phẩm chức năng, mỹ phẩm và một số sản phẩm y tế liên quan. Sự thay đổi nhân sự này có thể ảnh hưởng đến định hướng chính sách kiểm soát quảng cáo, cấp phép sản phẩm TPCN và mỹ phẩm trong thời gian tới.</w:t>
      </w:r>
    </w:p>
    <w:p>
      <w:pPr>
        <w:spacing w:before="20" w:after="40"/>
        <w:ind w:left="170"/>
      </w:pPr>
      <w:r>
        <w:rPr>
          <w:rFonts w:ascii="Calibri" w:hAnsi="Calibri"/>
          <w:b/>
          <w:i w:val="0"/>
          <w:color w:val="374151"/>
          <w:sz w:val="17"/>
        </w:rPr>
        <w:t>👀 Tác động gián tiếp — VFA không quản lý thuốc kê đơn của Davipharm, nhưng cần theo dõi nếu có thay đổi chính sách liên quan đến quảng cáo hoặc phân loại sản phẩm.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Regulatory Affairs Team theo dõi định hướng mới của Cục trưởng VFA trong Q2/2025, đặc biệt nếu Davipharm có kế hoạch mở rộng sang phân khúc thực phẩm chức năng hoặc OTC liên quan đến ATTP; không cần hành động khẩn.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SK&amp;ĐS – DƯỢC MỸ PHẨM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Trẻ em mắc ung thư giai đoạn cuối do lạm dụng trà sữa — cảnh báo về lối sống và bệnh không lây nhiễm</w:t>
            </w:r>
          </w:p>
        </w:tc>
      </w:tr>
    </w:tbl>
    <w:p>
      <w:pPr>
        <w:spacing w:before="40" w:after="40"/>
        <w:ind w:left="170"/>
      </w:pPr>
      <w:r>
        <w:rPr>
          <w:rFonts w:ascii="Calibri" w:hAnsi="Calibri"/>
          <w:b w:val="0"/>
          <w:i/>
          <w:color w:val="6B7280"/>
          <w:sz w:val="18"/>
        </w:rPr>
        <w:t>Một bé trai 12 tuổi tại Việt Nam được chẩn đoán ung thư giai đoạn cuối sau thời gian dài uống trà sữa thay nước lọc, làm dấy lên lo ngại công cộng về thói quen dinh dưỡng và nguy cơ bệnh không lây nhiễm ở giới trẻ. Bài viết không liên quan trực tiếp đến danh mục sản phẩm Davipharm nhưng phản ánh xu hướng gia tăng nhận thức về ung thư và nhu cầu điều trị ung thư tại Việt Nam.</w:t>
      </w:r>
    </w:p>
    <w:p>
      <w:pPr>
        <w:spacing w:before="20" w:after="40"/>
        <w:ind w:left="170"/>
      </w:pPr>
      <w:r>
        <w:rPr>
          <w:rFonts w:ascii="Calibri" w:hAnsi="Calibri"/>
          <w:b/>
          <w:i w:val="0"/>
          <w:color w:val="374151"/>
          <w:sz w:val="17"/>
        </w:rPr>
        <w:t>📊 Tin có tác động gián tiếp — xu hướng nhận thức ung thư tăng có thể hỗ trợ nhu cầu thị trường cho HYYR (Erlotinib) và LARRIVEY (Bicalutamide), nhưng chưa tạo tác động kinh doanh ngắn hạn rõ ràng.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Oncology theo dõi xu hướng truyền thông về ung thư để xây dựng tài liệu giáo dục HCP (healthcare professional) liên quan đến HYYR và LARRIVEY; không cần hành động khẩn cấp, ưu tiên thấp trong chu kỳ báo cáo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Lão hóa tăng tốc ở mốc 44 &amp; 60 tuổi — Cơ hội mở rộng danh mục tim mạch, đái tháo đường, gout</w:t>
            </w:r>
          </w:p>
        </w:tc>
      </w:tr>
    </w:tbl>
    <w:p>
      <w:pPr>
        <w:spacing w:before="40" w:after="40"/>
        <w:ind w:left="170"/>
      </w:pPr>
      <w:r>
        <w:rPr>
          <w:rFonts w:ascii="Calibri" w:hAnsi="Calibri"/>
          <w:b w:val="0"/>
          <w:i/>
          <w:color w:val="6B7280"/>
          <w:sz w:val="18"/>
        </w:rPr>
        <w:t>Nghiên cứu Stanford xác nhận lão hóa tăng tốc đột ngột ở tuổi ~44 (chuyển hóa, viêm nền, nội tiết) và ~60 (tim mạch, thận, glucose), tạo ra hai "điểm nóng" bệnh mạn tính rõ ràng theo độ tuổi. Điều này trực tiếp củng cố nhu cầu dài hạn cho các nhóm thuốc cốt lõi của Davipharm gồm tim mạch (PECHAUNOX, RAVASTEL, ZABALES), đái tháo đường (EIMLER-10, ZLATKO), gout (ZENTOGOUT, MAGRAX) và giảm đau (COXTONE).</w:t>
      </w:r>
    </w:p>
    <w:p>
      <w:pPr>
        <w:spacing w:before="20" w:after="40"/>
        <w:ind w:left="170"/>
      </w:pPr>
      <w:r>
        <w:rPr>
          <w:rFonts w:ascii="Calibri" w:hAnsi="Calibri"/>
          <w:b/>
          <w:i w:val="0"/>
          <w:color w:val="166534"/>
          <w:sz w:val="17"/>
        </w:rPr>
        <w:t>🟢 Bằng chứng khoa học quốc tế xác nhận hai phân khúc bệnh nhân trọng điểm (40–50 và 60+) — cơ sở để Marketing team xây dựng thông điệp "phòng ngừa chủ động" cho toàn bộ danh mục bệnh mạn tính của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Marketing &amp; Medical Affairs team cần phát triển tài liệu KOL/CME khai thác dữ liệu Stanford này để định vị chiến lược "can thiệp sớm ở mốc 40+" — ưu tiên RAVASTEL (kiểm soát LDL), EIMLER-10 (bảo vệ thận/tim), ZENTOGOUT (kiểm soát uric acid) và PECHAUNOX (huyết áp) trong Q3/2025; đồng thời phối hợp Sales team mở rộng detailing tại phân khúc phòng khám nội tiết và tim mạch cho nhóm bệnh nhân 40–65 tuổi.</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Tổng quan ung thư tụy: Cơ hội cho danh mục ung thư Davipharm (HYYR – Erlotinib)</w:t>
            </w:r>
          </w:p>
        </w:tc>
      </w:tr>
    </w:tbl>
    <w:p>
      <w:pPr>
        <w:spacing w:before="40" w:after="40"/>
        <w:ind w:left="170"/>
      </w:pPr>
      <w:r>
        <w:rPr>
          <w:rFonts w:ascii="Calibri" w:hAnsi="Calibri"/>
          <w:b w:val="0"/>
          <w:i/>
          <w:color w:val="6B7280"/>
          <w:sz w:val="18"/>
        </w:rPr>
        <w:t>Bài cẩm nang của VnExpress phổ biến kiến thức về ung thư tụy — loại ung thư có tiên lượng xấu, ít triệu chứng sớm và nhu cầu điều trị ung thư tiêu hóa ngày càng tăng tại Việt Nam. Mặc dù Erlotinib (HYYR) có chỉ định trong ung thư phổi và tụy, nội dung này phản ánh xu hướng nâng cao nhận thức bệnh lý ung thư đường tiêu hóa — phân khúc mà danh mục ung thư Davipharm có thể khai thác.</w:t>
      </w:r>
    </w:p>
    <w:p>
      <w:pPr>
        <w:spacing w:before="20" w:after="40"/>
        <w:ind w:left="170"/>
      </w:pPr>
      <w:r>
        <w:rPr>
          <w:rFonts w:ascii="Calibri" w:hAnsi="Calibri"/>
          <w:b/>
          <w:i w:val="0"/>
          <w:color w:val="374151"/>
          <w:sz w:val="17"/>
        </w:rPr>
        <w:t>📊 Tín hiệu nhận thức thị trường ở mức nền — chưa tạo tác động doanh số ngay, nhưng là cơ sở để team Oncology xây dựng nội dung truyền thông khoa học cho HYYR trong chỉ định ung thư tụy.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Oncology phối hợp với Medical Affairs rà soát hồ sơ chỉ định của HYYR (Erlotinib) trong ung thư tụy giai đoạn tiến triển; xây dựng tài liệu hỗ trợ KOL/bác sĩ ung bướu tại các bệnh viện tuyến trung ương (K, Chợ Rẫy, Ung bướu TP.HCM) trong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Ung thư đại tràng: ~17.000 ca mắc mới/năm tại Việt Nam — cơ hội thị trường cho phác đồ hỗ trợ điều trị</w:t>
            </w:r>
          </w:p>
        </w:tc>
      </w:tr>
    </w:tbl>
    <w:p>
      <w:pPr>
        <w:spacing w:before="40" w:after="40"/>
        <w:ind w:left="170"/>
      </w:pPr>
      <w:r>
        <w:rPr>
          <w:rFonts w:ascii="Calibri" w:hAnsi="Calibri"/>
          <w:b w:val="0"/>
          <w:i/>
          <w:color w:val="6B7280"/>
          <w:sz w:val="18"/>
        </w:rPr>
        <w:t>Bệnh viện Tâm Anh ứng dụng robot Da Vinci Xi trong phẫu thuật ung thư đại tràng, phản ánh xu hướng nâng cấp năng lực điều trị ung thư tiêu hóa tại các bệnh viện tư lớn; theo Globocan 2022, Việt Nam ghi nhận 16.000–17.000 ca ung thư đại trực tràng mới và hơn 8.400 ca tử vong mỗi năm. Đây là phân khúc bệnh nhân nặng, đa bệnh lý (tim mạch, huyết khối, tiêu hóa) — tạo nhu cầu cao cho các thuốc hỗ trợ trước/sau phẫu thuật từ danh mục Davipharm.</w:t>
      </w:r>
    </w:p>
    <w:p>
      <w:pPr>
        <w:spacing w:before="20" w:after="40"/>
        <w:ind w:left="170"/>
      </w:pPr>
      <w:r>
        <w:rPr>
          <w:rFonts w:ascii="Calibri" w:hAnsi="Calibri"/>
          <w:b/>
          <w:i w:val="0"/>
          <w:color w:val="166534"/>
          <w:sz w:val="17"/>
        </w:rPr>
        <w:t>🟢 Nhóm bệnh nhân ung thư đại tràng đa bệnh lý mở cơ hội listing bổ sung cho JIRACEK (Esomeprazole), PECHAUNOX (Perindopril+Amlodipin), ZABALES (Clopidogrel) và LARRIVEY (Bicalutamide) tại kênh bệnh viện tư chuyên sâu.</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Medical Affairs phối hợp với team ETC Sales xây dựng gói tài liệu khoa học nhắm vào phác đồ hỗ trợ peri-operative tại các bệnh viện tư có khoa ung bướu–ngoại tiêu hóa (Tâm Anh, Vinmec, FV), ưu tiên JIRACEK (bảo vệ niêm mạc sau phẫu thuật), PECHAUNOX/ZABALES (kiểm soát tim mạch–huyết khối đồng mắc) — đề xuất kế hoạch listing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VNEXPRESS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Xu hướng trẻ hóa ung thư vú &amp; phác đồ đa mô thức: Cơ hội cho LARRIVEY (Bicalutamide) và danh mục ung thư</w:t>
            </w:r>
          </w:p>
        </w:tc>
      </w:tr>
    </w:tbl>
    <w:p>
      <w:pPr>
        <w:spacing w:before="40" w:after="40"/>
        <w:ind w:left="170"/>
      </w:pPr>
      <w:r>
        <w:rPr>
          <w:rFonts w:ascii="Calibri" w:hAnsi="Calibri"/>
          <w:b w:val="0"/>
          <w:i/>
          <w:color w:val="6B7280"/>
          <w:sz w:val="18"/>
        </w:rPr>
        <w:t>Bài viết từ chuyên gia BV Tâm Anh xác nhận ung thư vú có xu hướng trẻ hóa và điều trị đa mô thức (xạ trị, hóa trị, nội tiết) ngày càng phổ biến, kéo dài 5–10 năm; nhu cầu thuốc điều trị ung thư nội tiết tố tăng bền vững. Davipharm hiện có LARRIVEY (Bicalutamide) trong danh mục ung thư nhưng chưa có sản phẩm trực tiếp trong phân khúc ung thư vú nội tiết dương tính — đây là khoảng trống cần đánh giá.</w:t>
      </w:r>
    </w:p>
    <w:p>
      <w:pPr>
        <w:spacing w:before="20" w:after="40"/>
        <w:ind w:left="170"/>
      </w:pPr>
      <w:r>
        <w:rPr>
          <w:rFonts w:ascii="Calibri" w:hAnsi="Calibri"/>
          <w:b/>
          <w:i w:val="0"/>
          <w:color w:val="374151"/>
          <w:sz w:val="17"/>
        </w:rPr>
        <w:t>🔍 Tín hiệu theo dõi: thị trường ung thư vú nội tiết dương tính đang mở rộng nhưng Davipharm chưa có sản phẩm phù hợp để khai thác trực tiếp phân khúc này.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Team Business Development &amp; Oncology phối hợp đánh giá khả năng mở rộng danh mục sang nhóm hormone therapy ung thư vú (aromatase inhibitors/anti-estrogens); đồng thời team Marketing có thể tăng cường định vị LARRIVEY trong các hội thảo ung thư để duy trì hiện diện thương hiệu trong phân khúc này. Đề xuất báo cáo đánh giá cơ hội lên BOD trong Q3/2025.</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Tin tức địa chính trị quốc tế — Không liên quan đến ngành dược Việt Nam</w:t>
            </w:r>
          </w:p>
        </w:tc>
      </w:tr>
    </w:tbl>
    <w:p>
      <w:pPr>
        <w:spacing w:before="40" w:after="40"/>
        <w:ind w:left="170"/>
      </w:pPr>
      <w:r>
        <w:rPr>
          <w:rFonts w:ascii="Calibri" w:hAnsi="Calibri"/>
          <w:b w:val="0"/>
          <w:i/>
          <w:color w:val="6B7280"/>
          <w:sz w:val="18"/>
        </w:rPr>
        <w:t>Bài báo đề cập đến tranh chấp địa chính trị giữa Mỹ, NATO và Greenland — hoàn toàn nằm ngoài phạm vi thị trường dược phẩm Việt Nam. Nội dung không cung cấp tín hiệu thị trường nào có giá trị cho hoạt động kinh doanh của Davipharm.</w:t>
      </w:r>
    </w:p>
    <w:p>
      <w:pPr>
        <w:spacing w:before="20" w:after="40"/>
        <w:ind w:left="170"/>
      </w:pPr>
      <w:r>
        <w:rPr>
          <w:rFonts w:ascii="Calibri" w:hAnsi="Calibri"/>
          <w:b/>
          <w:i w:val="0"/>
          <w:color w:val="374151"/>
          <w:sz w:val="17"/>
        </w:rPr>
        <w:t>⚪ Không có tác động trực tiếp đến Davipharm — tin này không thuộc phạm vi theo dõi market intelligence dược phẩm.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Đề xuất lọc nguồn tin: cần cấu hình lại bộ lọc keyword để loại bỏ các bài địa chính trị không liên quan, tối ưu hóa chất lượng báo cáo BOD. Không có hành động chiến lược nào cần thiết từ bài viết này.</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Rau Diếp Cá: Xu Hướng Dược Liệu Tự Nhiên Từ Vườn Nhà</w:t>
            </w:r>
          </w:p>
        </w:tc>
      </w:tr>
    </w:tbl>
    <w:p>
      <w:pPr>
        <w:spacing w:before="40" w:after="40"/>
        <w:ind w:left="170"/>
      </w:pPr>
      <w:r>
        <w:rPr>
          <w:rFonts w:ascii="Calibri" w:hAnsi="Calibri"/>
          <w:b w:val="0"/>
          <w:i/>
          <w:color w:val="6B7280"/>
          <w:sz w:val="18"/>
        </w:rPr>
        <w:t>Rau diếp cá đang được truyền thông y tế chủ lưu quảng bá rộng rãi nhờ các công dụng chăm sóc da và sức khỏe, phản ánh xu hướng tiêu dùng nghiêng về thảo dược tự nhiên bản địa. Xu hướng này tạo nền tảng thị trường thuận lợi cho các sản phẩm OTC/thực phẩm chức năng có nguồn gốc thảo dược Việt.</w:t>
      </w:r>
    </w:p>
    <w:p>
      <w:pPr>
        <w:spacing w:before="20" w:after="40"/>
        <w:ind w:left="170"/>
      </w:pPr>
      <w:r>
        <w:rPr>
          <w:rFonts w:ascii="Calibri" w:hAnsi="Calibri"/>
          <w:b/>
          <w:i w:val="0"/>
          <w:color w:val="166534"/>
          <w:sz w:val="17"/>
        </w:rPr>
        <w:t>🌿 Tín hiệu tích cực nhẹ — truyền thông đại chúng đang "làm ấm" thị trường cho dòng sản phẩm thảo dược nội địa mà Davipharm có thể khai thác.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Đánh giá khả năng phát triển hoặc repositioning dòng sản phẩm OTC/thực phẩm chức năng có chiết xuất diếp cá (kháng viêm, hỗ trợ da liễu), tận dụng nguồn nguyên liệu nội địa chi phí thấp và sóng truyền thông hiện tại. Ưu tiên kênh chuỗi nhà thuốc (Long Châu, Pharmacity) để tiếp cận nhóm người tiêu dùng quan tâm đến sản phẩm tự nhiên.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VIETNAMPLUS – SỨC KHỎE</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Thuốc chống co giật Levetiracetam có tiềm năng ngăn ngừa Alzheimer</w:t>
            </w:r>
          </w:p>
        </w:tc>
      </w:tr>
    </w:tbl>
    <w:p>
      <w:pPr>
        <w:spacing w:before="40" w:after="40"/>
        <w:ind w:left="170"/>
      </w:pPr>
      <w:r>
        <w:rPr>
          <w:rFonts w:ascii="Calibri" w:hAnsi="Calibri"/>
          <w:b w:val="0"/>
          <w:i/>
          <w:color w:val="6B7280"/>
          <w:sz w:val="18"/>
        </w:rPr>
        <w:t>Các nhà khoa học Mỹ phát hiện Levetiracetam — thuốc chống co giật đã có mặt lâu trên thị trường — có khả năng ức chế hình thành amyloid-beta 42, protein chủ chốt trong cơ chế bệnh sinh Alzheimer. Phát hiện này mở ra tiềm năng tái định vị (drug repurposing) một phân tử generic đã được chứng minh an toàn cho chỉ định mới có giá trị cao.</w:t>
      </w:r>
    </w:p>
    <w:p>
      <w:pPr>
        <w:spacing w:before="20" w:after="40"/>
        <w:ind w:left="170"/>
      </w:pPr>
      <w:r>
        <w:rPr>
          <w:rFonts w:ascii="Calibri" w:hAnsi="Calibri"/>
          <w:b/>
          <w:i w:val="0"/>
          <w:color w:val="166534"/>
          <w:sz w:val="17"/>
        </w:rPr>
        <w:t>🟢 Cơ hội tái định vị sản phẩm generic Levetiracetam sang phân khúc thần kinh cao cấp nếu Davipharm đang hoặc có kế hoạch sản xuất hoạt chất này.</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Rà soát ngay danh mục R&amp;D/sản xuất: nếu Levetiracetam đã có hoặc khả thi về nguyên liệu, ưu tiên theo dõi các thử nghiệm lâm sàng giai đoạn tiếp theo để chuẩn bị hồ sơ đăng ký chỉ định bổ sung, đón đầu nhu cầu từ kênh bệnh viện chuyên khoa thần kinh và chuỗi nhà thuốc cao cấp.</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w:t>
            </w:r>
          </w:p>
        </w:tc>
        <w:tc>
          <w:tcPr>
            <w:tcW w:type="dxa" w:w="1134"/>
          </w:tcPr>
          <w:p>
            <w:pPr>
              <w:spacing w:before="60" w:after="60"/>
              <w:ind w:left="85"/>
            </w:pPr>
            <w:r>
              <w:rPr>
                <w:rFonts w:ascii="Calibri" w:hAnsi="Calibri"/>
                <w:b w:val="0"/>
                <w:i w:val="0"/>
                <w:color w:val="374151"/>
                <w:sz w:val="17"/>
              </w:rPr>
              <w:t>597,000đ/hộp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đấu thầu TT 2026</w:t>
            </w:r>
          </w:p>
        </w:tc>
      </w:tr>
      <w:tr>
        <w:tc>
          <w:tcPr>
            <w:tcW w:type="dxa" w:w="1701"/>
          </w:tcPr>
          <w:p>
            <w:pPr>
              <w:spacing w:before="60" w:after="60"/>
              <w:ind w:left="85"/>
            </w:pPr>
            <w:r>
              <w:rPr>
                <w:rFonts w:ascii="Calibri" w:hAnsi="Calibri"/>
                <w:b/>
                <w:i w:val="0"/>
                <w:color w:val="003B71"/>
                <w:sz w:val="17"/>
              </w:rPr>
              <w:t>ZLATKO-50</w:t>
            </w:r>
          </w:p>
        </w:tc>
        <w:tc>
          <w:tcPr>
            <w:tcW w:type="dxa" w:w="2381"/>
          </w:tcPr>
          <w:p>
            <w:pPr>
              <w:spacing w:before="60" w:after="60"/>
              <w:ind w:left="85"/>
            </w:pPr>
            <w:r>
              <w:rPr>
                <w:rFonts w:ascii="Calibri" w:hAnsi="Calibri"/>
                <w:b w:val="0"/>
                <w:i w:val="0"/>
                <w:color w:val="374151"/>
                <w:sz w:val="17"/>
              </w:rPr>
              <w:t>Sitagliptin 50mg</w:t>
            </w:r>
          </w:p>
        </w:tc>
        <w:tc>
          <w:tcPr>
            <w:tcW w:type="dxa" w:w="1134"/>
          </w:tcPr>
          <w:p>
            <w:pPr>
              <w:spacing w:before="60" w:after="60"/>
              <w:ind w:left="85"/>
            </w:pPr>
            <w:r>
              <w:rPr>
                <w:rFonts w:ascii="Calibri" w:hAnsi="Calibri"/>
                <w:b w:val="0"/>
                <w:i w:val="0"/>
                <w:color w:val="374151"/>
                <w:sz w:val="17"/>
              </w:rPr>
              <w:t>217,500đ/hộp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DPP-4 generic cạnh tranh</w:t>
            </w:r>
          </w:p>
        </w:tc>
      </w:tr>
      <w:tr>
        <w:tc>
          <w:tcPr>
            <w:tcW w:type="dxa" w:w="1701"/>
          </w:tcPr>
          <w:p>
            <w:pPr>
              <w:spacing w:before="60" w:after="60"/>
              <w:ind w:left="85"/>
            </w:pPr>
            <w:r>
              <w:rPr>
                <w:rFonts w:ascii="Calibri" w:hAnsi="Calibri"/>
                <w:b/>
                <w:i w:val="0"/>
                <w:color w:val="003B71"/>
                <w:sz w:val="17"/>
              </w:rPr>
              <w:t>JANUS-60</w:t>
            </w:r>
          </w:p>
        </w:tc>
        <w:tc>
          <w:tcPr>
            <w:tcW w:type="dxa" w:w="2381"/>
          </w:tcPr>
          <w:p>
            <w:pPr>
              <w:spacing w:before="60" w:after="60"/>
              <w:ind w:left="85"/>
            </w:pPr>
            <w:r>
              <w:rPr>
                <w:rFonts w:ascii="Calibri" w:hAnsi="Calibri"/>
                <w:b w:val="0"/>
                <w:i w:val="0"/>
                <w:color w:val="374151"/>
                <w:sz w:val="17"/>
              </w:rPr>
              <w:t>Dapoxetine 60mg</w:t>
            </w:r>
          </w:p>
        </w:tc>
        <w:tc>
          <w:tcPr>
            <w:tcW w:type="dxa" w:w="1134"/>
          </w:tcPr>
          <w:p>
            <w:pPr>
              <w:spacing w:before="60" w:after="60"/>
              <w:ind w:left="85"/>
            </w:pPr>
            <w:r>
              <w:rPr>
                <w:rFonts w:ascii="Calibri" w:hAnsi="Calibri"/>
                <w:b w:val="0"/>
                <w:i w:val="0"/>
                <w:color w:val="374151"/>
                <w:sz w:val="17"/>
              </w:rPr>
              <w:t>720,000đ/hộp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w:t>
            </w:r>
          </w:p>
        </w:tc>
        <w:tc>
          <w:tcPr>
            <w:tcW w:type="dxa" w:w="1134"/>
          </w:tcPr>
          <w:p>
            <w:pPr>
              <w:spacing w:before="60" w:after="60"/>
              <w:ind w:left="85"/>
            </w:pPr>
            <w:r>
              <w:rPr>
                <w:rFonts w:ascii="Calibri" w:hAnsi="Calibri"/>
                <w:b w:val="0"/>
                <w:i w:val="0"/>
                <w:color w:val="374151"/>
                <w:sz w:val="17"/>
              </w:rPr>
              <w:t>42,000đ/viên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Cipla generic</w:t>
            </w:r>
          </w:p>
        </w:tc>
      </w:tr>
      <w:tr>
        <w:tc>
          <w:tcPr>
            <w:tcW w:type="dxa" w:w="1701"/>
          </w:tcPr>
          <w:p>
            <w:pPr>
              <w:spacing w:before="60" w:after="60"/>
              <w:ind w:left="85"/>
            </w:pPr>
            <w:r>
              <w:rPr>
                <w:rFonts w:ascii="Calibri" w:hAnsi="Calibri"/>
                <w:b/>
                <w:i w:val="0"/>
                <w:color w:val="003B71"/>
                <w:sz w:val="17"/>
              </w:rPr>
              <w:t>DRYCHES</w:t>
            </w:r>
          </w:p>
        </w:tc>
        <w:tc>
          <w:tcPr>
            <w:tcW w:type="dxa" w:w="2381"/>
          </w:tcPr>
          <w:p>
            <w:pPr>
              <w:spacing w:before="60" w:after="60"/>
              <w:ind w:left="85"/>
            </w:pPr>
            <w:r>
              <w:rPr>
                <w:rFonts w:ascii="Calibri" w:hAnsi="Calibri"/>
                <w:b w:val="0"/>
                <w:i w:val="0"/>
                <w:color w:val="374151"/>
                <w:sz w:val="17"/>
              </w:rPr>
              <w:t>Dutasteride 0.5mg</w:t>
            </w:r>
          </w:p>
        </w:tc>
        <w:tc>
          <w:tcPr>
            <w:tcW w:type="dxa" w:w="1134"/>
          </w:tcPr>
          <w:p>
            <w:pPr>
              <w:spacing w:before="60" w:after="60"/>
              <w:ind w:left="85"/>
            </w:pPr>
            <w:r>
              <w:rPr>
                <w:rFonts w:ascii="Calibri" w:hAnsi="Calibri"/>
                <w:b w:val="0"/>
                <w:i w:val="0"/>
                <w:color w:val="374151"/>
                <w:sz w:val="17"/>
              </w:rPr>
              <w:t>378,000đ/hộp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BPH – thị trường còn ít cạnh tranh</w:t>
            </w:r>
          </w:p>
        </w:tc>
      </w:tr>
      <w:tr>
        <w:tc>
          <w:tcPr>
            <w:tcW w:type="dxa" w:w="1701"/>
          </w:tcPr>
          <w:p>
            <w:pPr>
              <w:spacing w:before="60" w:after="60"/>
              <w:ind w:left="85"/>
            </w:pPr>
            <w:r>
              <w:rPr>
                <w:rFonts w:ascii="Calibri" w:hAnsi="Calibri"/>
                <w:b/>
                <w:i w:val="0"/>
                <w:color w:val="003B71"/>
                <w:sz w:val="17"/>
              </w:rPr>
              <w:t>PECHAUNOX 4/10</w:t>
            </w:r>
          </w:p>
        </w:tc>
        <w:tc>
          <w:tcPr>
            <w:tcW w:type="dxa" w:w="2381"/>
          </w:tcPr>
          <w:p>
            <w:pPr>
              <w:spacing w:before="60" w:after="60"/>
              <w:ind w:left="85"/>
            </w:pPr>
            <w:r>
              <w:rPr>
                <w:rFonts w:ascii="Calibri" w:hAnsi="Calibri"/>
                <w:b w:val="0"/>
                <w:i w:val="0"/>
                <w:color w:val="374151"/>
                <w:sz w:val="17"/>
              </w:rPr>
              <w:t>Perindopril + Amlodipin</w:t>
            </w:r>
          </w:p>
        </w:tc>
        <w:tc>
          <w:tcPr>
            <w:tcW w:type="dxa" w:w="1134"/>
          </w:tcPr>
          <w:p>
            <w:pPr>
              <w:spacing w:before="60" w:after="60"/>
              <w:ind w:left="85"/>
            </w:pPr>
            <w:r>
              <w:rPr>
                <w:rFonts w:ascii="Calibri" w:hAnsi="Calibri"/>
                <w:b w:val="0"/>
                <w:i w:val="0"/>
                <w:color w:val="374151"/>
                <w:sz w:val="17"/>
              </w:rPr>
              <w:t>182,070đ/hộp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Combo cạnh tranh – theo dõi generic Amlodipine</w:t>
            </w:r>
          </w:p>
        </w:tc>
      </w:tr>
      <w:tr>
        <w:tc>
          <w:tcPr>
            <w:tcW w:type="dxa" w:w="1701"/>
          </w:tcPr>
          <w:p>
            <w:pPr>
              <w:spacing w:before="60" w:after="60"/>
              <w:ind w:left="85"/>
            </w:pPr>
            <w:r>
              <w:rPr>
                <w:rFonts w:ascii="Calibri" w:hAnsi="Calibri"/>
                <w:b/>
                <w:i w:val="0"/>
                <w:color w:val="003B71"/>
                <w:sz w:val="17"/>
              </w:rPr>
              <w:t>RAVASTEL-20</w:t>
            </w:r>
          </w:p>
        </w:tc>
        <w:tc>
          <w:tcPr>
            <w:tcW w:type="dxa" w:w="2381"/>
          </w:tcPr>
          <w:p>
            <w:pPr>
              <w:spacing w:before="60" w:after="60"/>
              <w:ind w:left="85"/>
            </w:pPr>
            <w:r>
              <w:rPr>
                <w:rFonts w:ascii="Calibri" w:hAnsi="Calibri"/>
                <w:b w:val="0"/>
                <w:i w:val="0"/>
                <w:color w:val="374151"/>
                <w:sz w:val="17"/>
              </w:rPr>
              <w:t>Rosuvastatin 20mg</w:t>
            </w:r>
          </w:p>
        </w:tc>
        <w:tc>
          <w:tcPr>
            <w:tcW w:type="dxa" w:w="1134"/>
          </w:tcPr>
          <w:p>
            <w:pPr>
              <w:spacing w:before="60" w:after="60"/>
              <w:ind w:left="85"/>
            </w:pPr>
            <w:r>
              <w:rPr>
                <w:rFonts w:ascii="Calibri" w:hAnsi="Calibri"/>
                <w:b w:val="0"/>
                <w:i w:val="0"/>
                <w:color w:val="374151"/>
                <w:sz w:val="17"/>
              </w:rPr>
              <w:t>47,250đ/hộp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Statin – cạnh tranh cao với Atorvastatin generic</w:t>
            </w:r>
          </w:p>
        </w:tc>
      </w:tr>
      <w:tr>
        <w:tc>
          <w:tcPr>
            <w:tcW w:type="dxa" w:w="1701"/>
          </w:tcPr>
          <w:p>
            <w:pPr>
              <w:spacing w:before="60" w:after="60"/>
              <w:ind w:left="85"/>
            </w:pPr>
            <w:r>
              <w:rPr>
                <w:rFonts w:ascii="Calibri" w:hAnsi="Calibri"/>
                <w:b/>
                <w:i w:val="0"/>
                <w:color w:val="003B71"/>
                <w:sz w:val="17"/>
              </w:rPr>
              <w:t>TABAREX-160</w:t>
            </w:r>
          </w:p>
        </w:tc>
        <w:tc>
          <w:tcPr>
            <w:tcW w:type="dxa" w:w="2381"/>
          </w:tcPr>
          <w:p>
            <w:pPr>
              <w:spacing w:before="60" w:after="60"/>
              <w:ind w:left="85"/>
            </w:pPr>
            <w:r>
              <w:rPr>
                <w:rFonts w:ascii="Calibri" w:hAnsi="Calibri"/>
                <w:b w:val="0"/>
                <w:i w:val="0"/>
                <w:color w:val="374151"/>
                <w:sz w:val="17"/>
              </w:rPr>
              <w:t>Valsartan 160mg</w:t>
            </w:r>
          </w:p>
        </w:tc>
        <w:tc>
          <w:tcPr>
            <w:tcW w:type="dxa" w:w="1134"/>
          </w:tcPr>
          <w:p>
            <w:pPr>
              <w:spacing w:before="60" w:after="60"/>
              <w:ind w:left="85"/>
            </w:pPr>
            <w:r>
              <w:rPr>
                <w:rFonts w:ascii="Calibri" w:hAnsi="Calibri"/>
                <w:b w:val="0"/>
                <w:i w:val="0"/>
                <w:color w:val="374151"/>
                <w:sz w:val="17"/>
              </w:rPr>
              <w:t>163,800đ/hộp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OTC &amp; ETC tuyến tỉnh</w:t>
            </w:r>
          </w:p>
        </w:tc>
      </w:tr>
      <w:tr>
        <w:tc>
          <w:tcPr>
            <w:tcW w:type="dxa" w:w="1701"/>
          </w:tcPr>
          <w:p>
            <w:pPr>
              <w:spacing w:before="60" w:after="60"/>
              <w:ind w:left="85"/>
            </w:pPr>
            <w:r>
              <w:rPr>
                <w:rFonts w:ascii="Calibri" w:hAnsi="Calibri"/>
                <w:b/>
                <w:i w:val="0"/>
                <w:color w:val="003B71"/>
                <w:sz w:val="17"/>
              </w:rPr>
              <w:t>HATLOP-150</w:t>
            </w:r>
          </w:p>
        </w:tc>
        <w:tc>
          <w:tcPr>
            <w:tcW w:type="dxa" w:w="2381"/>
          </w:tcPr>
          <w:p>
            <w:pPr>
              <w:spacing w:before="60" w:after="60"/>
              <w:ind w:left="85"/>
            </w:pPr>
            <w:r>
              <w:rPr>
                <w:rFonts w:ascii="Calibri" w:hAnsi="Calibri"/>
                <w:b w:val="0"/>
                <w:i w:val="0"/>
                <w:color w:val="374151"/>
                <w:sz w:val="17"/>
              </w:rPr>
              <w:t>Irbesartan 150mg</w:t>
            </w:r>
          </w:p>
        </w:tc>
        <w:tc>
          <w:tcPr>
            <w:tcW w:type="dxa" w:w="1134"/>
          </w:tcPr>
          <w:p>
            <w:pPr>
              <w:spacing w:before="60" w:after="60"/>
              <w:ind w:left="85"/>
            </w:pPr>
            <w:r>
              <w:rPr>
                <w:rFonts w:ascii="Calibri" w:hAnsi="Calibri"/>
                <w:b w:val="0"/>
                <w:i w:val="0"/>
                <w:color w:val="374151"/>
                <w:sz w:val="17"/>
              </w:rPr>
              <w:t>210,000đ/hộp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thầu bệnh viện tuyến tỉnh</w:t>
            </w:r>
          </w:p>
        </w:tc>
      </w:tr>
      <w:tr>
        <w:tc>
          <w:tcPr>
            <w:tcW w:type="dxa" w:w="1701"/>
          </w:tcPr>
          <w:p>
            <w:pPr>
              <w:spacing w:before="60" w:after="60"/>
              <w:ind w:left="85"/>
            </w:pPr>
            <w:r>
              <w:rPr>
                <w:rFonts w:ascii="Calibri" w:hAnsi="Calibri"/>
                <w:b/>
                <w:i w:val="0"/>
                <w:color w:val="003B71"/>
                <w:sz w:val="17"/>
              </w:rPr>
              <w:t>ZABALES</w:t>
            </w:r>
          </w:p>
        </w:tc>
        <w:tc>
          <w:tcPr>
            <w:tcW w:type="dxa" w:w="2381"/>
          </w:tcPr>
          <w:p>
            <w:pPr>
              <w:spacing w:before="60" w:after="60"/>
              <w:ind w:left="85"/>
            </w:pPr>
            <w:r>
              <w:rPr>
                <w:rFonts w:ascii="Calibri" w:hAnsi="Calibri"/>
                <w:b w:val="0"/>
                <w:i w:val="0"/>
                <w:color w:val="374151"/>
                <w:sz w:val="17"/>
              </w:rPr>
              <w:t>Clopidogrel 75mg</w:t>
            </w:r>
          </w:p>
        </w:tc>
        <w:tc>
          <w:tcPr>
            <w:tcW w:type="dxa" w:w="1134"/>
          </w:tcPr>
          <w:p>
            <w:pPr>
              <w:spacing w:before="60" w:after="60"/>
              <w:ind w:left="85"/>
            </w:pPr>
            <w:r>
              <w:rPr>
                <w:rFonts w:ascii="Calibri" w:hAnsi="Calibri"/>
                <w:b w:val="0"/>
                <w:i w:val="0"/>
                <w:color w:val="374151"/>
                <w:sz w:val="17"/>
              </w:rPr>
              <w:t>31,920đ/hộp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Cạnh tranh cao – cần bảo vệ giá thầu</w:t>
            </w:r>
          </w:p>
        </w:tc>
      </w:tr>
      <w:tr>
        <w:tc>
          <w:tcPr>
            <w:tcW w:type="dxa" w:w="1701"/>
          </w:tcPr>
          <w:p>
            <w:pPr>
              <w:spacing w:before="60" w:after="60"/>
              <w:ind w:left="85"/>
            </w:pPr>
            <w:r>
              <w:rPr>
                <w:rFonts w:ascii="Calibri" w:hAnsi="Calibri"/>
                <w:b/>
                <w:i w:val="0"/>
                <w:color w:val="003B71"/>
                <w:sz w:val="17"/>
              </w:rPr>
              <w:t>MAGRAX</w:t>
            </w:r>
          </w:p>
        </w:tc>
        <w:tc>
          <w:tcPr>
            <w:tcW w:type="dxa" w:w="2381"/>
          </w:tcPr>
          <w:p>
            <w:pPr>
              <w:spacing w:before="60" w:after="60"/>
              <w:ind w:left="85"/>
            </w:pPr>
            <w:r>
              <w:rPr>
                <w:rFonts w:ascii="Calibri" w:hAnsi="Calibri"/>
                <w:b w:val="0"/>
                <w:i w:val="0"/>
                <w:color w:val="374151"/>
                <w:sz w:val="17"/>
              </w:rPr>
              <w:t>Etoricoxib 90mg</w:t>
            </w:r>
          </w:p>
        </w:tc>
        <w:tc>
          <w:tcPr>
            <w:tcW w:type="dxa" w:w="1134"/>
          </w:tcPr>
          <w:p>
            <w:pPr>
              <w:spacing w:before="60" w:after="60"/>
              <w:ind w:left="85"/>
            </w:pPr>
            <w:r>
              <w:rPr>
                <w:rFonts w:ascii="Calibri" w:hAnsi="Calibri"/>
                <w:b w:val="0"/>
                <w:i w:val="0"/>
                <w:color w:val="374151"/>
                <w:sz w:val="17"/>
              </w:rPr>
              <w:t>215,000đ/hộp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COX-2 – theo dõi xu hướng điều trị Gout</w:t>
            </w:r>
          </w:p>
        </w:tc>
      </w:tr>
      <w:tr>
        <w:tc>
          <w:tcPr>
            <w:tcW w:type="dxa" w:w="1701"/>
          </w:tcPr>
          <w:p>
            <w:pPr>
              <w:spacing w:before="60" w:after="60"/>
              <w:ind w:left="85"/>
            </w:pPr>
            <w:r>
              <w:rPr>
                <w:rFonts w:ascii="Calibri" w:hAnsi="Calibri"/>
                <w:b/>
                <w:i w:val="0"/>
                <w:color w:val="003B71"/>
                <w:sz w:val="17"/>
              </w:rPr>
              <w:t>ZENTOGOUT-40</w:t>
            </w:r>
          </w:p>
        </w:tc>
        <w:tc>
          <w:tcPr>
            <w:tcW w:type="dxa" w:w="2381"/>
          </w:tcPr>
          <w:p>
            <w:pPr>
              <w:spacing w:before="60" w:after="60"/>
              <w:ind w:left="85"/>
            </w:pPr>
            <w:r>
              <w:rPr>
                <w:rFonts w:ascii="Calibri" w:hAnsi="Calibri"/>
                <w:b w:val="0"/>
                <w:i w:val="0"/>
                <w:color w:val="374151"/>
                <w:sz w:val="17"/>
              </w:rPr>
              <w:t>Febuxostat 40mg</w:t>
            </w:r>
          </w:p>
        </w:tc>
        <w:tc>
          <w:tcPr>
            <w:tcW w:type="dxa" w:w="1134"/>
          </w:tcPr>
          <w:p>
            <w:pPr>
              <w:spacing w:before="60" w:after="60"/>
              <w:ind w:left="85"/>
            </w:pPr>
            <w:r>
              <w:rPr>
                <w:rFonts w:ascii="Calibri" w:hAnsi="Calibri"/>
                <w:b w:val="0"/>
                <w:i w:val="0"/>
                <w:color w:val="374151"/>
                <w:sz w:val="17"/>
              </w:rPr>
              <w:t>240,000đ/hộp</w:t>
            </w:r>
          </w:p>
        </w:tc>
        <w:tc>
          <w:tcPr>
            <w:tcW w:type="dxa" w:w="1247"/>
            <w:shd w:val="clear" w:color="auto" w:fill="EFF6FF"/>
          </w:tcPr>
          <w:p>
            <w:pPr>
              <w:spacing w:before="60" w:after="60"/>
              <w:ind w:left="85"/>
            </w:pPr>
            <w:r>
              <w:rPr>
                <w:rFonts w:ascii="Calibri" w:hAnsi="Calibri"/>
                <w:b/>
                <w:i w:val="0"/>
                <w:color w:val="0056D2"/>
                <w:sz w:val="17"/>
              </w:rPr>
              <w:t>Cơ hội</w:t>
            </w:r>
          </w:p>
        </w:tc>
        <w:tc>
          <w:tcPr>
            <w:tcW w:type="dxa" w:w="2608"/>
          </w:tcPr>
          <w:p>
            <w:pPr>
              <w:spacing w:before="60" w:after="60"/>
              <w:ind w:left="85"/>
            </w:pPr>
            <w:r>
              <w:rPr>
                <w:rFonts w:ascii="Calibri" w:hAnsi="Calibri"/>
                <w:b w:val="0"/>
                <w:i w:val="0"/>
                <w:color w:val="374151"/>
                <w:sz w:val="17"/>
              </w:rPr>
              <w:t>Thay thế Allopurinol – đang tăng trưởng</w:t>
            </w:r>
          </w:p>
        </w:tc>
      </w:tr>
      <w:tr>
        <w:tc>
          <w:tcPr>
            <w:tcW w:type="dxa" w:w="1701"/>
          </w:tcPr>
          <w:p>
            <w:pPr>
              <w:spacing w:before="60" w:after="60"/>
              <w:ind w:left="85"/>
            </w:pPr>
            <w:r>
              <w:rPr>
                <w:rFonts w:ascii="Calibri" w:hAnsi="Calibri"/>
                <w:b/>
                <w:i w:val="0"/>
                <w:color w:val="003B71"/>
                <w:sz w:val="17"/>
              </w:rPr>
              <w:t>JIRACEK</w:t>
            </w:r>
          </w:p>
        </w:tc>
        <w:tc>
          <w:tcPr>
            <w:tcW w:type="dxa" w:w="2381"/>
          </w:tcPr>
          <w:p>
            <w:pPr>
              <w:spacing w:before="60" w:after="60"/>
              <w:ind w:left="85"/>
            </w:pPr>
            <w:r>
              <w:rPr>
                <w:rFonts w:ascii="Calibri" w:hAnsi="Calibri"/>
                <w:b w:val="0"/>
                <w:i w:val="0"/>
                <w:color w:val="374151"/>
                <w:sz w:val="17"/>
              </w:rPr>
              <w:t>Esomeprazole 40mg</w:t>
            </w:r>
          </w:p>
        </w:tc>
        <w:tc>
          <w:tcPr>
            <w:tcW w:type="dxa" w:w="1134"/>
          </w:tcPr>
          <w:p>
            <w:pPr>
              <w:spacing w:before="60" w:after="60"/>
              <w:ind w:left="85"/>
            </w:pPr>
            <w:r>
              <w:rPr>
                <w:rFonts w:ascii="Calibri" w:hAnsi="Calibri"/>
                <w:b w:val="0"/>
                <w:i w:val="0"/>
                <w:color w:val="374151"/>
                <w:sz w:val="17"/>
              </w:rPr>
              <w:t>89,600đ/hộp</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PPI – thị trường cạnh tranh, bảo vệ ETC</w:t>
            </w:r>
          </w:p>
        </w:tc>
      </w:tr>
      <w:tr>
        <w:tc>
          <w:tcPr>
            <w:tcW w:type="dxa" w:w="1701"/>
          </w:tcPr>
          <w:p>
            <w:pPr>
              <w:spacing w:before="60" w:after="60"/>
              <w:ind w:left="85"/>
            </w:pPr>
            <w:r>
              <w:rPr>
                <w:rFonts w:ascii="Calibri" w:hAnsi="Calibri"/>
                <w:b/>
                <w:i w:val="0"/>
                <w:color w:val="003B71"/>
                <w:sz w:val="17"/>
              </w:rPr>
              <w:t>SERNAL-4</w:t>
            </w:r>
          </w:p>
        </w:tc>
        <w:tc>
          <w:tcPr>
            <w:tcW w:type="dxa" w:w="2381"/>
          </w:tcPr>
          <w:p>
            <w:pPr>
              <w:spacing w:before="60" w:after="60"/>
              <w:ind w:left="85"/>
            </w:pPr>
            <w:r>
              <w:rPr>
                <w:rFonts w:ascii="Calibri" w:hAnsi="Calibri"/>
                <w:b w:val="0"/>
                <w:i w:val="0"/>
                <w:color w:val="374151"/>
                <w:sz w:val="17"/>
              </w:rPr>
              <w:t>Risperidone 4mg</w:t>
            </w:r>
          </w:p>
        </w:tc>
        <w:tc>
          <w:tcPr>
            <w:tcW w:type="dxa" w:w="1134"/>
          </w:tcPr>
          <w:p>
            <w:pPr>
              <w:spacing w:before="60" w:after="60"/>
              <w:ind w:left="85"/>
            </w:pPr>
            <w:r>
              <w:rPr>
                <w:rFonts w:ascii="Calibri" w:hAnsi="Calibri"/>
                <w:b w:val="0"/>
                <w:i w:val="0"/>
                <w:color w:val="374151"/>
                <w:sz w:val="17"/>
              </w:rPr>
              <w:t>315,000đ/hộp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bệnh viện chuyên khoa</w:t>
            </w:r>
          </w:p>
        </w:tc>
      </w:tr>
      <w:tr>
        <w:tc>
          <w:tcPr>
            <w:tcW w:type="dxa" w:w="1701"/>
          </w:tcPr>
          <w:p>
            <w:pPr>
              <w:spacing w:before="60" w:after="60"/>
              <w:ind w:left="85"/>
            </w:pPr>
            <w:r>
              <w:rPr>
                <w:rFonts w:ascii="Calibri" w:hAnsi="Calibri"/>
                <w:b/>
                <w:i w:val="0"/>
                <w:color w:val="003B71"/>
                <w:sz w:val="17"/>
              </w:rPr>
              <w:t>LAFAXOR</w:t>
            </w:r>
          </w:p>
        </w:tc>
        <w:tc>
          <w:tcPr>
            <w:tcW w:type="dxa" w:w="2381"/>
          </w:tcPr>
          <w:p>
            <w:pPr>
              <w:spacing w:before="60" w:after="60"/>
              <w:ind w:left="85"/>
            </w:pPr>
            <w:r>
              <w:rPr>
                <w:rFonts w:ascii="Calibri" w:hAnsi="Calibri"/>
                <w:b w:val="0"/>
                <w:i w:val="0"/>
                <w:color w:val="374151"/>
                <w:sz w:val="17"/>
              </w:rPr>
              <w:t>Venlafaxine</w:t>
            </w:r>
          </w:p>
        </w:tc>
        <w:tc>
          <w:tcPr>
            <w:tcW w:type="dxa" w:w="1134"/>
          </w:tcPr>
          <w:p>
            <w:pPr>
              <w:spacing w:before="60" w:after="60"/>
              <w:ind w:left="85"/>
            </w:pPr>
            <w:r>
              <w:rPr>
                <w:rFonts w:ascii="Calibri" w:hAnsi="Calibri"/>
                <w:b w:val="0"/>
                <w:i w:val="0"/>
                <w:color w:val="374151"/>
                <w:sz w:val="17"/>
              </w:rPr>
              <w:t>159,000đ/hộp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Kênh phòng khám tư nhân – tiềm năng tăng</w:t>
            </w:r>
          </w:p>
        </w:tc>
      </w:tr>
      <w:tr>
        <w:tc>
          <w:tcPr>
            <w:tcW w:type="dxa" w:w="1701"/>
          </w:tcPr>
          <w:p>
            <w:pPr>
              <w:spacing w:before="60" w:after="60"/>
              <w:ind w:left="85"/>
            </w:pPr>
            <w:r>
              <w:rPr>
                <w:rFonts w:ascii="Calibri" w:hAnsi="Calibri"/>
                <w:b/>
                <w:i w:val="0"/>
                <w:color w:val="003B71"/>
                <w:sz w:val="17"/>
              </w:rPr>
              <w:t>HYYR</w:t>
            </w:r>
          </w:p>
        </w:tc>
        <w:tc>
          <w:tcPr>
            <w:tcW w:type="dxa" w:w="2381"/>
          </w:tcPr>
          <w:p>
            <w:pPr>
              <w:spacing w:before="60" w:after="60"/>
              <w:ind w:left="85"/>
            </w:pPr>
            <w:r>
              <w:rPr>
                <w:rFonts w:ascii="Calibri" w:hAnsi="Calibri"/>
                <w:b w:val="0"/>
                <w:i w:val="0"/>
                <w:color w:val="374151"/>
                <w:sz w:val="17"/>
              </w:rPr>
              <w:t>Erlotinib</w:t>
            </w:r>
          </w:p>
        </w:tc>
        <w:tc>
          <w:tcPr>
            <w:tcW w:type="dxa" w:w="1134"/>
          </w:tcPr>
          <w:p>
            <w:pPr>
              <w:spacing w:before="60" w:after="60"/>
              <w:ind w:left="85"/>
            </w:pPr>
            <w:r>
              <w:rPr>
                <w:rFonts w:ascii="Calibri" w:hAnsi="Calibri"/>
                <w:b w:val="0"/>
                <w:i w:val="0"/>
                <w:color w:val="374151"/>
                <w:sz w:val="17"/>
              </w:rPr>
              <w:t>1,500,000đ/hộp</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Thuốc đặc trị – ưu tiên thầu bệnh viện ung bướu</w:t>
            </w:r>
          </w:p>
        </w:tc>
      </w:tr>
      <w:tr>
        <w:tc>
          <w:tcPr>
            <w:tcW w:type="dxa" w:w="1701"/>
          </w:tcPr>
          <w:p>
            <w:pPr>
              <w:spacing w:before="60" w:after="60"/>
              <w:ind w:left="85"/>
            </w:pPr>
            <w:r>
              <w:rPr>
                <w:rFonts w:ascii="Calibri" w:hAnsi="Calibri"/>
                <w:b/>
                <w:i w:val="0"/>
                <w:color w:val="003B71"/>
                <w:sz w:val="17"/>
              </w:rPr>
              <w:t>LARRIVEY</w:t>
            </w:r>
          </w:p>
        </w:tc>
        <w:tc>
          <w:tcPr>
            <w:tcW w:type="dxa" w:w="2381"/>
          </w:tcPr>
          <w:p>
            <w:pPr>
              <w:spacing w:before="60" w:after="60"/>
              <w:ind w:left="85"/>
            </w:pPr>
            <w:r>
              <w:rPr>
                <w:rFonts w:ascii="Calibri" w:hAnsi="Calibri"/>
                <w:b w:val="0"/>
                <w:i w:val="0"/>
                <w:color w:val="374151"/>
                <w:sz w:val="17"/>
              </w:rPr>
              <w:t>Bicalutamide</w:t>
            </w:r>
          </w:p>
        </w:tc>
        <w:tc>
          <w:tcPr>
            <w:tcW w:type="dxa" w:w="1134"/>
          </w:tcPr>
          <w:p>
            <w:pPr>
              <w:spacing w:before="60" w:after="60"/>
              <w:ind w:left="85"/>
            </w:pPr>
            <w:r>
              <w:rPr>
                <w:rFonts w:ascii="Calibri" w:hAnsi="Calibri"/>
                <w:b w:val="0"/>
                <w:i w:val="0"/>
                <w:color w:val="374151"/>
                <w:sz w:val="17"/>
              </w:rPr>
              <w:t>823,200đ/hộp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Theo dõi phác đồ bệnh viện – biên lợi nhuận cao</w:t>
            </w:r>
          </w:p>
        </w:tc>
      </w:tr>
      <w:tr>
        <w:tc>
          <w:tcPr>
            <w:tcW w:type="dxa" w:w="1701"/>
          </w:tcPr>
          <w:p>
            <w:pPr>
              <w:spacing w:before="60" w:after="60"/>
              <w:ind w:left="85"/>
            </w:pPr>
            <w:r>
              <w:rPr>
                <w:rFonts w:ascii="Calibri" w:hAnsi="Calibri"/>
                <w:b/>
                <w:i w:val="0"/>
                <w:color w:val="003B71"/>
                <w:sz w:val="17"/>
              </w:rPr>
              <w:t>METILONE-4</w:t>
            </w:r>
          </w:p>
        </w:tc>
        <w:tc>
          <w:tcPr>
            <w:tcW w:type="dxa" w:w="2381"/>
          </w:tcPr>
          <w:p>
            <w:pPr>
              <w:spacing w:before="60" w:after="60"/>
              <w:ind w:left="85"/>
            </w:pPr>
            <w:r>
              <w:rPr>
                <w:rFonts w:ascii="Calibri" w:hAnsi="Calibri"/>
                <w:b w:val="0"/>
                <w:i w:val="0"/>
                <w:color w:val="374151"/>
                <w:sz w:val="17"/>
              </w:rPr>
              <w:t>Methylprednisolone 4mg</w:t>
            </w:r>
          </w:p>
        </w:tc>
        <w:tc>
          <w:tcPr>
            <w:tcW w:type="dxa" w:w="1134"/>
          </w:tcPr>
          <w:p>
            <w:pPr>
              <w:spacing w:before="60" w:after="60"/>
              <w:ind w:left="85"/>
            </w:pPr>
            <w:r>
              <w:rPr>
                <w:rFonts w:ascii="Calibri" w:hAnsi="Calibri"/>
                <w:b w:val="0"/>
                <w:i w:val="0"/>
                <w:color w:val="374151"/>
                <w:sz w:val="17"/>
              </w:rPr>
              <w:t>74,000đ/hộp</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Duy trì kênh ETC – theo dõi thầu TT Corticoid</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13/05/2026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Phát triển tài liệu KOL/CME "can thiệp sớm 40+" cho RAVASTEL, EIMLER-10, PECHAUNOX, ZENTOGOUT</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 &amp;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Lão hóa tăng tốc 44 &amp; 60 tuổi (Stanford)</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Xây dựng gói listing peri-operative (JIRACEK, PECHAUNOX, ZABALES) tại Tâm Anh, Vinmec, FV</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Medical Affairs &amp; ETC 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Ung thư đại tràng ~17.000 ca/năm, BV tư nâng cấp</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Rà soát &amp; triển khai tài liệu HYYR chỉ định ung thư tụy tại BV K, Chợ Rẫy, Ung bướu TP.HCM</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Oncology &amp; Medical Affairs</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Nhận thức ung thư tụy tăng (VnExpress)</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Đánh giá khả năng mở rộng danh mục hormone therapy ung thư vú; báo cáo BOD Q3/</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13/05/2026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