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No reg-policy or tender signals this week, but three epidemiological trends (diabetes, oncology, psychiatry) reinforce long-term demand fundamentals for Davipharm's core ETC portfolio.</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Diabetes:Mass-media coverage of T2D complications is driving sustained patient awareness, supporting long-term ETC demand for EIMLER-10 (Empagliflozin) and ZLATKO (Sitagliptin).</w:t>
            </w:r>
          </w:p>
          <w:p>
            <w:pPr>
              <w:spacing w:before="20" w:after="60"/>
              <w:ind w:left="142"/>
            </w:pPr>
            <w:r>
              <w:rPr>
                <w:rFonts w:ascii="Calibri" w:hAnsi="Calibri"/>
                <w:b w:val="0"/>
                <w:i w:val="0"/>
                <w:color w:val="111827"/>
                <w:sz w:val="17"/>
              </w:rPr>
              <w:t>▸  Oncology:Rising cancer screening rates and provincial treatment cost burdens underscore the strategic imperative to secure HYYR (Erlotinib) and LARRIVEY (Bicalutamide) in the next reimbursed tender formulary.</w:t>
            </w:r>
          </w:p>
          <w:p>
            <w:pPr>
              <w:spacing w:before="20" w:after="60"/>
              <w:ind w:left="142"/>
            </w:pPr>
            <w:r>
              <w:rPr>
                <w:rFonts w:ascii="Calibri" w:hAnsi="Calibri"/>
                <w:b w:val="0"/>
                <w:i w:val="0"/>
                <w:color w:val="111827"/>
                <w:sz w:val="17"/>
              </w:rPr>
              <w:t>▸  Psychiatry:Growing community substance abuse signals a long-term rise in psychiatric patient volumes — opportunity to expand SERNAL (Risperidone) and LAFAXOR (Venlafaxine) in psychiatric and general hospital departments.</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1</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9</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S.I.S Can Tho Hospital Guided on Medical Wastewater Compliance</w:t>
            </w:r>
          </w:p>
        </w:tc>
      </w:tr>
    </w:tbl>
    <w:p>
      <w:pPr>
        <w:spacing w:before="40" w:after="40"/>
        <w:ind w:left="170"/>
      </w:pPr>
      <w:r>
        <w:rPr>
          <w:rFonts w:ascii="Calibri" w:hAnsi="Calibri"/>
          <w:b w:val="0"/>
          <w:i/>
          <w:color w:val="6B7280"/>
          <w:sz w:val="18"/>
        </w:rPr>
        <w:t>The article covers environmental compliance at S.I.S International Hospital in Can Tho regarding medical wastewater collection and treatment — with no direct relevance to the pharmaceutical market or drug distribution channels. Content is local administrative in nature with no actionable market intelligence.[Source]</w:t>
      </w:r>
    </w:p>
    <w:p>
      <w:pPr>
        <w:spacing w:before="20" w:after="40"/>
        <w:ind w:left="170"/>
      </w:pPr>
      <w:r>
        <w:rPr>
          <w:rFonts w:ascii="Calibri" w:hAnsi="Calibri"/>
          <w:b/>
          <w:i w:val="0"/>
          <w:color w:val="374151"/>
          <w:sz w:val="17"/>
        </w:rPr>
        <w:t>⚪ This news has no discernible impact on Davipharm's business operations or strategy.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 article falls outside pharmaceutical strategic monitoring scope; recommend excluding similar environmental compliance news from BOD intelligence filters to improve reporting efficiency.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Essential Food Groups for Post-50 Nutrition: Market Signal for Healthy Aging Supplements</w:t>
            </w:r>
          </w:p>
        </w:tc>
      </w:tr>
    </w:tbl>
    <w:p>
      <w:pPr>
        <w:spacing w:before="40" w:after="40"/>
        <w:ind w:left="170"/>
      </w:pPr>
      <w:r>
        <w:rPr>
          <w:rFonts w:ascii="Calibri" w:hAnsi="Calibri"/>
          <w:b w:val="0"/>
          <w:i/>
          <w:color w:val="6B7280"/>
          <w:sz w:val="18"/>
        </w:rPr>
        <w:t>Health media is amplifying nutritional content targeting the 50+ demographic, reflecting growing consumer awareness and demand in Vietnam's rapidly aging population. This trend signals a clear market opportunity in micronutrient supplements, calcium, vitamin D, and omega-3 product lines.[Source]</w:t>
      </w:r>
    </w:p>
    <w:p>
      <w:pPr>
        <w:spacing w:before="20" w:after="40"/>
        <w:ind w:left="170"/>
      </w:pPr>
      <w:r>
        <w:rPr>
          <w:rFonts w:ascii="Calibri" w:hAnsi="Calibri"/>
          <w:b/>
          <w:i w:val="0"/>
          <w:color w:val="166534"/>
          <w:sz w:val="17"/>
        </w:rPr>
        <w:t>📈 Rising health media coverage on senior nutrition signals a market expansion opportunity for Davipharm's nutraceutical portfolio targeting the 50+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Leverage this media trend to accelerate marketing of existing calcium, multivitamin D, and omega-3 products; evaluate launching an "Active 50+" nutritional combo SKU to capture the fast-growing senior consumer segment ahead of competitors.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Supplements to Avoid with Anticoagulant Therapy: Drug-Interaction Alert</w:t>
            </w:r>
          </w:p>
        </w:tc>
      </w:tr>
    </w:tbl>
    <w:p>
      <w:pPr>
        <w:spacing w:before="40" w:after="40"/>
        <w:ind w:left="170"/>
      </w:pPr>
      <w:r>
        <w:rPr>
          <w:rFonts w:ascii="Calibri" w:hAnsi="Calibri"/>
          <w:b w:val="0"/>
          <w:i/>
          <w:color w:val="6B7280"/>
          <w:sz w:val="18"/>
        </w:rPr>
        <w:t>SK&amp;ĐS warns against 11 supplement categories that dangerously interact with anticoagulants, increasing risks of bleeding or abnormal clotting. This surfaces amid Vietnam's booming supplement market where drug-supplement interaction awareness remains critically low.[Source]</w:t>
      </w:r>
    </w:p>
    <w:p>
      <w:pPr>
        <w:spacing w:before="20" w:after="40"/>
        <w:ind w:left="170"/>
      </w:pPr>
      <w:r>
        <w:rPr>
          <w:rFonts w:ascii="Calibri" w:hAnsi="Calibri"/>
          <w:b/>
          <w:i w:val="0"/>
          <w:color w:val="166534"/>
          <w:sz w:val="17"/>
        </w:rPr>
        <w:t>💡 Opportunity for Davipharm to position as a drug-safety authority, gaining B2B and B2C communication advantage in the cardiovascular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Develop a "Safe Anticoagulant Use Guide" distributed through pharmacy chains and prescribing physicians to boost brand visibility in the cardiovascular segment and strengthen ETC/OTC channel relationships. Simultaneously, audit existing OTC/supplement labels to ensure adequate drug-interaction warnings, mitigating regulatory and liability risks.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Severe Chickenpox Complication in Child Highlights Antibiotic &amp; Antiviral Market Opportunity</w:t>
            </w:r>
          </w:p>
        </w:tc>
      </w:tr>
    </w:tbl>
    <w:p>
      <w:pPr>
        <w:spacing w:before="40" w:after="40"/>
        <w:ind w:left="170"/>
      </w:pPr>
      <w:r>
        <w:rPr>
          <w:rFonts w:ascii="Calibri" w:hAnsi="Calibri"/>
          <w:b w:val="0"/>
          <w:i/>
          <w:color w:val="6B7280"/>
          <w:sz w:val="18"/>
        </w:rPr>
        <w:t>A high-profile case of a 6-year-old developing sepsis as a chickenpox complication is raising public awareness of secondary bacterial infections post-viral illness. Demand for antibiotics targeting secondary infections and antivirals in pediatric settings is expected to rise during chickenpox season.[Source]</w:t>
      </w:r>
    </w:p>
    <w:p>
      <w:pPr>
        <w:spacing w:before="20" w:after="40"/>
        <w:ind w:left="170"/>
      </w:pPr>
      <w:r>
        <w:rPr>
          <w:rFonts w:ascii="Calibri" w:hAnsi="Calibri"/>
          <w:b/>
          <w:i w:val="0"/>
          <w:color w:val="166534"/>
          <w:sz w:val="17"/>
        </w:rPr>
        <w:t>📈 Short-term growth opportunity for Davipharm's pediatric antibiotic and chickenpox complication treatment portfolio.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Intensify Medical Rep coverage at pediatric hospitals and clinics with broad-spectrum antibiotics (amoxicillin-clavulanate, cephalosporins) and acyclovir, emphasizing early intervention to prevent complications. Consider publishing KOL-supported materials on chickenpox complication management protocols to strengthen Davipharm's brand presence in the pediatric segment.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"Dr. Luong" Thyroid Surgery Technique Draws International Patients &amp; Medical Professionals</w:t>
            </w:r>
          </w:p>
        </w:tc>
      </w:tr>
    </w:tbl>
    <w:p>
      <w:pPr>
        <w:spacing w:before="40" w:after="40"/>
        <w:ind w:left="170"/>
      </w:pPr>
      <w:r>
        <w:rPr>
          <w:rFonts w:ascii="Calibri" w:hAnsi="Calibri"/>
          <w:b w:val="0"/>
          <w:i/>
          <w:color w:val="6B7280"/>
          <w:sz w:val="18"/>
        </w:rPr>
        <w:t>Vietnam's "Dr. Luong" endoscopic thyroid surgery technique is attracting patients from the Philippines and physicians from Azerbaijan and India, cementing Vietnam's status as a regional medical excellence hub. This inbound medical tourism trend signals growing demand for post-operative and thyroid-related pharmaceuticals at leading hospitals.[Source]</w:t>
      </w:r>
    </w:p>
    <w:p>
      <w:pPr>
        <w:spacing w:before="20" w:after="40"/>
        <w:ind w:left="170"/>
      </w:pPr>
      <w:r>
        <w:rPr>
          <w:rFonts w:ascii="Calibri" w:hAnsi="Calibri"/>
          <w:b/>
          <w:i w:val="0"/>
          <w:color w:val="166534"/>
          <w:sz w:val="17"/>
        </w:rPr>
        <w:t>🟢 Indirect positive signal — growing medical tourism drives incremental demand for thyroid post-op pharmaceuticals at partner hospitals.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should proactively engage hospitals performing the "Dr. Luong" technique to secure preferred tender positioning for levothyroxine, calcium supplements, and post-surgical antibiotics. Rising international patient volumes will elevate drug quality standards — a competitive window for Davipharm's higher-quality generics over imports.</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Ministry of Health Mobilizes ~VND 6B in Medicines &amp; Medical Equipment for Truong Sa Islands</w:t>
            </w:r>
          </w:p>
        </w:tc>
      </w:tr>
    </w:tbl>
    <w:p>
      <w:pPr>
        <w:spacing w:before="40" w:after="40"/>
        <w:ind w:left="170"/>
      </w:pPr>
      <w:r>
        <w:rPr>
          <w:rFonts w:ascii="Calibri" w:hAnsi="Calibri"/>
          <w:b w:val="0"/>
          <w:i/>
          <w:color w:val="6B7280"/>
          <w:sz w:val="18"/>
        </w:rPr>
        <w:t>The Ministry of Health donated nearly VND 6 billion in medicines and medical equipment to seven islands and one offshore platform in Truong Sa, with VND 3.3 billion earmarked for medical supplies and devices. This is a humanitarian/defense initiative outside the commercial ETC tendering channels relevant to Davipharm's core business.[Source]</w:t>
      </w:r>
    </w:p>
    <w:p>
      <w:pPr>
        <w:spacing w:before="20" w:after="40"/>
        <w:ind w:left="170"/>
      </w:pPr>
      <w:r>
        <w:rPr>
          <w:rFonts w:ascii="Calibri" w:hAnsi="Calibri"/>
          <w:b/>
          <w:i w:val="0"/>
          <w:color w:val="374151"/>
          <w:sz w:val="17"/>
        </w:rPr>
        <w:t>⚪ No direct impact on Davipharm's revenue or tender portfolio; monitor only if MoH expands defense healthcare supply into competitive centralized procurement mechanisms.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immediate action required. BD/Tender team may note the military healthcare supply channel (Ministry of Defense) as a long-term opportunity, particularly for essential products such as METILONE-4 (Methylprednisolone) — subject to first verifying the military's separate procurement process.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Triple Synthetic Drug Combo (Ketamine/MDMA/Meth) Triggers Severe CNS Damage — Public Health Alert</w:t>
            </w:r>
          </w:p>
        </w:tc>
      </w:tr>
    </w:tbl>
    <w:p>
      <w:pPr>
        <w:spacing w:before="40" w:after="40"/>
        <w:ind w:left="170"/>
      </w:pPr>
      <w:r>
        <w:rPr>
          <w:rFonts w:ascii="Calibri" w:hAnsi="Calibri"/>
          <w:b w:val="0"/>
          <w:i/>
          <w:color w:val="6B7280"/>
          <w:sz w:val="18"/>
        </w:rPr>
        <w:t>The arrest of singer Miu Lê testing positive for Methamphetamine, MDMA, and Ketamine simultaneously has prompted medical warnings about prolonged CNS damage, depression, and psychiatric disorders from polysubstance abuse. While unrelated to generic procurement or reg-policy, the trend indirectly signals potential growth in demand for psychiatric treatment (depression, anxiety, behavioral disorders) relevant to Davipharm's CNS portfolio.[Source]</w:t>
      </w:r>
    </w:p>
    <w:p>
      <w:pPr>
        <w:spacing w:before="20" w:after="40"/>
        <w:ind w:left="170"/>
      </w:pPr>
      <w:r>
        <w:rPr>
          <w:rFonts w:ascii="Calibri" w:hAnsi="Calibri"/>
          <w:b/>
          <w:i w:val="0"/>
          <w:color w:val="374151"/>
          <w:sz w:val="17"/>
        </w:rPr>
        <w:t>📊 No direct revenue or tender impact; monitor rising psychiatric patient volumes as a long-term demand signal for SERNAL (Risperidone) and LAFAXOR (Venlafaxine) in the ETC channel.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teams to monitor epidemiological data on substance-abuse-related psychiatric disorders; assess opportunity to expand SERNAL and LAFAXOR listings in psychiatric hospitals and general hospital psychiatry departments ahead of the next tender cycle (est. 2025–2026).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UK Military Parachute Drop to Rescue Suspected Hantavirus Patient on Remote Island</w:t>
            </w:r>
          </w:p>
        </w:tc>
      </w:tr>
    </w:tbl>
    <w:p>
      <w:pPr>
        <w:spacing w:before="40" w:after="40"/>
        <w:ind w:left="170"/>
      </w:pPr>
      <w:r>
        <w:rPr>
          <w:rFonts w:ascii="Calibri" w:hAnsi="Calibri"/>
          <w:b w:val="0"/>
          <w:i/>
          <w:color w:val="6B7280"/>
          <w:sz w:val="18"/>
        </w:rPr>
        <w:t>The UK military conducted an emergency parachute operation to Tristan da Cunha to treat a suspected Hantavirus (Andes strain) case from the MV Hondius, which has caused 3 deaths; the outbreak has potential person-to-person transmission. This international health event has no direct relevance to Vietnam's pharmaceutical market or Davipharm's product portfolio.[Source]</w:t>
      </w:r>
    </w:p>
    <w:p>
      <w:pPr>
        <w:spacing w:before="20" w:after="40"/>
        <w:ind w:left="170"/>
      </w:pPr>
      <w:r>
        <w:rPr>
          <w:rFonts w:ascii="Calibri" w:hAnsi="Calibri"/>
          <w:b/>
          <w:i w:val="0"/>
          <w:color w:val="374151"/>
          <w:sz w:val="17"/>
        </w:rPr>
        <w:t>⚪ No direct impact on Davipharm — international health news outside the company's product portfolio and target market scope.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BOD may monitor only if WHO or Vietnam's Ministry of Health issues a domestic Hantavirus epidemiological alert; currently, no Davipharm product addresses Hantavirus treatment.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Ultra-Processed Food Linked to Colorectal Cancer Rise — Implications for Oncology Drug Demand</w:t>
            </w:r>
          </w:p>
        </w:tc>
      </w:tr>
    </w:tbl>
    <w:p>
      <w:pPr>
        <w:spacing w:before="40" w:after="40"/>
        <w:ind w:left="170"/>
      </w:pPr>
      <w:r>
        <w:rPr>
          <w:rFonts w:ascii="Calibri" w:hAnsi="Calibri"/>
          <w:b w:val="0"/>
          <w:i/>
          <w:color w:val="6B7280"/>
          <w:sz w:val="18"/>
        </w:rPr>
        <w:t>A JAMA Oncology study confirms that high ultra-processed food consumption significantly raises adenomatous polyp risk, accelerating early colorectal cancer screening and treatment trends in Vietnam. This trend may expand the addressable ETC market for Davipharm's oncology portfolio, particularly HYYR (Erlotinib) and LARRIVEY (Bicalutamide) in hospital channels.[Source]</w:t>
      </w:r>
    </w:p>
    <w:p>
      <w:pPr>
        <w:spacing w:before="20" w:after="40"/>
        <w:ind w:left="170"/>
      </w:pPr>
      <w:r>
        <w:rPr>
          <w:rFonts w:ascii="Calibri" w:hAnsi="Calibri"/>
          <w:b/>
          <w:i w:val="0"/>
          <w:color w:val="374151"/>
          <w:sz w:val="17"/>
        </w:rPr>
        <w:t>📊 Long-term signal: rising oncology demand benefits the high-value ETC portfolio, but near-term revenue impact remains indirect and requires monitoring.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 Marketing Team, in coordination with Medical Affairs, should monitor colorectal cancer screening volume at key hospitals and assess opportunities to expand HYYR and LARRIVEY positioning ahead of the next tender cycle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Natural Beetroot Trend for Blood Pressure Control — Soft Competitive Signal for Antihypertensive Portfolio</w:t>
            </w:r>
          </w:p>
        </w:tc>
      </w:tr>
    </w:tbl>
    <w:p>
      <w:pPr>
        <w:spacing w:before="40" w:after="40"/>
        <w:ind w:left="170"/>
      </w:pPr>
      <w:r>
        <w:rPr>
          <w:rFonts w:ascii="Calibri" w:hAnsi="Calibri"/>
          <w:b w:val="0"/>
          <w:i/>
          <w:color w:val="6B7280"/>
          <w:sz w:val="18"/>
        </w:rPr>
        <w:t>Mainstream health media is promoting beetroot juice (reducing BP ~8/4 mmHg) as a drug-free alternative for hypertension, potentially reinforcing a "no medication needed" mindset among mild hypertensive patients — the target base for PECHAUNOX (Perindopril+Amlodipine), TABAREX (Valsartan), and HATLOP (Irbesartan). However, this content originates from international sources and does not yet reflect prescribing behavior changes in Vietnam.[Source]</w:t>
      </w:r>
    </w:p>
    <w:p>
      <w:pPr>
        <w:spacing w:before="20" w:after="40"/>
        <w:ind w:left="170"/>
      </w:pPr>
      <w:r>
        <w:rPr>
          <w:rFonts w:ascii="Calibri" w:hAnsi="Calibri"/>
          <w:b/>
          <w:i w:val="0"/>
          <w:color w:val="374151"/>
          <w:sz w:val="17"/>
        </w:rPr>
        <w:t>⚠️ Low long-term risk — the "food over medicine" trend may delay initiation in mild hypertension patients, but is insufficient to materially impact Davipharm's ETC hospital channel revenue in the near term.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team (cardiovascular) should monitor Vietnamese social media for rising "drug-free BP control" content frequency; if trend escalates through Q3/2025, coordinate with Medical Affairs to prepare HCP education materials reinforcing the irreplaceable role of pharmacotherapy (PECHAUNOX, TABAREX) in Grade 2+ hypertension and patients with comorbidities.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Pediatric Neuroblastoma: High Cost Burden of Stem Cell Transplant Highlights Unmet Treatment Support Needs</w:t>
            </w:r>
          </w:p>
        </w:tc>
      </w:tr>
    </w:tbl>
    <w:p>
      <w:pPr>
        <w:spacing w:before="40" w:after="40"/>
        <w:ind w:left="170"/>
      </w:pPr>
      <w:r>
        <w:rPr>
          <w:rFonts w:ascii="Calibri" w:hAnsi="Calibri"/>
          <w:b w:val="0"/>
          <w:i/>
          <w:color w:val="6B7280"/>
          <w:sz w:val="18"/>
        </w:rPr>
        <w:t>The article details the treatment journey of a pediatric neuroblastoma patient at Hue Central Hospital, where stem cell transplant costs reach VND 200–300 million — far beyond the means of low-income families. For Davipharm, this highlights the pediatric oncology ETC segment as high-need but heavily dependent on insurance reimbursement and social support funding.[Source]</w:t>
      </w:r>
    </w:p>
    <w:p>
      <w:pPr>
        <w:spacing w:before="20" w:after="40"/>
        <w:ind w:left="170"/>
      </w:pPr>
      <w:r>
        <w:rPr>
          <w:rFonts w:ascii="Calibri" w:hAnsi="Calibri"/>
          <w:b/>
          <w:i w:val="0"/>
          <w:color w:val="374151"/>
          <w:sz w:val="17"/>
        </w:rPr>
        <w:t>➖ No direct impact on Davipharm's current portfolio; however, signals continued demand for oncology supportive care — indirectly relevant to HYYR (Erlotinib) and LARRIVEY (Bicalutamide) positioning in provincial hospital ETC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ETC/Oncology team to log this as market context: growing demand for pediatric and late-stage cancer treatment at provincial hospitals remains constrained by insurance coverage — reinforcing the priority to secure HYYR (Erlotinib) and LARRIVEY (Bicalutamide) in the next tendering cycle's reimbursed formulary. No urgent action required; include in next quarterly market landscape update.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Sleep Tips for Type 2 Diabetics: Patient Awareness Signal for EIMLER-10 &amp; ZLATKO</w:t>
            </w:r>
          </w:p>
        </w:tc>
      </w:tr>
    </w:tbl>
    <w:p>
      <w:pPr>
        <w:spacing w:before="40" w:after="40"/>
        <w:ind w:left="170"/>
      </w:pPr>
      <w:r>
        <w:rPr>
          <w:rFonts w:ascii="Calibri" w:hAnsi="Calibri"/>
          <w:b w:val="0"/>
          <w:i/>
          <w:color w:val="6B7280"/>
          <w:sz w:val="18"/>
        </w:rPr>
        <w:t>This widely-read VnExpress article highlights type 2 diabetes complications (peripheral neuropathy, sleep apnea) and the critical role of blood glucose control, indirectly increasing treatment awareness among patients. This supports sustained market demand for Davipharm's EIMLER-10 (Empagliflozin) and ZLATKO (Sitagliptin).[Source]</w:t>
      </w:r>
    </w:p>
    <w:p>
      <w:pPr>
        <w:spacing w:before="20" w:after="40"/>
        <w:ind w:left="170"/>
      </w:pPr>
      <w:r>
        <w:rPr>
          <w:rFonts w:ascii="Calibri" w:hAnsi="Calibri"/>
          <w:b/>
          <w:i w:val="0"/>
          <w:color w:val="374151"/>
          <w:sz w:val="17"/>
        </w:rPr>
        <w:t>📊 Neutral signal — educational content with no direct ETC revenue impact, but reflects growing patient engagement with type 2 diabetes management, a core target segment for EIMLER-10 and ZLATKO.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Team should leverage growing diabetes complication awareness to reinforce detailing materials for EIMLER-10 and ZLATKO, emphasizing sustained glycemic control benefits when engaging primary care prescribers by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New Head of Food Safety Authority Appointed — Leadership Shift at VFA</w:t>
            </w:r>
          </w:p>
        </w:tc>
      </w:tr>
    </w:tbl>
    <w:p>
      <w:pPr>
        <w:spacing w:before="40" w:after="40"/>
        <w:ind w:left="170"/>
      </w:pPr>
      <w:r>
        <w:rPr>
          <w:rFonts w:ascii="Calibri" w:hAnsi="Calibri"/>
          <w:b w:val="0"/>
          <w:i/>
          <w:color w:val="6B7280"/>
          <w:sz w:val="18"/>
        </w:rPr>
        <w:t>Minister of Health Dao Hong Lan officially appointed a new Director of the Vietnam Food Administration (VFA), which oversees functional foods, cosmetics, and related health products. This leadership change may signal policy shifts in advertising controls, product licensing, and regulatory enforcement under VFA's remit.[Source]</w:t>
      </w:r>
    </w:p>
    <w:p>
      <w:pPr>
        <w:spacing w:before="20" w:after="40"/>
        <w:ind w:left="170"/>
      </w:pPr>
      <w:r>
        <w:rPr>
          <w:rFonts w:ascii="Calibri" w:hAnsi="Calibri"/>
          <w:b/>
          <w:i w:val="0"/>
          <w:color w:val="374151"/>
          <w:sz w:val="17"/>
        </w:rPr>
        <w:t>👀 Indirect impact — VFA does not regulate Davipharm's Rx portfolio, but policy shifts on advertising or product classification warrant monitoring.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Regulatory Affairs Team to monitor the new VFA Director's policy priorities in Q2/2025, particularly if Davipharm plans to expand into functional food or VFA-regulated OTC segments; no immediate action required.</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12-Year-Old Develops Terminal Cancer Linked to Excessive Bubble Tea Consumption — NCD Awareness Rising</w:t>
            </w:r>
          </w:p>
        </w:tc>
      </w:tr>
    </w:tbl>
    <w:p>
      <w:pPr>
        <w:spacing w:before="40" w:after="40"/>
        <w:ind w:left="170"/>
      </w:pPr>
      <w:r>
        <w:rPr>
          <w:rFonts w:ascii="Calibri" w:hAnsi="Calibri"/>
          <w:b w:val="0"/>
          <w:i/>
          <w:color w:val="6B7280"/>
          <w:sz w:val="18"/>
        </w:rPr>
        <w:t>A 12-year-old Vietnamese boy was diagnosed with late-stage cancer after replacing water with bubble tea over an extended period, sparking public concern over dietary habits and rising NCD risks among youth. While not directly linked to Davipharm's current portfolio, the case reflects growing public awareness around cancer incidence and oncology treatment demand in Vietnam.[Source]</w:t>
      </w:r>
    </w:p>
    <w:p>
      <w:pPr>
        <w:spacing w:before="20" w:after="40"/>
        <w:ind w:left="170"/>
      </w:pPr>
      <w:r>
        <w:rPr>
          <w:rFonts w:ascii="Calibri" w:hAnsi="Calibri"/>
          <w:b/>
          <w:i w:val="0"/>
          <w:color w:val="374151"/>
          <w:sz w:val="17"/>
        </w:rPr>
        <w:t>📊 Indirect relevance only — rising cancer awareness may gradually support market demand for HYYR (Erlotinib) and LARRIVEY (Bicalutamide), but no immediate near-term business impact is identified.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Oncology Team to monitor cancer-related media trends as background context for HCP education materials supporting HYYR and LARRIVEY; no urgent action required — low priority for this reporting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Aging Accelerates at 44 &amp; 60 — Strategic Window for Cardiovascular, Diabetes &amp; Gout Portfolio</w:t>
            </w:r>
          </w:p>
        </w:tc>
      </w:tr>
    </w:tbl>
    <w:p>
      <w:pPr>
        <w:spacing w:before="40" w:after="40"/>
        <w:ind w:left="170"/>
      </w:pPr>
      <w:r>
        <w:rPr>
          <w:rFonts w:ascii="Calibri" w:hAnsi="Calibri"/>
          <w:b w:val="0"/>
          <w:i/>
          <w:color w:val="6B7280"/>
          <w:sz w:val="18"/>
        </w:rPr>
        <w:t>Stanford research confirms aging accelerates sharply at ~44 (metabolism, inflammation, hormones) and ~60 (cardiovascular, renal, glucose regulation), creating two well-defined chronic disease hotspots. This directly underpins long-term demand for Davipharm's core portfolios: cardiovascular (PECHAUNOX, RAVASTEL, ZABALES), diabetes (EIMLER-10, ZLATKO), gout (ZENTOGOUT, MAGRAX), and pain (COXTONE).[Source]</w:t>
      </w:r>
    </w:p>
    <w:p>
      <w:pPr>
        <w:spacing w:before="20" w:after="40"/>
        <w:ind w:left="170"/>
      </w:pPr>
      <w:r>
        <w:rPr>
          <w:rFonts w:ascii="Calibri" w:hAnsi="Calibri"/>
          <w:b/>
          <w:i w:val="0"/>
          <w:color w:val="166534"/>
          <w:sz w:val="17"/>
        </w:rPr>
        <w:t>🟢 International scientific evidence validates two priority patient segments (40–50 and 60+), providing a strong foundation for Davipharm's Marketing team to build "proactive prevention" messaging across the chronic disease portfolio.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should develop KOL/CME materials leveraging Stanford data to position an "early intervention at 40+" strategy — prioritizing RAVASTEL (LDL control), EIMLER-10 (renal/cardiac protection), ZENTOGOUT (uric acid management), and PECHAUNOX (blood pressure) in Q3/2025; coordinate with Sales team to expand detailing in endocrinology and cardiology clinics targeting the 40–65 age segment.</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Prepare tender dossiers to list HYYR &amp; LARRIVEY in next reimbursed formulary cycle</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Rising oncology screening &amp; provincial hospital demand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Update EIMLER-10 &amp; ZLATKO detailing materials for primary care prescribers by Q3/2025</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Growing T2DM complication awareness in mainstream media</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Monitor "drug-free BP" social content; prep HCP materials for PECHAUNOX &amp; TABAREX</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Beetroot "drug-free" hypertension trend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Map MoD military pharmacy procurement process for METILONE-4 opportunity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