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9072"/>
      </w:tblGrid>
      <w:tr>
        <w:tc>
          <w:tcPr>
            <w:tcW w:type="dxa" w:w="9071"/>
            <w:shd w:val="clear" w:color="auto" w:fill="003B71"/>
            <w:tcBorders>
              <w:top w:val="none" w:sz="6" w:color="auto"/>
              <w:bottom w:val="none" w:sz="6" w:color="auto"/>
              <w:left w:val="none" w:sz="6" w:color="auto"/>
              <w:right w:val="none" w:sz="6" w:color="auto"/>
            </w:tcBorders>
          </w:tcPr>
          <w:p>
            <w:pPr>
              <w:spacing w:before="120" w:after="120"/>
              <w:ind w:left="170"/>
            </w:pPr>
            <w:r>
              <w:rPr>
                <w:rFonts w:ascii="Calibri" w:hAnsi="Calibri"/>
                <w:b/>
                <w:i w:val="0"/>
                <w:color w:val="FFFFFF"/>
                <w:sz w:val="16"/>
              </w:rPr>
              <w:t>MARKET INTELLIGENCE  ·  WEEKLY REPORT</w:t>
            </w:r>
          </w:p>
        </w:tc>
      </w:tr>
    </w:tbl>
    <w:p>
      <w:pPr>
        <w:spacing w:before="720" w:after="360"/>
        <w:jc w:val="center"/>
      </w:pPr>
      <w:r>
        <w:drawing>
          <wp:inline xmlns:a="http://schemas.openxmlformats.org/drawingml/2006/main" xmlns:pic="http://schemas.openxmlformats.org/drawingml/2006/picture">
            <wp:extent cx="3060000" cy="484691"/>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3060000" cy="484691"/>
                    </a:xfrm>
                    <a:prstGeom prst="rect"/>
                  </pic:spPr>
                </pic:pic>
              </a:graphicData>
            </a:graphic>
          </wp:inline>
        </w:drawing>
      </w:r>
    </w:p>
    <w:tbl>
      <w:tblPr>
        <w:tblW w:type="auto" w:w="0"/>
        <w:jc w:val="center"/>
        <w:tblLook w:firstColumn="1" w:firstRow="1" w:lastColumn="0" w:lastRow="0" w:noHBand="0" w:noVBand="1" w:val="04A0"/>
      </w:tblPr>
      <w:tblGrid>
        <w:gridCol w:w="4536"/>
        <w:gridCol w:w="4536"/>
      </w:tblGrid>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REPORT</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i w:val="0"/>
                <w:color w:val="003B71"/>
                <w:sz w:val="19"/>
              </w:rPr>
              <w:t>Market Intelligence Report</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WEEK</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12/05 – 18/05/2026</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DATE</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13/05/2026</w:t>
            </w:r>
          </w:p>
        </w:tc>
      </w:tr>
    </w:tbl>
    <w:p>
      <w:pPr>
        <w:spacing w:before="360"/>
        <w:jc w:val="center"/>
      </w:pPr>
      <w:r>
        <w:rPr>
          <w:rFonts w:ascii="Calibri" w:hAnsi="Calibri"/>
          <w:b w:val="0"/>
          <w:i/>
          <w:color w:val="CCCCCC"/>
          <w:sz w:val="16"/>
        </w:rPr>
        <w:t>Adamed Group  ·  Davipharm  ·  CONFIDENTIAL</w:t>
      </w:r>
    </w:p>
    <w:p>
      <w:r>
        <w:br w:type="page"/>
      </w:r>
    </w:p>
    <w:p>
      <w:pPr>
        <w:spacing w:before="320" w:after="120"/>
        <w:pBdr>
          <w:bottom w:val="single" w:sz="8" w:color="003B71"/>
        </w:pBdr>
      </w:pPr>
      <w:r>
        <w:rPr>
          <w:rFonts w:ascii="Calibri" w:hAnsi="Calibri"/>
          <w:b/>
          <w:i w:val="0"/>
          <w:color w:val="003B71"/>
          <w:sz w:val="22"/>
        </w:rPr>
        <w:t>EXECUTIVE SUMMARY</w:t>
      </w:r>
    </w:p>
    <w:tbl>
      <w:tblPr>
        <w:tblStyle w:val="TableGrid"/>
        <w:tblW w:type="auto" w:w="0"/>
        <w:jc w:val="left"/>
        <w:tblLook w:firstColumn="1" w:firstRow="1" w:lastColumn="0" w:lastRow="0" w:noHBand="0" w:noVBand="1" w:val="04A0"/>
      </w:tblPr>
      <w:tblGrid>
        <w:gridCol w:w="9072"/>
      </w:tblGrid>
      <w:tr>
        <w:tc>
          <w:tcPr>
            <w:tcW w:type="dxa" w:w="9071"/>
            <w:shd w:val="clear" w:color="auto" w:fill="EFF6FF"/>
            <w:tcBorders>
              <w:top w:val="none" w:sz="6" w:color="auto"/>
              <w:bottom w:val="none" w:sz="6" w:color="auto"/>
              <w:left w:val="single" w:sz="18" w:color="0056D2"/>
              <w:right w:val="none" w:sz="6" w:color="auto"/>
            </w:tcBorders>
          </w:tcPr>
          <w:p>
            <w:pPr>
              <w:spacing w:before="80" w:after="80"/>
              <w:ind w:left="170"/>
            </w:pPr>
            <w:r>
              <w:rPr>
                <w:rFonts w:ascii="Calibri" w:hAnsi="Calibri"/>
                <w:b/>
                <w:i w:val="0"/>
                <w:color w:val="111827"/>
                <w:sz w:val="20"/>
              </w:rPr>
              <w:t>Week 11–17 May 2026: Scientific evidence on accelerated aging and younger-onset cancer trends validates long-term demand across Davipharm's chronic disease and oncology portfolios, unlocking cross-listing opportunities in premium private hospital channels.</w:t>
            </w:r>
          </w:p>
        </w:tc>
      </w:tr>
    </w:tbl>
    <w:p>
      <w:pPr>
        <w:spacing w:before="80"/>
      </w:pPr>
    </w:p>
    <w:p>
      <w:pPr>
        <w:spacing w:after="80"/>
      </w:pPr>
    </w:p>
    <w:tbl>
      <w:tblPr>
        <w:tblStyle w:val="TableGrid"/>
        <w:tblW w:type="auto" w:w="0"/>
        <w:jc w:val="left"/>
        <w:tblLook w:firstColumn="1" w:firstRow="1" w:lastColumn="0" w:lastRow="0" w:noHBand="0" w:noVBand="1" w:val="04A0"/>
      </w:tblPr>
      <w:tblGrid>
        <w:gridCol w:w="4536"/>
        <w:gridCol w:w="4536"/>
      </w:tblGrid>
      <w:tr>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3B71"/>
                <w:sz w:val="17"/>
              </w:rPr>
              <w:t>💡  KEY INSIGHTS</w:t>
            </w:r>
          </w:p>
          <w:p>
            <w:pPr>
              <w:spacing w:before="20" w:after="60"/>
              <w:ind w:left="142"/>
            </w:pPr>
            <w:r>
              <w:rPr>
                <w:rFonts w:ascii="Calibri" w:hAnsi="Calibri"/>
                <w:b w:val="0"/>
                <w:i w:val="0"/>
                <w:color w:val="111827"/>
                <w:sz w:val="17"/>
              </w:rPr>
              <w:t>▸  Aging acceleration at 44 &amp; 60:Stanford data validates two priority patient segments (40–50 and 60+), providing strong scientific grounding for Marketing to position "early intervention" messaging around RAVASTEL, EIMLER-10, PECHAUNOX, and ZENTOGOUT.</w:t>
            </w:r>
          </w:p>
          <w:p>
            <w:pPr>
              <w:spacing w:before="20" w:after="60"/>
              <w:ind w:left="142"/>
            </w:pPr>
            <w:r>
              <w:rPr>
                <w:rFonts w:ascii="Calibri" w:hAnsi="Calibri"/>
                <w:b w:val="0"/>
                <w:i w:val="0"/>
                <w:color w:val="111827"/>
                <w:sz w:val="17"/>
              </w:rPr>
              <w:t>▸  Colorectal cancer — ~17,000 cases/year:Multi-morbid patients (CV, GI, thrombotic) at major private hospitals open cross-listing opportunities for JIRACEK, PECHAUNOX, and ZABALES within peri-operative supportive protocols.</w:t>
            </w:r>
          </w:p>
          <w:p>
            <w:pPr>
              <w:spacing w:before="20" w:after="60"/>
              <w:ind w:left="142"/>
            </w:pPr>
            <w:r>
              <w:rPr>
                <w:rFonts w:ascii="Calibri" w:hAnsi="Calibri"/>
                <w:b w:val="0"/>
                <w:i w:val="0"/>
                <w:color w:val="111827"/>
                <w:sz w:val="17"/>
              </w:rPr>
              <w:t>▸  Breast cancer portfolio gap:The hormone receptor-positive breast cancer segment is growing but Davipharm has no directly competitive product — M&amp;A/in-licensing of aromatase inhibitors or anti-estrogens warrants assessment.</w:t>
            </w:r>
          </w:p>
        </w:tc>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56D2"/>
                <w:sz w:val="17"/>
              </w:rPr>
              <w:t>⚡  PRIORITY ACTIONS</w:t>
            </w:r>
          </w:p>
        </w:tc>
      </w:tr>
    </w:tbl>
    <w:p>
      <w:pPr>
        <w:spacing w:after="120"/>
      </w:pPr>
    </w:p>
    <w:p>
      <w:pPr>
        <w:spacing w:after="40"/>
      </w:pPr>
    </w:p>
    <w:p>
      <w:pPr>
        <w:spacing w:before="320" w:after="120"/>
        <w:pBdr>
          <w:bottom w:val="single" w:sz="8" w:color="003B71"/>
        </w:pBdr>
      </w:pPr>
      <w:r>
        <w:rPr>
          <w:rFonts w:ascii="Calibri" w:hAnsi="Calibri"/>
          <w:b/>
          <w:i w:val="0"/>
          <w:color w:val="003B71"/>
          <w:sz w:val="22"/>
        </w:rPr>
        <w:t>MARKET SENTIMENT THIS WEEK</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3118"/>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Section</w:t>
            </w:r>
          </w:p>
        </w:tc>
        <w:tc>
          <w:tcPr>
            <w:tcW w:type="dxa" w:w="1701"/>
            <w:shd w:val="clear" w:color="auto" w:fill="166534"/>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Positive</w:t>
            </w:r>
          </w:p>
        </w:tc>
        <w:tc>
          <w:tcPr>
            <w:tcW w:type="dxa" w:w="1984"/>
            <w:shd w:val="clear" w:color="auto" w:fill="37415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Neutral</w:t>
            </w:r>
          </w:p>
        </w:tc>
        <w:tc>
          <w:tcPr>
            <w:tcW w:type="dxa" w:w="2268"/>
            <w:shd w:val="clear" w:color="auto" w:fill="991B1B"/>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Risk / Challenge</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Regulatory &amp; Policy</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4</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1</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5F7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Pharma Industry News</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4</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5</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Competitors</w:t>
            </w:r>
          </w:p>
        </w:tc>
        <w:tc>
          <w:tcPr>
            <w:tcW w:type="dxa" w:w="1701"/>
            <w:shd w:val="clear" w:color="auto" w:fill="E9FB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1984"/>
            <w:shd w:val="clear" w:color="auto" w:fill="F9FAFB"/>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bl>
    <w:p>
      <w:pPr>
        <w:spacing w:after="80"/>
      </w:pPr>
    </w:p>
    <w:p>
      <w:r>
        <w:br w:type="page"/>
      </w:r>
    </w:p>
    <w:p>
      <w:pPr>
        <w:spacing w:before="320" w:after="120"/>
        <w:pBdr>
          <w:bottom w:val="single" w:sz="8" w:color="003B71"/>
        </w:pBdr>
      </w:pPr>
      <w:r>
        <w:rPr>
          <w:rFonts w:ascii="Calibri" w:hAnsi="Calibri"/>
          <w:b/>
          <w:i w:val="0"/>
          <w:color w:val="003B71"/>
          <w:sz w:val="22"/>
        </w:rPr>
        <w:t>REGULATORY &amp; POLICY</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S.I.S Can Tho Hospital Guided on Medical Wastewater Compliance</w:t>
            </w:r>
          </w:p>
        </w:tc>
      </w:tr>
    </w:tbl>
    <w:p>
      <w:pPr>
        <w:spacing w:before="40" w:after="40"/>
        <w:ind w:left="170"/>
      </w:pPr>
      <w:r>
        <w:rPr>
          <w:rFonts w:ascii="Calibri" w:hAnsi="Calibri"/>
          <w:b w:val="0"/>
          <w:i/>
          <w:color w:val="6B7280"/>
          <w:sz w:val="18"/>
        </w:rPr>
        <w:t>The article covers environmental compliance at S.I.S International Hospital in Can Tho regarding medical wastewater collection and treatment — with no direct relevance to the pharmaceutical market or drug distribution channels. Content is local administrative in nature with no actionable market intelligence.[Source]</w:t>
      </w:r>
    </w:p>
    <w:p>
      <w:pPr>
        <w:spacing w:before="20" w:after="40"/>
        <w:ind w:left="170"/>
      </w:pPr>
      <w:r>
        <w:rPr>
          <w:rFonts w:ascii="Calibri" w:hAnsi="Calibri"/>
          <w:b/>
          <w:i w:val="0"/>
          <w:color w:val="374151"/>
          <w:sz w:val="17"/>
        </w:rPr>
        <w:t>⚪ This news has no discernible impact on Davipharm's business operations or strategy.</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No action required — article falls outside pharmaceutical strategic monitoring scope; recommend excluding similar environmental compliance news from BOD intelligence filters to improve reporting efficiency.</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5 Essential Food Groups for Post-50 Nutrition: Market Signal for Healthy Aging Supplements</w:t>
            </w:r>
          </w:p>
        </w:tc>
      </w:tr>
    </w:tbl>
    <w:p>
      <w:pPr>
        <w:spacing w:before="40" w:after="40"/>
        <w:ind w:left="170"/>
      </w:pPr>
      <w:r>
        <w:rPr>
          <w:rFonts w:ascii="Calibri" w:hAnsi="Calibri"/>
          <w:b w:val="0"/>
          <w:i/>
          <w:color w:val="6B7280"/>
          <w:sz w:val="18"/>
        </w:rPr>
        <w:t>Health media is amplifying nutritional content targeting the 50+ demographic, reflecting growing consumer awareness and demand in Vietnam's rapidly aging population. This trend signals a clear market opportunity in micronutrient supplements, calcium, vitamin D, and omega-3 product lines.[Source]</w:t>
      </w:r>
    </w:p>
    <w:p>
      <w:pPr>
        <w:spacing w:before="20" w:after="40"/>
        <w:ind w:left="170"/>
      </w:pPr>
      <w:r>
        <w:rPr>
          <w:rFonts w:ascii="Calibri" w:hAnsi="Calibri"/>
          <w:b/>
          <w:i w:val="0"/>
          <w:color w:val="166534"/>
          <w:sz w:val="17"/>
        </w:rPr>
        <w:t>📈 Rising health media coverage on senior nutrition signals a market expansion opportunity for Davipharm's nutraceutical portfolio targeting the 50+ segment.</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Leverage this media trend to accelerate marketing of existing calcium, multivitamin D, and omega-3 products; evaluate launching an "Active 50+" nutritional combo SKU to capture the fast-growing senior consumer segment ahead of competitors.</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11 Supplements to Avoid with Anticoagulant Therapy: Drug-Interaction Alert</w:t>
            </w:r>
          </w:p>
        </w:tc>
      </w:tr>
    </w:tbl>
    <w:p>
      <w:pPr>
        <w:spacing w:before="40" w:after="40"/>
        <w:ind w:left="170"/>
      </w:pPr>
      <w:r>
        <w:rPr>
          <w:rFonts w:ascii="Calibri" w:hAnsi="Calibri"/>
          <w:b w:val="0"/>
          <w:i/>
          <w:color w:val="6B7280"/>
          <w:sz w:val="18"/>
        </w:rPr>
        <w:t>SK&amp;ĐS warns against 11 supplement categories that dangerously interact with anticoagulants, increasing risks of bleeding or abnormal clotting. This surfaces amid Vietnam's booming supplement market where drug-supplement interaction awareness remains critically low.[Source]</w:t>
      </w:r>
    </w:p>
    <w:p>
      <w:pPr>
        <w:spacing w:before="20" w:after="40"/>
        <w:ind w:left="170"/>
      </w:pPr>
      <w:r>
        <w:rPr>
          <w:rFonts w:ascii="Calibri" w:hAnsi="Calibri"/>
          <w:b/>
          <w:i w:val="0"/>
          <w:color w:val="166534"/>
          <w:sz w:val="17"/>
        </w:rPr>
        <w:t>💡 Opportunity for Davipharm to position as a drug-safety authority, gaining B2B and B2C communication advantage in the cardiovascular segment.</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Develop a "Safe Anticoagulant Use Guide" distributed through pharmacy chains and prescribing physicians to boost brand visibility in the cardiovascular segment and strengthen ETC/OTC channel relationships. Simultaneously, audit existing OTC/supplement labels to ensure adequate drug-interaction warnings, mitigating regulatory and liability risks.</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Severe Chickenpox Complication in Child Highlights Antibiotic &amp; Antiviral Market Opportunity</w:t>
            </w:r>
          </w:p>
        </w:tc>
      </w:tr>
    </w:tbl>
    <w:p>
      <w:pPr>
        <w:spacing w:before="40" w:after="40"/>
        <w:ind w:left="170"/>
      </w:pPr>
      <w:r>
        <w:rPr>
          <w:rFonts w:ascii="Calibri" w:hAnsi="Calibri"/>
          <w:b w:val="0"/>
          <w:i/>
          <w:color w:val="6B7280"/>
          <w:sz w:val="18"/>
        </w:rPr>
        <w:t>A high-profile case of a 6-year-old developing sepsis as a chickenpox complication is raising public awareness of secondary bacterial infections post-viral illness. Demand for antibiotics targeting secondary infections and antivirals in pediatric settings is expected to rise during chickenpox season.[Source]</w:t>
      </w:r>
    </w:p>
    <w:p>
      <w:pPr>
        <w:spacing w:before="20" w:after="40"/>
        <w:ind w:left="170"/>
      </w:pPr>
      <w:r>
        <w:rPr>
          <w:rFonts w:ascii="Calibri" w:hAnsi="Calibri"/>
          <w:b/>
          <w:i w:val="0"/>
          <w:color w:val="166534"/>
          <w:sz w:val="17"/>
        </w:rPr>
        <w:t>📈 Short-term growth opportunity for Davipharm's pediatric antibiotic and chickenpox complication treatment portfolio.</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Intensify Medical Rep coverage at pediatric hospitals and clinics with broad-spectrum antibiotics (amoxicillin-clavulanate, cephalosporins) and acyclovir, emphasizing early intervention to prevent complications. Consider publishing KOL-supported materials on chickenpox complication management protocols to strengthen Davipharm's brand presence in the pediatric segment.</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NHÂN DÂN – XÃ HỘI</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Vietnam's "Dr. Luong" Thyroid Surgery Technique Draws International Patients &amp; Medical Professionals</w:t>
            </w:r>
          </w:p>
        </w:tc>
      </w:tr>
    </w:tbl>
    <w:p>
      <w:pPr>
        <w:spacing w:before="40" w:after="40"/>
        <w:ind w:left="170"/>
      </w:pPr>
      <w:r>
        <w:rPr>
          <w:rFonts w:ascii="Calibri" w:hAnsi="Calibri"/>
          <w:b w:val="0"/>
          <w:i/>
          <w:color w:val="6B7280"/>
          <w:sz w:val="18"/>
        </w:rPr>
        <w:t>Vietnam's "Dr. Luong" endoscopic thyroid surgery technique is attracting patients from the Philippines and physicians from Azerbaijan and India, cementing Vietnam's status as a regional medical excellence hub. This inbound medical tourism trend signals growing demand for post-operative and thyroid-related pharmaceuticals at leading hospitals.[Source]</w:t>
      </w:r>
    </w:p>
    <w:p>
      <w:pPr>
        <w:spacing w:before="20" w:after="40"/>
        <w:ind w:left="170"/>
      </w:pPr>
      <w:r>
        <w:rPr>
          <w:rFonts w:ascii="Calibri" w:hAnsi="Calibri"/>
          <w:b/>
          <w:i w:val="0"/>
          <w:color w:val="166534"/>
          <w:sz w:val="17"/>
        </w:rPr>
        <w:t>🟢 Indirect positive signal — growing medical tourism drives incremental demand for thyroid post-op pharmaceuticals at partner hospitals.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Davipharm should proactively engage hospitals performing the "Dr. Luong" technique to secure preferred tender positioning for levothyroxine, calcium supplements, and post-surgical antibiotics. Rising international patient volumes will elevate drug quality standards — a competitive window for Davipharm's higher-quality generics over imports.</w:t>
            </w:r>
          </w:p>
        </w:tc>
      </w:tr>
    </w:tbl>
    <w:p>
      <w:pPr>
        <w:spacing w:before="40" w:after="120"/>
      </w:pPr>
    </w:p>
    <w:p>
      <w:r>
        <w:br w:type="page"/>
      </w:r>
    </w:p>
    <w:p>
      <w:pPr>
        <w:spacing w:before="320" w:after="120"/>
        <w:pBdr>
          <w:bottom w:val="single" w:sz="8" w:color="003B71"/>
        </w:pBdr>
      </w:pPr>
      <w:r>
        <w:rPr>
          <w:rFonts w:ascii="Calibri" w:hAnsi="Calibri"/>
          <w:b/>
          <w:i w:val="0"/>
          <w:color w:val="003B71"/>
          <w:sz w:val="22"/>
        </w:rPr>
        <w:t>PHARMA INDUSTRY NEWS</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New Head of Food Safety Authority Appointed — Leadership Shift at VFA</w:t>
            </w:r>
          </w:p>
        </w:tc>
      </w:tr>
    </w:tbl>
    <w:p>
      <w:pPr>
        <w:spacing w:before="40" w:after="40"/>
        <w:ind w:left="170"/>
      </w:pPr>
      <w:r>
        <w:rPr>
          <w:rFonts w:ascii="Calibri" w:hAnsi="Calibri"/>
          <w:b w:val="0"/>
          <w:i/>
          <w:color w:val="6B7280"/>
          <w:sz w:val="18"/>
        </w:rPr>
        <w:t>Minister of Health Dao Hong Lan officially appointed a new Director of the Vietnam Food Administration (VFA), which oversees functional foods, cosmetics, and related health products. This leadership change may signal policy shifts in advertising controls, product licensing, and regulatory enforcement under VFA's remit.[Source]</w:t>
      </w:r>
    </w:p>
    <w:p>
      <w:pPr>
        <w:spacing w:before="20" w:after="40"/>
        <w:ind w:left="170"/>
      </w:pPr>
      <w:r>
        <w:rPr>
          <w:rFonts w:ascii="Calibri" w:hAnsi="Calibri"/>
          <w:b/>
          <w:i w:val="0"/>
          <w:color w:val="374151"/>
          <w:sz w:val="17"/>
        </w:rPr>
        <w:t>👀 Indirect impact — VFA does not regulate Davipharm's Rx portfolio, but policy shifts on advertising or product classification warrant monitoring.</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Regulatory Affairs Team to monitor the new VFA Director's policy priorities in Q2/2025, particularly if Davipharm plans to expand into functional food or VFA-regulated OTC segments; no immediate action required.</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12-Year-Old Develops Terminal Cancer Linked to Excessive Bubble Tea Consumption — NCD Awareness Rising</w:t>
            </w:r>
          </w:p>
        </w:tc>
      </w:tr>
    </w:tbl>
    <w:p>
      <w:pPr>
        <w:spacing w:before="40" w:after="40"/>
        <w:ind w:left="170"/>
      </w:pPr>
      <w:r>
        <w:rPr>
          <w:rFonts w:ascii="Calibri" w:hAnsi="Calibri"/>
          <w:b w:val="0"/>
          <w:i/>
          <w:color w:val="6B7280"/>
          <w:sz w:val="18"/>
        </w:rPr>
        <w:t>A 12-year-old Vietnamese boy was diagnosed with late-stage cancer after replacing water with bubble tea over an extended period, sparking public concern over dietary habits and rising NCD risks among youth. While not directly linked to Davipharm's current portfolio, the case reflects growing public awareness around cancer incidence and oncology treatment demand in Vietnam.[Source]</w:t>
      </w:r>
    </w:p>
    <w:p>
      <w:pPr>
        <w:spacing w:before="20" w:after="40"/>
        <w:ind w:left="170"/>
      </w:pPr>
      <w:r>
        <w:rPr>
          <w:rFonts w:ascii="Calibri" w:hAnsi="Calibri"/>
          <w:b/>
          <w:i w:val="0"/>
          <w:color w:val="374151"/>
          <w:sz w:val="17"/>
        </w:rPr>
        <w:t>📊 Indirect relevance only — rising cancer awareness may gradually support market demand for HYYR (Erlotinib) and LARRIVEY (Bicalutamide), but no immediate near-term business impact is identified.</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Oncology Team to monitor cancer-related media trends as background context for HCP education materials supporting HYYR and LARRIVEY; no urgent action required — low priority for this reporting cycle.</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Aging Accelerates at 44 &amp; 60 — Strategic Window for Cardiovascular, Diabetes &amp; Gout Portfolio</w:t>
            </w:r>
          </w:p>
        </w:tc>
      </w:tr>
    </w:tbl>
    <w:p>
      <w:pPr>
        <w:spacing w:before="40" w:after="40"/>
        <w:ind w:left="170"/>
      </w:pPr>
      <w:r>
        <w:rPr>
          <w:rFonts w:ascii="Calibri" w:hAnsi="Calibri"/>
          <w:b w:val="0"/>
          <w:i/>
          <w:color w:val="6B7280"/>
          <w:sz w:val="18"/>
        </w:rPr>
        <w:t>Stanford research confirms aging accelerates sharply at ~44 (metabolism, inflammation, hormones) and ~60 (cardiovascular, renal, glucose regulation), creating two well-defined chronic disease hotspots. This directly underpins long-term demand for Davipharm's core portfolios: cardiovascular (PECHAUNOX, RAVASTEL, ZABALES), diabetes (EIMLER-10, ZLATKO), gout (ZENTOGOUT, MAGRAX), and pain (COXTONE).[Source]</w:t>
      </w:r>
    </w:p>
    <w:p>
      <w:pPr>
        <w:spacing w:before="20" w:after="40"/>
        <w:ind w:left="170"/>
      </w:pPr>
      <w:r>
        <w:rPr>
          <w:rFonts w:ascii="Calibri" w:hAnsi="Calibri"/>
          <w:b/>
          <w:i w:val="0"/>
          <w:color w:val="166534"/>
          <w:sz w:val="17"/>
        </w:rPr>
        <w:t>🟢 International scientific evidence validates two priority patient segments (40–50 and 60+), providing a strong foundation for Davipharm's Marketing team to build "proactive prevention" messaging across the chronic disease portfolio.</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Marketing &amp; Medical Affairs team should develop KOL/CME materials leveraging Stanford data to position an "early intervention at 40+" strategy — prioritizing RAVASTEL (LDL control), EIMLER-10 (renal/cardiac protection), ZENTOGOUT (uric acid management), and PECHAUNOX (blood pressure) in Q3/2025; coordinate with Sales team to expand detailing in endocrinology and cardiology clinics targeting the 40–65 age segment.</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Pancreatic Cancer Overview: Awareness Opportunity for Davipharm Oncology Portfolio (HYYR – Erlotinib)</w:t>
            </w:r>
          </w:p>
        </w:tc>
      </w:tr>
    </w:tbl>
    <w:p>
      <w:pPr>
        <w:spacing w:before="40" w:after="40"/>
        <w:ind w:left="170"/>
      </w:pPr>
      <w:r>
        <w:rPr>
          <w:rFonts w:ascii="Calibri" w:hAnsi="Calibri"/>
          <w:b w:val="0"/>
          <w:i/>
          <w:color w:val="6B7280"/>
          <w:sz w:val="18"/>
        </w:rPr>
        <w:t>This VnExpress health guide raises public awareness of pancreatic cancer — a malignancy with poor prognosis, late-stage diagnosis, and growing treatment demand in Vietnam. Erlotinib (HYYR) holds an approved indication for pancreatic cancer alongside NSCLC, presenting a niche but relevant opportunity for Davipharm's oncology team.[Source]</w:t>
      </w:r>
    </w:p>
    <w:p>
      <w:pPr>
        <w:spacing w:before="20" w:after="40"/>
        <w:ind w:left="170"/>
      </w:pPr>
      <w:r>
        <w:rPr>
          <w:rFonts w:ascii="Calibri" w:hAnsi="Calibri"/>
          <w:b/>
          <w:i w:val="0"/>
          <w:color w:val="374151"/>
          <w:sz w:val="17"/>
        </w:rPr>
        <w:t>📊 Background market awareness signal — no immediate revenue impact, but provides a foundation for the Oncology team to develop medical communication around HYYR's pancreatic cancer indication.</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Oncology team, in coordination with Medical Affairs, should review HYYR (Erlotinib)'s registered indication for advanced pancreatic cancer and develop KOL/oncologist-facing materials targeting key hospitals (K Hospital, Cho Ray, HCMC Oncology) by Q3/2025.</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Colorectal Cancer: ~17,000 New Cases/Year in Vietnam — Market Opportunity for Supportive Therapy Protocols</w:t>
            </w:r>
          </w:p>
        </w:tc>
      </w:tr>
    </w:tbl>
    <w:p>
      <w:pPr>
        <w:spacing w:before="40" w:after="40"/>
        <w:ind w:left="170"/>
      </w:pPr>
      <w:r>
        <w:rPr>
          <w:rFonts w:ascii="Calibri" w:hAnsi="Calibri"/>
          <w:b w:val="0"/>
          <w:i/>
          <w:color w:val="6B7280"/>
          <w:sz w:val="18"/>
        </w:rPr>
        <w:t>Tam Anh Hospital's adoption of Da Vinci Xi robotics reflects the upgrading trend among major private hospitals in colorectal cancer treatment; Globocan 2022 records 16,000–17,000 new colorectal cancer cases and over 8,400 deaths annually in Vietnam. This patient segment—complex, multi-morbid (cardiovascular, thrombotic, GI)—generates strong demand for peri-operative supportive therapies within Davipharm's portfolio.[Source]</w:t>
      </w:r>
    </w:p>
    <w:p>
      <w:pPr>
        <w:spacing w:before="20" w:after="40"/>
        <w:ind w:left="170"/>
      </w:pPr>
      <w:r>
        <w:rPr>
          <w:rFonts w:ascii="Calibri" w:hAnsi="Calibri"/>
          <w:b/>
          <w:i w:val="0"/>
          <w:color w:val="166534"/>
          <w:sz w:val="17"/>
        </w:rPr>
        <w:t>🟢 Multi-morbid colorectal cancer patients open cross-listing opportunities for JIRACEK (Esomeprazole), PECHAUNOX (Perindopril+Amlodipine), ZABALES (Clopidogrel), and LARRIVEY (Bicalutamide) in premium private hospital channels.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Medical Affairs team, in collaboration with ETC Sales, should develop a scientific dossier targeting peri-operative supportive protocols at private hospitals with oncology/GI surgery departments (Tam Anh, Vinmec, FV), prioritizing JIRACEK (mucosal protection post-surgery), PECHAUNOX/ZABALES (cardiovascular-thrombotic comorb</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Breast Cancer Affects Younger Women via Multi-modal Treatment — Oncology Portfolio Opportunity for Davipharm</w:t>
            </w:r>
          </w:p>
        </w:tc>
      </w:tr>
    </w:tbl>
    <w:p>
      <w:pPr>
        <w:spacing w:before="40" w:after="40"/>
        <w:ind w:left="170"/>
      </w:pPr>
      <w:r>
        <w:rPr>
          <w:rFonts w:ascii="Calibri" w:hAnsi="Calibri"/>
          <w:b w:val="0"/>
          <w:i/>
          <w:color w:val="6B7280"/>
          <w:sz w:val="18"/>
        </w:rPr>
        <w:t>A specialist from Tam Anh Hospital confirms the rejuvenation trend in breast cancer and increasing use of multi-modal therapy (radiation, chemotherapy, hormone therapy) lasting 5–10 years, driving sustained demand for oncology-endocrine drugs. Davipharm's current oncology portfolio (LARRIVEY/Bicalutamide, HYYR/Erlotinib) lacks direct coverage of hormone receptor-positive breast cancer — a strategic gap.[Source]</w:t>
      </w:r>
    </w:p>
    <w:p>
      <w:pPr>
        <w:spacing w:before="20" w:after="40"/>
        <w:ind w:left="170"/>
      </w:pPr>
      <w:r>
        <w:rPr>
          <w:rFonts w:ascii="Calibri" w:hAnsi="Calibri"/>
          <w:b/>
          <w:i w:val="0"/>
          <w:color w:val="374151"/>
          <w:sz w:val="17"/>
        </w:rPr>
        <w:t>🔍 Watch signal: the hormone receptor-positive breast cancer segment is expanding, but Davipharm currently lacks a directly competitive product to capture this growing demand.</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Business Development &amp; Oncology team should assess feasibility of expanding the portfolio into breast cancer hormone therapy (aromatase inhibitors/anti-estrogens); Marketing team to reinforce LARRIVEY brand presence at oncology conferences in the interim. Recommend opportunity assessment report to BOD by Q3/2025.</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VIETNAMPLUS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Off-Topic Geopolitical News — No Relevance to Vietnamese Pharma Sector</w:t>
            </w:r>
          </w:p>
        </w:tc>
      </w:tr>
    </w:tbl>
    <w:p>
      <w:pPr>
        <w:spacing w:before="40" w:after="40"/>
        <w:ind w:left="170"/>
      </w:pPr>
      <w:r>
        <w:rPr>
          <w:rFonts w:ascii="Calibri" w:hAnsi="Calibri"/>
          <w:b w:val="0"/>
          <w:i/>
          <w:color w:val="6B7280"/>
          <w:sz w:val="18"/>
        </w:rPr>
        <w:t>The article covers geopolitical disputes between the US, NATO, and Greenland — entirely outside the scope of the Vietnamese pharmaceutical market. No actionable market signals relevant to Davipharm's operations are present.[Source]</w:t>
      </w:r>
    </w:p>
    <w:p>
      <w:pPr>
        <w:spacing w:before="20" w:after="40"/>
        <w:ind w:left="170"/>
      </w:pPr>
      <w:r>
        <w:rPr>
          <w:rFonts w:ascii="Calibri" w:hAnsi="Calibri"/>
          <w:b/>
          <w:i w:val="0"/>
          <w:color w:val="374151"/>
          <w:sz w:val="17"/>
        </w:rPr>
        <w:t>⚪ No direct impact on Davipharm — this article falls outside the pharmaceutical market intelligence scope.</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Recommend source filter refinement: reconfigure keyword filters to exclude irrelevant geopolitical content and improve BOD report quality. No strategic action required from this article.</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VIETNAMPLUS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Houttuynia Cordata: Natural Remedy Trend from Vietnam's Backyard</w:t>
            </w:r>
          </w:p>
        </w:tc>
      </w:tr>
    </w:tbl>
    <w:p>
      <w:pPr>
        <w:spacing w:before="40" w:after="40"/>
        <w:ind w:left="170"/>
      </w:pPr>
      <w:r>
        <w:rPr>
          <w:rFonts w:ascii="Calibri" w:hAnsi="Calibri"/>
          <w:b w:val="0"/>
          <w:i/>
          <w:color w:val="6B7280"/>
          <w:sz w:val="18"/>
        </w:rPr>
        <w:t>Mainstream health media is actively promoting Houttuynia cordata (fish mint) for its skin care and health benefits, reflecting a growing consumer shift toward locally-sourced herbal remedies. This trend strengthens market receptiveness for OTC and functional health products derived from Vietnamese botanicals.[Source]</w:t>
      </w:r>
    </w:p>
    <w:p>
      <w:pPr>
        <w:spacing w:before="20" w:after="40"/>
        <w:ind w:left="170"/>
      </w:pPr>
      <w:r>
        <w:rPr>
          <w:rFonts w:ascii="Calibri" w:hAnsi="Calibri"/>
          <w:b/>
          <w:i w:val="0"/>
          <w:color w:val="166534"/>
          <w:sz w:val="17"/>
        </w:rPr>
        <w:t>🌿 Mild positive signal — mass media is priming consumer demand for domestic herbal products, a space Davipharm can capitalize on.</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Assess feasibility of developing or repositioning OTC/nutraceutical SKUs featuring Houttuynia cordata extract (anti-inflammatory, dermatological support), leveraging low-cost domestic sourcing and current media tailwinds. Prioritize pharmacy chain channels (Long Châu, Pharmacity) to reach the natural-product-conscious consumer segment.</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VIETNAMPLUS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Anti-Seizure Drug Levetiracetam Shows Alzheimer's Prevention Potential</w:t>
            </w:r>
          </w:p>
        </w:tc>
      </w:tr>
    </w:tbl>
    <w:p>
      <w:pPr>
        <w:spacing w:before="40" w:after="40"/>
        <w:ind w:left="170"/>
      </w:pPr>
      <w:r>
        <w:rPr>
          <w:rFonts w:ascii="Calibri" w:hAnsi="Calibri"/>
          <w:b w:val="0"/>
          <w:i/>
          <w:color w:val="6B7280"/>
          <w:sz w:val="18"/>
        </w:rPr>
        <w:t>U.S. scientists found that Levetiracetam, an established anti-epileptic drug, may inhibit amyloid-beta 42 formation — a key driver of Alzheimer's disease progression. This signals a drug repurposing opportunity for an already-proven generic molecule toward a high-value new indication.[Source]</w:t>
      </w:r>
    </w:p>
    <w:p>
      <w:pPr>
        <w:spacing w:before="20" w:after="40"/>
        <w:ind w:left="170"/>
      </w:pPr>
      <w:r>
        <w:rPr>
          <w:rFonts w:ascii="Calibri" w:hAnsi="Calibri"/>
          <w:b/>
          <w:i w:val="0"/>
          <w:color w:val="166534"/>
          <w:sz w:val="17"/>
        </w:rPr>
        <w:t>🟢 Potential upside for Davipharm if Levetiracetam is in the pipeline — repurposing into neurology/Alzheimer's prevention could unlock premium positioning and new tender categories.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Audit the R&amp;D/manufacturing portfolio immediately: if Levetiracetam is feasible, track upcoming clinical trials to prepare supplemental indication filings and position early for neurology hospital tenders and premium retail pharmacy channels.</w:t>
            </w:r>
          </w:p>
        </w:tc>
      </w:tr>
    </w:tbl>
    <w:p>
      <w:pPr>
        <w:spacing w:before="40" w:after="120"/>
      </w:pPr>
    </w:p>
    <w:p>
      <w:r>
        <w:br w:type="page"/>
      </w:r>
    </w:p>
    <w:p>
      <w:pPr>
        <w:spacing w:before="320" w:after="120"/>
        <w:pBdr>
          <w:bottom w:val="single" w:sz="8" w:color="003B71"/>
        </w:pBdr>
      </w:pPr>
      <w:r>
        <w:rPr>
          <w:rFonts w:ascii="Calibri" w:hAnsi="Calibri"/>
          <w:b/>
          <w:i w:val="0"/>
          <w:color w:val="003B71"/>
          <w:sz w:val="22"/>
        </w:rPr>
        <w:t>COMPETITOR INTELLIGENCE</w:t>
      </w:r>
    </w:p>
    <w:p>
      <w:r>
        <w:br w:type="page"/>
      </w:r>
    </w:p>
    <w:p>
      <w:pPr>
        <w:spacing w:before="320" w:after="120"/>
        <w:pBdr>
          <w:bottom w:val="single" w:sz="8" w:color="003B71"/>
        </w:pBdr>
      </w:pPr>
      <w:r>
        <w:rPr>
          <w:rFonts w:ascii="Calibri" w:hAnsi="Calibri"/>
          <w:b/>
          <w:i w:val="0"/>
          <w:color w:val="003B71"/>
          <w:sz w:val="22"/>
        </w:rPr>
        <w:t>PRODUCT PORTFOLIO</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1701"/>
            <w:shd w:val="clear" w:color="auto" w:fill="003B71"/>
          </w:tcPr>
          <w:p>
            <w:pPr>
              <w:spacing w:before="80" w:after="80"/>
              <w:ind w:left="85"/>
            </w:pPr>
            <w:r>
              <w:rPr>
                <w:rFonts w:ascii="Calibri" w:hAnsi="Calibri"/>
                <w:b/>
                <w:i w:val="0"/>
                <w:color w:val="FFFFFF"/>
                <w:sz w:val="17"/>
              </w:rPr>
              <w:t>Product</w:t>
            </w:r>
          </w:p>
        </w:tc>
        <w:tc>
          <w:tcPr>
            <w:tcW w:type="dxa" w:w="2381"/>
            <w:shd w:val="clear" w:color="auto" w:fill="003B71"/>
          </w:tcPr>
          <w:p>
            <w:pPr>
              <w:spacing w:before="80" w:after="80"/>
              <w:ind w:left="85"/>
            </w:pPr>
            <w:r>
              <w:rPr>
                <w:rFonts w:ascii="Calibri" w:hAnsi="Calibri"/>
                <w:b/>
                <w:i w:val="0"/>
                <w:color w:val="FFFFFF"/>
                <w:sz w:val="17"/>
              </w:rPr>
              <w:t>Active · Indication</w:t>
            </w:r>
          </w:p>
        </w:tc>
        <w:tc>
          <w:tcPr>
            <w:tcW w:type="dxa" w:w="1134"/>
            <w:shd w:val="clear" w:color="auto" w:fill="003B71"/>
          </w:tcPr>
          <w:p>
            <w:pPr>
              <w:spacing w:before="80" w:after="80"/>
              <w:ind w:left="85"/>
            </w:pPr>
            <w:r>
              <w:rPr>
                <w:rFonts w:ascii="Calibri" w:hAnsi="Calibri"/>
                <w:b/>
                <w:i w:val="0"/>
                <w:color w:val="FFFFFF"/>
                <w:sz w:val="17"/>
              </w:rPr>
              <w:t>Price</w:t>
            </w:r>
          </w:p>
        </w:tc>
        <w:tc>
          <w:tcPr>
            <w:tcW w:type="dxa" w:w="1247"/>
            <w:shd w:val="clear" w:color="auto" w:fill="003B71"/>
          </w:tcPr>
          <w:p>
            <w:pPr>
              <w:spacing w:before="80" w:after="80"/>
              <w:ind w:left="85"/>
            </w:pPr>
            <w:r>
              <w:rPr>
                <w:rFonts w:ascii="Calibri" w:hAnsi="Calibri"/>
                <w:b/>
                <w:i w:val="0"/>
                <w:color w:val="FFFFFF"/>
                <w:sz w:val="17"/>
              </w:rPr>
              <w:t>Status</w:t>
            </w:r>
          </w:p>
        </w:tc>
        <w:tc>
          <w:tcPr>
            <w:tcW w:type="dxa" w:w="2608"/>
            <w:shd w:val="clear" w:color="auto" w:fill="003B71"/>
          </w:tcPr>
          <w:p>
            <w:pPr>
              <w:spacing w:before="80" w:after="80"/>
              <w:ind w:left="85"/>
            </w:pPr>
            <w:r>
              <w:rPr>
                <w:rFonts w:ascii="Calibri" w:hAnsi="Calibri"/>
                <w:b/>
                <w:i w:val="0"/>
                <w:color w:val="FFFFFF"/>
                <w:sz w:val="17"/>
              </w:rPr>
              <w:t>Strategic Note</w:t>
            </w:r>
          </w:p>
        </w:tc>
      </w:tr>
      <w:tr>
        <w:tc>
          <w:tcPr>
            <w:tcW w:type="dxa" w:w="1701"/>
          </w:tcPr>
          <w:p>
            <w:pPr>
              <w:spacing w:before="60" w:after="60"/>
              <w:ind w:left="85"/>
            </w:pPr>
            <w:r>
              <w:rPr>
                <w:rFonts w:ascii="Calibri" w:hAnsi="Calibri"/>
                <w:b/>
                <w:i w:val="0"/>
                <w:color w:val="003B71"/>
                <w:sz w:val="17"/>
              </w:rPr>
              <w:t>EIMLER-10</w:t>
            </w:r>
          </w:p>
        </w:tc>
        <w:tc>
          <w:tcPr>
            <w:tcW w:type="dxa" w:w="2381"/>
          </w:tcPr>
          <w:p>
            <w:pPr>
              <w:spacing w:before="60" w:after="60"/>
              <w:ind w:left="85"/>
            </w:pPr>
            <w:r>
              <w:rPr>
                <w:rFonts w:ascii="Calibri" w:hAnsi="Calibri"/>
                <w:b w:val="0"/>
                <w:i w:val="0"/>
                <w:color w:val="374151"/>
                <w:sz w:val="17"/>
              </w:rPr>
              <w:t>Empagliflozin 10mg</w:t>
            </w:r>
          </w:p>
        </w:tc>
        <w:tc>
          <w:tcPr>
            <w:tcW w:type="dxa" w:w="1134"/>
          </w:tcPr>
          <w:p>
            <w:pPr>
              <w:spacing w:before="60" w:after="60"/>
              <w:ind w:left="85"/>
            </w:pPr>
            <w:r>
              <w:rPr>
                <w:rFonts w:ascii="Calibri" w:hAnsi="Calibri"/>
                <w:b w:val="0"/>
                <w:i w:val="0"/>
                <w:color w:val="374151"/>
                <w:sz w:val="17"/>
              </w:rPr>
              <w:t>597,000 VND /hộp</w:t>
            </w:r>
          </w:p>
        </w:tc>
        <w:tc>
          <w:tcPr>
            <w:tcW w:type="dxa" w:w="1247"/>
            <w:shd w:val="clear" w:color="auto" w:fill="E7F9EE"/>
          </w:tcPr>
          <w:p>
            <w:pPr>
              <w:spacing w:before="60" w:after="60"/>
              <w:ind w:left="85"/>
            </w:pPr>
            <w:r>
              <w:rPr>
                <w:rFonts w:ascii="Calibri" w:hAnsi="Calibri"/>
                <w:b/>
                <w:i w:val="0"/>
                <w:color w:val="166534"/>
                <w:sz w:val="17"/>
              </w:rPr>
              <w:t>Cơ hội cao</w:t>
            </w:r>
          </w:p>
        </w:tc>
        <w:tc>
          <w:tcPr>
            <w:tcW w:type="dxa" w:w="2608"/>
          </w:tcPr>
          <w:p>
            <w:pPr>
              <w:spacing w:before="60" w:after="60"/>
              <w:ind w:left="85"/>
            </w:pPr>
            <w:r>
              <w:rPr>
                <w:rFonts w:ascii="Calibri" w:hAnsi="Calibri"/>
                <w:b w:val="0"/>
                <w:i w:val="0"/>
                <w:color w:val="374151"/>
                <w:sz w:val="17"/>
              </w:rPr>
              <w:t>Ưu tiên thầu Nhóm 1 – đấu thầu TT 2026</w:t>
            </w:r>
          </w:p>
        </w:tc>
      </w:tr>
      <w:tr>
        <w:tc>
          <w:tcPr>
            <w:tcW w:type="dxa" w:w="1701"/>
          </w:tcPr>
          <w:p>
            <w:pPr>
              <w:spacing w:before="60" w:after="60"/>
              <w:ind w:left="85"/>
            </w:pPr>
            <w:r>
              <w:rPr>
                <w:rFonts w:ascii="Calibri" w:hAnsi="Calibri"/>
                <w:b/>
                <w:i w:val="0"/>
                <w:color w:val="003B71"/>
                <w:sz w:val="17"/>
              </w:rPr>
              <w:t>ZLATKO-50</w:t>
            </w:r>
          </w:p>
        </w:tc>
        <w:tc>
          <w:tcPr>
            <w:tcW w:type="dxa" w:w="2381"/>
          </w:tcPr>
          <w:p>
            <w:pPr>
              <w:spacing w:before="60" w:after="60"/>
              <w:ind w:left="85"/>
            </w:pPr>
            <w:r>
              <w:rPr>
                <w:rFonts w:ascii="Calibri" w:hAnsi="Calibri"/>
                <w:b w:val="0"/>
                <w:i w:val="0"/>
                <w:color w:val="374151"/>
                <w:sz w:val="17"/>
              </w:rPr>
              <w:t>Sitagliptin 50mg</w:t>
            </w:r>
          </w:p>
        </w:tc>
        <w:tc>
          <w:tcPr>
            <w:tcW w:type="dxa" w:w="1134"/>
          </w:tcPr>
          <w:p>
            <w:pPr>
              <w:spacing w:before="60" w:after="60"/>
              <w:ind w:left="85"/>
            </w:pPr>
            <w:r>
              <w:rPr>
                <w:rFonts w:ascii="Calibri" w:hAnsi="Calibri"/>
                <w:b w:val="0"/>
                <w:i w:val="0"/>
                <w:color w:val="374151"/>
                <w:sz w:val="17"/>
              </w:rPr>
              <w:t>217,500 VND /hộp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Theo dõi DPP-4 generic cạnh tranh</w:t>
            </w:r>
          </w:p>
        </w:tc>
      </w:tr>
      <w:tr>
        <w:tc>
          <w:tcPr>
            <w:tcW w:type="dxa" w:w="1701"/>
          </w:tcPr>
          <w:p>
            <w:pPr>
              <w:spacing w:before="60" w:after="60"/>
              <w:ind w:left="85"/>
            </w:pPr>
            <w:r>
              <w:rPr>
                <w:rFonts w:ascii="Calibri" w:hAnsi="Calibri"/>
                <w:b/>
                <w:i w:val="0"/>
                <w:color w:val="003B71"/>
                <w:sz w:val="17"/>
              </w:rPr>
              <w:t>JANUS-60</w:t>
            </w:r>
          </w:p>
        </w:tc>
        <w:tc>
          <w:tcPr>
            <w:tcW w:type="dxa" w:w="2381"/>
          </w:tcPr>
          <w:p>
            <w:pPr>
              <w:spacing w:before="60" w:after="60"/>
              <w:ind w:left="85"/>
            </w:pPr>
            <w:r>
              <w:rPr>
                <w:rFonts w:ascii="Calibri" w:hAnsi="Calibri"/>
                <w:b w:val="0"/>
                <w:i w:val="0"/>
                <w:color w:val="374151"/>
                <w:sz w:val="17"/>
              </w:rPr>
              <w:t>Dapoxetine 60mg</w:t>
            </w:r>
          </w:p>
        </w:tc>
        <w:tc>
          <w:tcPr>
            <w:tcW w:type="dxa" w:w="1134"/>
          </w:tcPr>
          <w:p>
            <w:pPr>
              <w:spacing w:before="60" w:after="60"/>
              <w:ind w:left="85"/>
            </w:pPr>
            <w:r>
              <w:rPr>
                <w:rFonts w:ascii="Calibri" w:hAnsi="Calibri"/>
                <w:b w:val="0"/>
                <w:i w:val="0"/>
                <w:color w:val="374151"/>
                <w:sz w:val="17"/>
              </w:rPr>
              <w:t>720,000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Kiểm tra listing Long Châu / Pharmacity</w:t>
            </w:r>
          </w:p>
        </w:tc>
      </w:tr>
      <w:tr>
        <w:tc>
          <w:tcPr>
            <w:tcW w:type="dxa" w:w="1701"/>
          </w:tcPr>
          <w:p>
            <w:pPr>
              <w:spacing w:before="60" w:after="60"/>
              <w:ind w:left="85"/>
            </w:pPr>
            <w:r>
              <w:rPr>
                <w:rFonts w:ascii="Calibri" w:hAnsi="Calibri"/>
                <w:b/>
                <w:i w:val="0"/>
                <w:color w:val="003B71"/>
                <w:sz w:val="17"/>
              </w:rPr>
              <w:t>TADALAFIL 20MG</w:t>
            </w:r>
          </w:p>
        </w:tc>
        <w:tc>
          <w:tcPr>
            <w:tcW w:type="dxa" w:w="2381"/>
          </w:tcPr>
          <w:p>
            <w:pPr>
              <w:spacing w:before="60" w:after="60"/>
              <w:ind w:left="85"/>
            </w:pPr>
            <w:r>
              <w:rPr>
                <w:rFonts w:ascii="Calibri" w:hAnsi="Calibri"/>
                <w:b w:val="0"/>
                <w:i w:val="0"/>
                <w:color w:val="374151"/>
                <w:sz w:val="17"/>
              </w:rPr>
              <w:t>Tadalafil 20mg</w:t>
            </w:r>
          </w:p>
        </w:tc>
        <w:tc>
          <w:tcPr>
            <w:tcW w:type="dxa" w:w="1134"/>
          </w:tcPr>
          <w:p>
            <w:pPr>
              <w:spacing w:before="60" w:after="60"/>
              <w:ind w:left="85"/>
            </w:pPr>
            <w:r>
              <w:rPr>
                <w:rFonts w:ascii="Calibri" w:hAnsi="Calibri"/>
                <w:b w:val="0"/>
                <w:i w:val="0"/>
                <w:color w:val="374151"/>
                <w:sz w:val="17"/>
              </w:rPr>
              <w:t>42,000 VND /tabs</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Theo dõi giá Sun Pharma, Cipla generic</w:t>
            </w:r>
          </w:p>
        </w:tc>
      </w:tr>
      <w:tr>
        <w:tc>
          <w:tcPr>
            <w:tcW w:type="dxa" w:w="1701"/>
          </w:tcPr>
          <w:p>
            <w:pPr>
              <w:spacing w:before="60" w:after="60"/>
              <w:ind w:left="85"/>
            </w:pPr>
            <w:r>
              <w:rPr>
                <w:rFonts w:ascii="Calibri" w:hAnsi="Calibri"/>
                <w:b/>
                <w:i w:val="0"/>
                <w:color w:val="003B71"/>
                <w:sz w:val="17"/>
              </w:rPr>
              <w:t>DRYCHES</w:t>
            </w:r>
          </w:p>
        </w:tc>
        <w:tc>
          <w:tcPr>
            <w:tcW w:type="dxa" w:w="2381"/>
          </w:tcPr>
          <w:p>
            <w:pPr>
              <w:spacing w:before="60" w:after="60"/>
              <w:ind w:left="85"/>
            </w:pPr>
            <w:r>
              <w:rPr>
                <w:rFonts w:ascii="Calibri" w:hAnsi="Calibri"/>
                <w:b w:val="0"/>
                <w:i w:val="0"/>
                <w:color w:val="374151"/>
                <w:sz w:val="17"/>
              </w:rPr>
              <w:t>Dutasteride 0.5mg</w:t>
            </w:r>
          </w:p>
        </w:tc>
        <w:tc>
          <w:tcPr>
            <w:tcW w:type="dxa" w:w="1134"/>
          </w:tcPr>
          <w:p>
            <w:pPr>
              <w:spacing w:before="60" w:after="60"/>
              <w:ind w:left="85"/>
            </w:pPr>
            <w:r>
              <w:rPr>
                <w:rFonts w:ascii="Calibri" w:hAnsi="Calibri"/>
                <w:b w:val="0"/>
                <w:i w:val="0"/>
                <w:color w:val="374151"/>
                <w:sz w:val="17"/>
              </w:rPr>
              <w:t>378,000 VND /hộp</w:t>
            </w:r>
          </w:p>
        </w:tc>
        <w:tc>
          <w:tcPr>
            <w:tcW w:type="dxa" w:w="1247"/>
            <w:shd w:val="clear" w:color="auto" w:fill="EFF6FF"/>
          </w:tcPr>
          <w:p>
            <w:pPr>
              <w:spacing w:before="60" w:after="60"/>
              <w:ind w:left="85"/>
            </w:pPr>
            <w:r>
              <w:rPr>
                <w:rFonts w:ascii="Calibri" w:hAnsi="Calibri"/>
                <w:b/>
                <w:i w:val="0"/>
                <w:color w:val="0056D2"/>
                <w:sz w:val="17"/>
              </w:rPr>
              <w:t>Cơ hội</w:t>
            </w:r>
          </w:p>
        </w:tc>
        <w:tc>
          <w:tcPr>
            <w:tcW w:type="dxa" w:w="2608"/>
          </w:tcPr>
          <w:p>
            <w:pPr>
              <w:spacing w:before="60" w:after="60"/>
              <w:ind w:left="85"/>
            </w:pPr>
            <w:r>
              <w:rPr>
                <w:rFonts w:ascii="Calibri" w:hAnsi="Calibri"/>
                <w:b w:val="0"/>
                <w:i w:val="0"/>
                <w:color w:val="374151"/>
                <w:sz w:val="17"/>
              </w:rPr>
              <w:t>BPH – thị trường còn ít cạnh tranh</w:t>
            </w:r>
          </w:p>
        </w:tc>
      </w:tr>
      <w:tr>
        <w:tc>
          <w:tcPr>
            <w:tcW w:type="dxa" w:w="1701"/>
          </w:tcPr>
          <w:p>
            <w:pPr>
              <w:spacing w:before="60" w:after="60"/>
              <w:ind w:left="85"/>
            </w:pPr>
            <w:r>
              <w:rPr>
                <w:rFonts w:ascii="Calibri" w:hAnsi="Calibri"/>
                <w:b/>
                <w:i w:val="0"/>
                <w:color w:val="003B71"/>
                <w:sz w:val="17"/>
              </w:rPr>
              <w:t>PECHAUNOX 4/10</w:t>
            </w:r>
          </w:p>
        </w:tc>
        <w:tc>
          <w:tcPr>
            <w:tcW w:type="dxa" w:w="2381"/>
          </w:tcPr>
          <w:p>
            <w:pPr>
              <w:spacing w:before="60" w:after="60"/>
              <w:ind w:left="85"/>
            </w:pPr>
            <w:r>
              <w:rPr>
                <w:rFonts w:ascii="Calibri" w:hAnsi="Calibri"/>
                <w:b w:val="0"/>
                <w:i w:val="0"/>
                <w:color w:val="374151"/>
                <w:sz w:val="17"/>
              </w:rPr>
              <w:t>Perindopril + Amlodipin</w:t>
            </w:r>
          </w:p>
        </w:tc>
        <w:tc>
          <w:tcPr>
            <w:tcW w:type="dxa" w:w="1134"/>
          </w:tcPr>
          <w:p>
            <w:pPr>
              <w:spacing w:before="60" w:after="60"/>
              <w:ind w:left="85"/>
            </w:pPr>
            <w:r>
              <w:rPr>
                <w:rFonts w:ascii="Calibri" w:hAnsi="Calibri"/>
                <w:b w:val="0"/>
                <w:i w:val="0"/>
                <w:color w:val="374151"/>
                <w:sz w:val="17"/>
              </w:rPr>
              <w:t>182,070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Combo cạnh tranh – theo dõi generic Amlodipine</w:t>
            </w:r>
          </w:p>
        </w:tc>
      </w:tr>
      <w:tr>
        <w:tc>
          <w:tcPr>
            <w:tcW w:type="dxa" w:w="1701"/>
          </w:tcPr>
          <w:p>
            <w:pPr>
              <w:spacing w:before="60" w:after="60"/>
              <w:ind w:left="85"/>
            </w:pPr>
            <w:r>
              <w:rPr>
                <w:rFonts w:ascii="Calibri" w:hAnsi="Calibri"/>
                <w:b/>
                <w:i w:val="0"/>
                <w:color w:val="003B71"/>
                <w:sz w:val="17"/>
              </w:rPr>
              <w:t>RAVASTEL-20</w:t>
            </w:r>
          </w:p>
        </w:tc>
        <w:tc>
          <w:tcPr>
            <w:tcW w:type="dxa" w:w="2381"/>
          </w:tcPr>
          <w:p>
            <w:pPr>
              <w:spacing w:before="60" w:after="60"/>
              <w:ind w:left="85"/>
            </w:pPr>
            <w:r>
              <w:rPr>
                <w:rFonts w:ascii="Calibri" w:hAnsi="Calibri"/>
                <w:b w:val="0"/>
                <w:i w:val="0"/>
                <w:color w:val="374151"/>
                <w:sz w:val="17"/>
              </w:rPr>
              <w:t>Rosuvastatin 20mg</w:t>
            </w:r>
          </w:p>
        </w:tc>
        <w:tc>
          <w:tcPr>
            <w:tcW w:type="dxa" w:w="1134"/>
          </w:tcPr>
          <w:p>
            <w:pPr>
              <w:spacing w:before="60" w:after="60"/>
              <w:ind w:left="85"/>
            </w:pPr>
            <w:r>
              <w:rPr>
                <w:rFonts w:ascii="Calibri" w:hAnsi="Calibri"/>
                <w:b w:val="0"/>
                <w:i w:val="0"/>
                <w:color w:val="374151"/>
                <w:sz w:val="17"/>
              </w:rPr>
              <w:t>47,250 VND /hộp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Statin – cạnh tranh cao với Atorvastatin generic</w:t>
            </w:r>
          </w:p>
        </w:tc>
      </w:tr>
      <w:tr>
        <w:tc>
          <w:tcPr>
            <w:tcW w:type="dxa" w:w="1701"/>
          </w:tcPr>
          <w:p>
            <w:pPr>
              <w:spacing w:before="60" w:after="60"/>
              <w:ind w:left="85"/>
            </w:pPr>
            <w:r>
              <w:rPr>
                <w:rFonts w:ascii="Calibri" w:hAnsi="Calibri"/>
                <w:b/>
                <w:i w:val="0"/>
                <w:color w:val="003B71"/>
                <w:sz w:val="17"/>
              </w:rPr>
              <w:t>TABAREX-160</w:t>
            </w:r>
          </w:p>
        </w:tc>
        <w:tc>
          <w:tcPr>
            <w:tcW w:type="dxa" w:w="2381"/>
          </w:tcPr>
          <w:p>
            <w:pPr>
              <w:spacing w:before="60" w:after="60"/>
              <w:ind w:left="85"/>
            </w:pPr>
            <w:r>
              <w:rPr>
                <w:rFonts w:ascii="Calibri" w:hAnsi="Calibri"/>
                <w:b w:val="0"/>
                <w:i w:val="0"/>
                <w:color w:val="374151"/>
                <w:sz w:val="17"/>
              </w:rPr>
              <w:t>Valsartan 160mg</w:t>
            </w:r>
          </w:p>
        </w:tc>
        <w:tc>
          <w:tcPr>
            <w:tcW w:type="dxa" w:w="1134"/>
          </w:tcPr>
          <w:p>
            <w:pPr>
              <w:spacing w:before="60" w:after="60"/>
              <w:ind w:left="85"/>
            </w:pPr>
            <w:r>
              <w:rPr>
                <w:rFonts w:ascii="Calibri" w:hAnsi="Calibri"/>
                <w:b w:val="0"/>
                <w:i w:val="0"/>
                <w:color w:val="374151"/>
                <w:sz w:val="17"/>
              </w:rPr>
              <w:t>163,800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OTC &amp; ETC tuyến tỉnh</w:t>
            </w:r>
          </w:p>
        </w:tc>
      </w:tr>
      <w:tr>
        <w:tc>
          <w:tcPr>
            <w:tcW w:type="dxa" w:w="1701"/>
          </w:tcPr>
          <w:p>
            <w:pPr>
              <w:spacing w:before="60" w:after="60"/>
              <w:ind w:left="85"/>
            </w:pPr>
            <w:r>
              <w:rPr>
                <w:rFonts w:ascii="Calibri" w:hAnsi="Calibri"/>
                <w:b/>
                <w:i w:val="0"/>
                <w:color w:val="003B71"/>
                <w:sz w:val="17"/>
              </w:rPr>
              <w:t>HATLOP-150</w:t>
            </w:r>
          </w:p>
        </w:tc>
        <w:tc>
          <w:tcPr>
            <w:tcW w:type="dxa" w:w="2381"/>
          </w:tcPr>
          <w:p>
            <w:pPr>
              <w:spacing w:before="60" w:after="60"/>
              <w:ind w:left="85"/>
            </w:pPr>
            <w:r>
              <w:rPr>
                <w:rFonts w:ascii="Calibri" w:hAnsi="Calibri"/>
                <w:b w:val="0"/>
                <w:i w:val="0"/>
                <w:color w:val="374151"/>
                <w:sz w:val="17"/>
              </w:rPr>
              <w:t>Irbesartan 150mg</w:t>
            </w:r>
          </w:p>
        </w:tc>
        <w:tc>
          <w:tcPr>
            <w:tcW w:type="dxa" w:w="1134"/>
          </w:tcPr>
          <w:p>
            <w:pPr>
              <w:spacing w:before="60" w:after="60"/>
              <w:ind w:left="85"/>
            </w:pPr>
            <w:r>
              <w:rPr>
                <w:rFonts w:ascii="Calibri" w:hAnsi="Calibri"/>
                <w:b w:val="0"/>
                <w:i w:val="0"/>
                <w:color w:val="374151"/>
                <w:sz w:val="17"/>
              </w:rPr>
              <w:t>210,000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thầu bệnh viện tuyến tỉnh</w:t>
            </w:r>
          </w:p>
        </w:tc>
      </w:tr>
      <w:tr>
        <w:tc>
          <w:tcPr>
            <w:tcW w:type="dxa" w:w="1701"/>
          </w:tcPr>
          <w:p>
            <w:pPr>
              <w:spacing w:before="60" w:after="60"/>
              <w:ind w:left="85"/>
            </w:pPr>
            <w:r>
              <w:rPr>
                <w:rFonts w:ascii="Calibri" w:hAnsi="Calibri"/>
                <w:b/>
                <w:i w:val="0"/>
                <w:color w:val="003B71"/>
                <w:sz w:val="17"/>
              </w:rPr>
              <w:t>ZABALES</w:t>
            </w:r>
          </w:p>
        </w:tc>
        <w:tc>
          <w:tcPr>
            <w:tcW w:type="dxa" w:w="2381"/>
          </w:tcPr>
          <w:p>
            <w:pPr>
              <w:spacing w:before="60" w:after="60"/>
              <w:ind w:left="85"/>
            </w:pPr>
            <w:r>
              <w:rPr>
                <w:rFonts w:ascii="Calibri" w:hAnsi="Calibri"/>
                <w:b w:val="0"/>
                <w:i w:val="0"/>
                <w:color w:val="374151"/>
                <w:sz w:val="17"/>
              </w:rPr>
              <w:t>Clopidogrel 75mg</w:t>
            </w:r>
          </w:p>
        </w:tc>
        <w:tc>
          <w:tcPr>
            <w:tcW w:type="dxa" w:w="1134"/>
          </w:tcPr>
          <w:p>
            <w:pPr>
              <w:spacing w:before="60" w:after="60"/>
              <w:ind w:left="85"/>
            </w:pPr>
            <w:r>
              <w:rPr>
                <w:rFonts w:ascii="Calibri" w:hAnsi="Calibri"/>
                <w:b w:val="0"/>
                <w:i w:val="0"/>
                <w:color w:val="374151"/>
                <w:sz w:val="17"/>
              </w:rPr>
              <w:t>31,920 VND /hộp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Cạnh tranh cao – cần bảo vệ giá thầu</w:t>
            </w:r>
          </w:p>
        </w:tc>
      </w:tr>
      <w:tr>
        <w:tc>
          <w:tcPr>
            <w:tcW w:type="dxa" w:w="1701"/>
          </w:tcPr>
          <w:p>
            <w:pPr>
              <w:spacing w:before="60" w:after="60"/>
              <w:ind w:left="85"/>
            </w:pPr>
            <w:r>
              <w:rPr>
                <w:rFonts w:ascii="Calibri" w:hAnsi="Calibri"/>
                <w:b/>
                <w:i w:val="0"/>
                <w:color w:val="003B71"/>
                <w:sz w:val="17"/>
              </w:rPr>
              <w:t>MAGRAX</w:t>
            </w:r>
          </w:p>
        </w:tc>
        <w:tc>
          <w:tcPr>
            <w:tcW w:type="dxa" w:w="2381"/>
          </w:tcPr>
          <w:p>
            <w:pPr>
              <w:spacing w:before="60" w:after="60"/>
              <w:ind w:left="85"/>
            </w:pPr>
            <w:r>
              <w:rPr>
                <w:rFonts w:ascii="Calibri" w:hAnsi="Calibri"/>
                <w:b w:val="0"/>
                <w:i w:val="0"/>
                <w:color w:val="374151"/>
                <w:sz w:val="17"/>
              </w:rPr>
              <w:t>Etoricoxib 90mg</w:t>
            </w:r>
          </w:p>
        </w:tc>
        <w:tc>
          <w:tcPr>
            <w:tcW w:type="dxa" w:w="1134"/>
          </w:tcPr>
          <w:p>
            <w:pPr>
              <w:spacing w:before="60" w:after="60"/>
              <w:ind w:left="85"/>
            </w:pPr>
            <w:r>
              <w:rPr>
                <w:rFonts w:ascii="Calibri" w:hAnsi="Calibri"/>
                <w:b w:val="0"/>
                <w:i w:val="0"/>
                <w:color w:val="374151"/>
                <w:sz w:val="17"/>
              </w:rPr>
              <w:t>215,000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COX-2 – theo dõi xu hướng điều trị Gout</w:t>
            </w:r>
          </w:p>
        </w:tc>
      </w:tr>
      <w:tr>
        <w:tc>
          <w:tcPr>
            <w:tcW w:type="dxa" w:w="1701"/>
          </w:tcPr>
          <w:p>
            <w:pPr>
              <w:spacing w:before="60" w:after="60"/>
              <w:ind w:left="85"/>
            </w:pPr>
            <w:r>
              <w:rPr>
                <w:rFonts w:ascii="Calibri" w:hAnsi="Calibri"/>
                <w:b/>
                <w:i w:val="0"/>
                <w:color w:val="003B71"/>
                <w:sz w:val="17"/>
              </w:rPr>
              <w:t>ZENTOGOUT-40</w:t>
            </w:r>
          </w:p>
        </w:tc>
        <w:tc>
          <w:tcPr>
            <w:tcW w:type="dxa" w:w="2381"/>
          </w:tcPr>
          <w:p>
            <w:pPr>
              <w:spacing w:before="60" w:after="60"/>
              <w:ind w:left="85"/>
            </w:pPr>
            <w:r>
              <w:rPr>
                <w:rFonts w:ascii="Calibri" w:hAnsi="Calibri"/>
                <w:b w:val="0"/>
                <w:i w:val="0"/>
                <w:color w:val="374151"/>
                <w:sz w:val="17"/>
              </w:rPr>
              <w:t>Febuxostat 40mg</w:t>
            </w:r>
          </w:p>
        </w:tc>
        <w:tc>
          <w:tcPr>
            <w:tcW w:type="dxa" w:w="1134"/>
          </w:tcPr>
          <w:p>
            <w:pPr>
              <w:spacing w:before="60" w:after="60"/>
              <w:ind w:left="85"/>
            </w:pPr>
            <w:r>
              <w:rPr>
                <w:rFonts w:ascii="Calibri" w:hAnsi="Calibri"/>
                <w:b w:val="0"/>
                <w:i w:val="0"/>
                <w:color w:val="374151"/>
                <w:sz w:val="17"/>
              </w:rPr>
              <w:t>240,000 VND /hộp</w:t>
            </w:r>
          </w:p>
        </w:tc>
        <w:tc>
          <w:tcPr>
            <w:tcW w:type="dxa" w:w="1247"/>
            <w:shd w:val="clear" w:color="auto" w:fill="EFF6FF"/>
          </w:tcPr>
          <w:p>
            <w:pPr>
              <w:spacing w:before="60" w:after="60"/>
              <w:ind w:left="85"/>
            </w:pPr>
            <w:r>
              <w:rPr>
                <w:rFonts w:ascii="Calibri" w:hAnsi="Calibri"/>
                <w:b/>
                <w:i w:val="0"/>
                <w:color w:val="0056D2"/>
                <w:sz w:val="17"/>
              </w:rPr>
              <w:t>Cơ hội</w:t>
            </w:r>
          </w:p>
        </w:tc>
        <w:tc>
          <w:tcPr>
            <w:tcW w:type="dxa" w:w="2608"/>
          </w:tcPr>
          <w:p>
            <w:pPr>
              <w:spacing w:before="60" w:after="60"/>
              <w:ind w:left="85"/>
            </w:pPr>
            <w:r>
              <w:rPr>
                <w:rFonts w:ascii="Calibri" w:hAnsi="Calibri"/>
                <w:b w:val="0"/>
                <w:i w:val="0"/>
                <w:color w:val="374151"/>
                <w:sz w:val="17"/>
              </w:rPr>
              <w:t>Thay thế Allopurinol – đang tăng trưởng</w:t>
            </w:r>
          </w:p>
        </w:tc>
      </w:tr>
      <w:tr>
        <w:tc>
          <w:tcPr>
            <w:tcW w:type="dxa" w:w="1701"/>
          </w:tcPr>
          <w:p>
            <w:pPr>
              <w:spacing w:before="60" w:after="60"/>
              <w:ind w:left="85"/>
            </w:pPr>
            <w:r>
              <w:rPr>
                <w:rFonts w:ascii="Calibri" w:hAnsi="Calibri"/>
                <w:b/>
                <w:i w:val="0"/>
                <w:color w:val="003B71"/>
                <w:sz w:val="17"/>
              </w:rPr>
              <w:t>JIRACEK</w:t>
            </w:r>
          </w:p>
        </w:tc>
        <w:tc>
          <w:tcPr>
            <w:tcW w:type="dxa" w:w="2381"/>
          </w:tcPr>
          <w:p>
            <w:pPr>
              <w:spacing w:before="60" w:after="60"/>
              <w:ind w:left="85"/>
            </w:pPr>
            <w:r>
              <w:rPr>
                <w:rFonts w:ascii="Calibri" w:hAnsi="Calibri"/>
                <w:b w:val="0"/>
                <w:i w:val="0"/>
                <w:color w:val="374151"/>
                <w:sz w:val="17"/>
              </w:rPr>
              <w:t>Esomeprazole 40mg</w:t>
            </w:r>
          </w:p>
        </w:tc>
        <w:tc>
          <w:tcPr>
            <w:tcW w:type="dxa" w:w="1134"/>
          </w:tcPr>
          <w:p>
            <w:pPr>
              <w:spacing w:before="60" w:after="60"/>
              <w:ind w:left="85"/>
            </w:pPr>
            <w:r>
              <w:rPr>
                <w:rFonts w:ascii="Calibri" w:hAnsi="Calibri"/>
                <w:b w:val="0"/>
                <w:i w:val="0"/>
                <w:color w:val="374151"/>
                <w:sz w:val="17"/>
              </w:rPr>
              <w:t>89,600 VND /hộp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PPI – thị trường cạnh tranh, bảo vệ ETC</w:t>
            </w:r>
          </w:p>
        </w:tc>
      </w:tr>
      <w:tr>
        <w:tc>
          <w:tcPr>
            <w:tcW w:type="dxa" w:w="1701"/>
          </w:tcPr>
          <w:p>
            <w:pPr>
              <w:spacing w:before="60" w:after="60"/>
              <w:ind w:left="85"/>
            </w:pPr>
            <w:r>
              <w:rPr>
                <w:rFonts w:ascii="Calibri" w:hAnsi="Calibri"/>
                <w:b/>
                <w:i w:val="0"/>
                <w:color w:val="003B71"/>
                <w:sz w:val="17"/>
              </w:rPr>
              <w:t>SERNAL-4</w:t>
            </w:r>
          </w:p>
        </w:tc>
        <w:tc>
          <w:tcPr>
            <w:tcW w:type="dxa" w:w="2381"/>
          </w:tcPr>
          <w:p>
            <w:pPr>
              <w:spacing w:before="60" w:after="60"/>
              <w:ind w:left="85"/>
            </w:pPr>
            <w:r>
              <w:rPr>
                <w:rFonts w:ascii="Calibri" w:hAnsi="Calibri"/>
                <w:b w:val="0"/>
                <w:i w:val="0"/>
                <w:color w:val="374151"/>
                <w:sz w:val="17"/>
              </w:rPr>
              <w:t>Risperidone 4mg</w:t>
            </w:r>
          </w:p>
        </w:tc>
        <w:tc>
          <w:tcPr>
            <w:tcW w:type="dxa" w:w="1134"/>
          </w:tcPr>
          <w:p>
            <w:pPr>
              <w:spacing w:before="60" w:after="60"/>
              <w:ind w:left="85"/>
            </w:pPr>
            <w:r>
              <w:rPr>
                <w:rFonts w:ascii="Calibri" w:hAnsi="Calibri"/>
                <w:b w:val="0"/>
                <w:i w:val="0"/>
                <w:color w:val="374151"/>
                <w:sz w:val="17"/>
              </w:rPr>
              <w:t>315,000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ETC bệnh viện chuyên khoa</w:t>
            </w:r>
          </w:p>
        </w:tc>
      </w:tr>
      <w:tr>
        <w:tc>
          <w:tcPr>
            <w:tcW w:type="dxa" w:w="1701"/>
          </w:tcPr>
          <w:p>
            <w:pPr>
              <w:spacing w:before="60" w:after="60"/>
              <w:ind w:left="85"/>
            </w:pPr>
            <w:r>
              <w:rPr>
                <w:rFonts w:ascii="Calibri" w:hAnsi="Calibri"/>
                <w:b/>
                <w:i w:val="0"/>
                <w:color w:val="003B71"/>
                <w:sz w:val="17"/>
              </w:rPr>
              <w:t>LAFAXOR</w:t>
            </w:r>
          </w:p>
        </w:tc>
        <w:tc>
          <w:tcPr>
            <w:tcW w:type="dxa" w:w="2381"/>
          </w:tcPr>
          <w:p>
            <w:pPr>
              <w:spacing w:before="60" w:after="60"/>
              <w:ind w:left="85"/>
            </w:pPr>
            <w:r>
              <w:rPr>
                <w:rFonts w:ascii="Calibri" w:hAnsi="Calibri"/>
                <w:b w:val="0"/>
                <w:i w:val="0"/>
                <w:color w:val="374151"/>
                <w:sz w:val="17"/>
              </w:rPr>
              <w:t>Venlafaxine</w:t>
            </w:r>
          </w:p>
        </w:tc>
        <w:tc>
          <w:tcPr>
            <w:tcW w:type="dxa" w:w="1134"/>
          </w:tcPr>
          <w:p>
            <w:pPr>
              <w:spacing w:before="60" w:after="60"/>
              <w:ind w:left="85"/>
            </w:pPr>
            <w:r>
              <w:rPr>
                <w:rFonts w:ascii="Calibri" w:hAnsi="Calibri"/>
                <w:b w:val="0"/>
                <w:i w:val="0"/>
                <w:color w:val="374151"/>
                <w:sz w:val="17"/>
              </w:rPr>
              <w:t>159,000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Kênh phòng khám tư nhân – tiềm năng tăng</w:t>
            </w:r>
          </w:p>
        </w:tc>
      </w:tr>
      <w:tr>
        <w:tc>
          <w:tcPr>
            <w:tcW w:type="dxa" w:w="1701"/>
          </w:tcPr>
          <w:p>
            <w:pPr>
              <w:spacing w:before="60" w:after="60"/>
              <w:ind w:left="85"/>
            </w:pPr>
            <w:r>
              <w:rPr>
                <w:rFonts w:ascii="Calibri" w:hAnsi="Calibri"/>
                <w:b/>
                <w:i w:val="0"/>
                <w:color w:val="003B71"/>
                <w:sz w:val="17"/>
              </w:rPr>
              <w:t>HYYR</w:t>
            </w:r>
          </w:p>
        </w:tc>
        <w:tc>
          <w:tcPr>
            <w:tcW w:type="dxa" w:w="2381"/>
          </w:tcPr>
          <w:p>
            <w:pPr>
              <w:spacing w:before="60" w:after="60"/>
              <w:ind w:left="85"/>
            </w:pPr>
            <w:r>
              <w:rPr>
                <w:rFonts w:ascii="Calibri" w:hAnsi="Calibri"/>
                <w:b w:val="0"/>
                <w:i w:val="0"/>
                <w:color w:val="374151"/>
                <w:sz w:val="17"/>
              </w:rPr>
              <w:t>Erlotinib</w:t>
            </w:r>
          </w:p>
        </w:tc>
        <w:tc>
          <w:tcPr>
            <w:tcW w:type="dxa" w:w="1134"/>
          </w:tcPr>
          <w:p>
            <w:pPr>
              <w:spacing w:before="60" w:after="60"/>
              <w:ind w:left="85"/>
            </w:pPr>
            <w:r>
              <w:rPr>
                <w:rFonts w:ascii="Calibri" w:hAnsi="Calibri"/>
                <w:b w:val="0"/>
                <w:i w:val="0"/>
                <w:color w:val="374151"/>
                <w:sz w:val="17"/>
              </w:rPr>
              <w:t>1,500,000 VND /hộp</w:t>
            </w:r>
          </w:p>
        </w:tc>
        <w:tc>
          <w:tcPr>
            <w:tcW w:type="dxa" w:w="1247"/>
            <w:shd w:val="clear" w:color="auto" w:fill="E7F9EE"/>
          </w:tcPr>
          <w:p>
            <w:pPr>
              <w:spacing w:before="60" w:after="60"/>
              <w:ind w:left="85"/>
            </w:pPr>
            <w:r>
              <w:rPr>
                <w:rFonts w:ascii="Calibri" w:hAnsi="Calibri"/>
                <w:b/>
                <w:i w:val="0"/>
                <w:color w:val="166534"/>
                <w:sz w:val="17"/>
              </w:rPr>
              <w:t>Cơ hội cao</w:t>
            </w:r>
          </w:p>
        </w:tc>
        <w:tc>
          <w:tcPr>
            <w:tcW w:type="dxa" w:w="2608"/>
          </w:tcPr>
          <w:p>
            <w:pPr>
              <w:spacing w:before="60" w:after="60"/>
              <w:ind w:left="85"/>
            </w:pPr>
            <w:r>
              <w:rPr>
                <w:rFonts w:ascii="Calibri" w:hAnsi="Calibri"/>
                <w:b w:val="0"/>
                <w:i w:val="0"/>
                <w:color w:val="374151"/>
                <w:sz w:val="17"/>
              </w:rPr>
              <w:t>Thuốc đặc trị – ưu tiên thầu bệnh viện ung bướu</w:t>
            </w:r>
          </w:p>
        </w:tc>
      </w:tr>
      <w:tr>
        <w:tc>
          <w:tcPr>
            <w:tcW w:type="dxa" w:w="1701"/>
          </w:tcPr>
          <w:p>
            <w:pPr>
              <w:spacing w:before="60" w:after="60"/>
              <w:ind w:left="85"/>
            </w:pPr>
            <w:r>
              <w:rPr>
                <w:rFonts w:ascii="Calibri" w:hAnsi="Calibri"/>
                <w:b/>
                <w:i w:val="0"/>
                <w:color w:val="003B71"/>
                <w:sz w:val="17"/>
              </w:rPr>
              <w:t>LARRIVEY</w:t>
            </w:r>
          </w:p>
        </w:tc>
        <w:tc>
          <w:tcPr>
            <w:tcW w:type="dxa" w:w="2381"/>
          </w:tcPr>
          <w:p>
            <w:pPr>
              <w:spacing w:before="60" w:after="60"/>
              <w:ind w:left="85"/>
            </w:pPr>
            <w:r>
              <w:rPr>
                <w:rFonts w:ascii="Calibri" w:hAnsi="Calibri"/>
                <w:b w:val="0"/>
                <w:i w:val="0"/>
                <w:color w:val="374151"/>
                <w:sz w:val="17"/>
              </w:rPr>
              <w:t>Bicalutamide</w:t>
            </w:r>
          </w:p>
        </w:tc>
        <w:tc>
          <w:tcPr>
            <w:tcW w:type="dxa" w:w="1134"/>
          </w:tcPr>
          <w:p>
            <w:pPr>
              <w:spacing w:before="60" w:after="60"/>
              <w:ind w:left="85"/>
            </w:pPr>
            <w:r>
              <w:rPr>
                <w:rFonts w:ascii="Calibri" w:hAnsi="Calibri"/>
                <w:b w:val="0"/>
                <w:i w:val="0"/>
                <w:color w:val="374151"/>
                <w:sz w:val="17"/>
              </w:rPr>
              <w:t>823,200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Theo dõi phác đồ bệnh viện – biên lợi nhuận cao</w:t>
            </w:r>
          </w:p>
        </w:tc>
      </w:tr>
      <w:tr>
        <w:tc>
          <w:tcPr>
            <w:tcW w:type="dxa" w:w="1701"/>
          </w:tcPr>
          <w:p>
            <w:pPr>
              <w:spacing w:before="60" w:after="60"/>
              <w:ind w:left="85"/>
            </w:pPr>
            <w:r>
              <w:rPr>
                <w:rFonts w:ascii="Calibri" w:hAnsi="Calibri"/>
                <w:b/>
                <w:i w:val="0"/>
                <w:color w:val="003B71"/>
                <w:sz w:val="17"/>
              </w:rPr>
              <w:t>METILONE-4</w:t>
            </w:r>
          </w:p>
        </w:tc>
        <w:tc>
          <w:tcPr>
            <w:tcW w:type="dxa" w:w="2381"/>
          </w:tcPr>
          <w:p>
            <w:pPr>
              <w:spacing w:before="60" w:after="60"/>
              <w:ind w:left="85"/>
            </w:pPr>
            <w:r>
              <w:rPr>
                <w:rFonts w:ascii="Calibri" w:hAnsi="Calibri"/>
                <w:b w:val="0"/>
                <w:i w:val="0"/>
                <w:color w:val="374151"/>
                <w:sz w:val="17"/>
              </w:rPr>
              <w:t>Methylprednisolone 4mg</w:t>
            </w:r>
          </w:p>
        </w:tc>
        <w:tc>
          <w:tcPr>
            <w:tcW w:type="dxa" w:w="1134"/>
          </w:tcPr>
          <w:p>
            <w:pPr>
              <w:spacing w:before="60" w:after="60"/>
              <w:ind w:left="85"/>
            </w:pPr>
            <w:r>
              <w:rPr>
                <w:rFonts w:ascii="Calibri" w:hAnsi="Calibri"/>
                <w:b w:val="0"/>
                <w:i w:val="0"/>
                <w:color w:val="374151"/>
                <w:sz w:val="17"/>
              </w:rPr>
              <w:t>74,000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ETC – theo dõi thầu TT Corticoid</w:t>
            </w:r>
          </w:p>
        </w:tc>
      </w:tr>
    </w:tbl>
    <w:p>
      <w:pPr>
        <w:spacing w:after="200"/>
      </w:pPr>
    </w:p>
    <w:p>
      <w:pPr>
        <w:spacing w:before="320" w:after="120"/>
        <w:pBdr>
          <w:bottom w:val="single" w:sz="8" w:color="003B71"/>
        </w:pBdr>
      </w:pPr>
      <w:r>
        <w:rPr>
          <w:rFonts w:ascii="Calibri" w:hAnsi="Calibri"/>
          <w:b/>
          <w:i w:val="0"/>
          <w:color w:val="003B71"/>
          <w:sz w:val="22"/>
        </w:rPr>
        <w:t>TOP 5 MOST SEARCHED PRODUCTS — DAVIPHARM.INFO</w:t>
      </w:r>
    </w:p>
    <w:p>
      <w:pPr>
        <w:spacing w:before="40" w:after="60"/>
      </w:pPr>
      <w:r>
        <w:rPr>
          <w:rFonts w:ascii="Calibri" w:hAnsi="Calibri"/>
          <w:b w:val="0"/>
          <w:i/>
          <w:color w:val="9CA3AF"/>
          <w:sz w:val="17"/>
        </w:rPr>
        <w:t>Google Search Console  ·  Last 30 days  ·  Data: 13/05/2026</w:t>
      </w:r>
    </w:p>
    <w:p>
      <w:pPr>
        <w:spacing w:before="120" w:after="120"/>
        <w:jc w:val="center"/>
      </w:pPr>
      <w:r>
        <w:drawing>
          <wp:inline xmlns:a="http://schemas.openxmlformats.org/drawingml/2006/main" xmlns:pic="http://schemas.openxmlformats.org/drawingml/2006/picture">
            <wp:extent cx="5580000" cy="244421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2444219"/>
                    </a:xfrm>
                    <a:prstGeom prst="rect"/>
                  </pic:spPr>
                </pic:pic>
              </a:graphicData>
            </a:graphic>
          </wp:inline>
        </w:drawing>
      </w:r>
    </w:p>
    <w:p>
      <w:r>
        <w:br w:type="page"/>
      </w:r>
    </w:p>
    <w:p>
      <w:pPr>
        <w:spacing w:before="320" w:after="120"/>
        <w:pBdr>
          <w:bottom w:val="single" w:sz="8" w:color="003B71"/>
        </w:pBdr>
      </w:pPr>
      <w:r>
        <w:rPr>
          <w:rFonts w:ascii="Calibri" w:hAnsi="Calibri"/>
          <w:b/>
          <w:i w:val="0"/>
          <w:color w:val="003B71"/>
          <w:sz w:val="22"/>
        </w:rPr>
        <w:t>ACTION RECOMMENDATIONS</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454"/>
            <w:shd w:val="clear" w:color="auto" w:fill="003B71"/>
            <w:tcBorders>
              <w:top w:val="none" w:sz="6" w:color="auto"/>
              <w:bottom w:val="none" w:sz="6" w:color="auto"/>
              <w:left w:val="none" w:sz="6" w:color="auto"/>
              <w:right w:val="none" w:sz="6" w:color="auto"/>
            </w:tcBorders>
          </w:tcPr>
          <w:p>
            <w:pPr>
              <w:spacing w:before="80" w:after="80"/>
              <w:ind w:left="0"/>
              <w:jc w:val="center"/>
            </w:pPr>
          </w:p>
        </w:tc>
        <w:tc>
          <w:tcPr>
            <w:tcW w:type="dxa" w:w="4422"/>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Strategic Action</w:t>
            </w:r>
          </w:p>
        </w:tc>
        <w:tc>
          <w:tcPr>
            <w:tcW w:type="dxa" w:w="1417"/>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Team</w:t>
            </w:r>
          </w:p>
        </w:tc>
        <w:tc>
          <w:tcPr>
            <w:tcW w:type="dxa" w:w="113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Source</w:t>
            </w:r>
          </w:p>
        </w:tc>
        <w:tc>
          <w:tcPr>
            <w:tcW w:type="dxa" w:w="164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Priority</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Develop KOL/CME "early intervention 40+" materials for RAVASTEL, EIMLER-10, PECHAUNOX, ZENTOGOUT</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Marketing &amp; Medical Affairs</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Aging accelerates at 44 &amp; 60 (Stanford)</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High</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Build peri-operative listing dossier (JIRACEK, PECHAUNOX, ZABALES) at Tam Anh, Vinmec, FV</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Medical Affairs &amp; ETC Sales</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Colorectal cancer ~17,000 cases/year, private hospitals upgrading</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High</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Review &amp; deploy HYYR pancreatic cancer indication materials at K, Cho Ray, HCMC Oncology hospitals</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Oncology &amp; Medical Affairs</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Rising pancreatic cancer awareness (VnExpress)</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Medium</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Đánh giá khả năng mở rộng danh mục hormone therapy ung thư vú; báo cáo BOD Q3/</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r>
          </w:p>
        </w:tc>
      </w:tr>
    </w:tbl>
    <w:p>
      <w:pPr>
        <w:spacing w:after="200"/>
      </w:pPr>
    </w:p>
    <w:tbl>
      <w:tblPr>
        <w:tblStyle w:val="TableGrid"/>
        <w:tblW w:type="auto" w:w="0"/>
        <w:tblLook w:firstColumn="1" w:firstRow="1" w:lastColumn="0" w:lastRow="0" w:noHBand="0" w:noVBand="1" w:val="04A0"/>
      </w:tblPr>
      <w:tblGrid>
        <w:gridCol w:w="9072"/>
      </w:tblGrid>
      <w:tr>
        <w:tc>
          <w:tcPr>
            <w:tcW w:type="dxa" w:w="9072"/>
            <w:shd w:val="clear" w:color="auto" w:fill="F1F5F9"/>
            <w:tcBorders>
              <w:top w:val="none" w:sz="6" w:color="auto"/>
              <w:bottom w:val="none" w:sz="6" w:color="auto"/>
              <w:left w:val="none" w:sz="6" w:color="auto"/>
              <w:right w:val="none" w:sz="6" w:color="auto"/>
            </w:tcBorders>
          </w:tcPr>
          <w:p>
            <w:pPr>
              <w:spacing w:before="120" w:after="120"/>
              <w:jc w:val="center"/>
            </w:pPr>
            <w:r>
              <w:rPr>
                <w:rFonts w:ascii="Calibri" w:hAnsi="Calibri"/>
                <w:b w:val="0"/>
                <w:i/>
                <w:color w:val="9CA3AF"/>
                <w:sz w:val="15"/>
              </w:rPr>
              <w:t>Davipharm Market Intelligence System  ·  Powered by Claude Sonnet 4.6  ·  13/05/2026  ·  CONFIDENTIAL</w:t>
            </w:r>
          </w:p>
        </w:tc>
      </w:tr>
    </w:tbl>
    <w:sectPr w:rsidR="00FC693F" w:rsidRPr="0006063C" w:rsidSect="00034616">
      <w:footerReference w:type="default" r:id="rId9"/>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9CA3AF"/>
        <w:sz w:val="16"/>
      </w:rPr>
      <w:fldChar w:fldCharType="begin"/>
      <w:instrText xml:space="preserve">PAGE</w:instrText>
      <w:fldChar w:fldCharType="separate"/>
      <w:fldChar w:fldCharType="end"/>
    </w:r>
    <w:r>
      <w:rPr>
        <w:rFonts w:ascii="Calibri" w:hAnsi="Calibri"/>
        <w:b w:val="0"/>
        <w:i w:val="0"/>
        <w:color w:val="9CA3AF"/>
        <w:sz w:val="16"/>
      </w:rPr>
      <w:t xml:space="preserve"> / </w:t>
    </w:r>
    <w:r>
      <w:rPr>
        <w:rFonts w:ascii="Calibri" w:hAnsi="Calibri"/>
        <w:b w:val="0"/>
        <w:i w:val="0"/>
        <w:color w:val="9CA3AF"/>
        <w:sz w:val="16"/>
      </w:rPr>
      <w:fldChar w:fldCharType="begin"/>
      <w:instrText xml:space="preserve">NUMPAGES</w:instrText>
      <w:fldChar w:fldCharType="separate"/>
      <w:fldChar w:fldCharType="end"/>
    </w:r>
    <w:r>
      <w:rPr>
        <w:rFonts w:ascii="Calibri" w:hAnsi="Calibri"/>
        <w:b w:val="0"/>
        <w:i w:val="0"/>
        <w:color w:val="9CA3AF"/>
        <w:sz w:val="14"/>
      </w:rPr>
      <w:t xml:space="preserve">  |  Davipharm Market Intelligence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