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20" w:after="120"/>
              <w:ind w:left="17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MARKET INTELLIGENCE  ·  WEEKLY REPORT</w:t>
            </w:r>
          </w:p>
        </w:tc>
      </w:tr>
    </w:tbl>
    <w:p>
      <w:pPr>
        <w:spacing w:before="720" w:after="360"/>
        <w:jc w:val="center"/>
      </w:pPr>
      <w:r>
        <w:drawing>
          <wp:inline xmlns:a="http://schemas.openxmlformats.org/drawingml/2006/main" xmlns:pic="http://schemas.openxmlformats.org/drawingml/2006/picture">
            <wp:extent cx="3060000" cy="484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8469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F1F5F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/>
                <w:i w:val="0"/>
                <w:color w:val="9CA3AF"/>
                <w:sz w:val="16"/>
              </w:rPr>
              <w:t>REPORT</w:t>
            </w:r>
          </w:p>
        </w:tc>
        <w:tc>
          <w:tcPr>
            <w:tcW w:type="dxa" w:w="481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/>
                <w:i w:val="0"/>
                <w:color w:val="003B71"/>
                <w:sz w:val="19"/>
              </w:rPr>
              <w:t>Market Intelligence Report</w:t>
            </w:r>
          </w:p>
        </w:tc>
      </w:tr>
      <w:tr>
        <w:tc>
          <w:tcPr>
            <w:tcW w:type="dxa" w:w="1984"/>
            <w:shd w:val="clear" w:color="auto" w:fill="F1F5F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/>
                <w:i w:val="0"/>
                <w:color w:val="9CA3AF"/>
                <w:sz w:val="16"/>
              </w:rPr>
              <w:t>WEEK</w:t>
            </w:r>
          </w:p>
        </w:tc>
        <w:tc>
          <w:tcPr>
            <w:tcW w:type="dxa" w:w="481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12/05 – 18/05/2026</w:t>
            </w:r>
          </w:p>
        </w:tc>
      </w:tr>
      <w:tr>
        <w:tc>
          <w:tcPr>
            <w:tcW w:type="dxa" w:w="1984"/>
            <w:shd w:val="clear" w:color="auto" w:fill="F1F5F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/>
                <w:i w:val="0"/>
                <w:color w:val="9CA3AF"/>
                <w:sz w:val="16"/>
              </w:rPr>
              <w:t>DATE</w:t>
            </w:r>
          </w:p>
        </w:tc>
        <w:tc>
          <w:tcPr>
            <w:tcW w:type="dxa" w:w="481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13/05/2026</w:t>
            </w:r>
          </w:p>
        </w:tc>
      </w:tr>
    </w:tbl>
    <w:p>
      <w:pPr>
        <w:spacing w:before="360"/>
        <w:jc w:val="center"/>
      </w:pPr>
      <w:r>
        <w:rPr>
          <w:rFonts w:ascii="Calibri" w:hAnsi="Calibri"/>
          <w:b w:val="0"/>
          <w:i/>
          <w:color w:val="CCCCCC"/>
          <w:sz w:val="16"/>
        </w:rPr>
        <w:t>Adamed Group  ·  Davipharm  ·  CONFIDENTIAL</w:t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EXECUTIVE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val="clear" w:color="auto" w:fill="EFF6FF"/>
            <w:tcBorders>
              <w:top w:val="none" w:sz="6" w:color="auto"/>
              <w:bottom w:val="none" w:sz="6" w:color="auto"/>
              <w:left w:val="single" w:sz="18" w:color="0056D2"/>
              <w:right w:val="none" w:sz="6" w:color="auto"/>
            </w:tcBorders>
          </w:tcPr>
          <w:p>
            <w:pPr>
              <w:spacing w:before="80" w:after="80"/>
              <w:ind w:left="170"/>
            </w:pPr>
            <w:r>
              <w:rPr>
                <w:rFonts w:ascii="Calibri" w:hAnsi="Calibri"/>
                <w:b/>
                <w:i w:val="0"/>
                <w:color w:val="111827"/>
                <w:sz w:val="20"/>
              </w:rPr>
              <w:t>This week: Tender reform opens opportunities for Davipharm while Long Châu's rapid expansion intensifies distribution channel pressure.</w:t>
            </w:r>
          </w:p>
        </w:tc>
      </w:tr>
    </w:tbl>
    <w:p>
      <w:pPr>
        <w:spacing w:before="80"/>
      </w:pPr>
    </w:p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5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  <w:shd w:val="clear" w:color="auto" w:fill="FAFBFF"/>
          </w:tcPr>
          <w:p>
            <w:pPr>
              <w:spacing w:before="80"/>
              <w:ind w:left="113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💡  KEY INSIGHTS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▸  Tendering:Criteria shift away from "lowest price" — GMP-EU manufacturers gain direct advantage.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▸  OTC Channel:FPT Retail +73% profit Q1/2026, Long Châu leads — shelf-space negotiation increasingly challenging.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▸  Supply Chain:Q1/2026 raw material imports declined sharply — API supply chain review warranted.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▸  P1RA/Marketing: Prepare EU-GMP dossier to qualify for Group 1 tenders under new regulations.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▸  P2Sales: Negotiate group-level partnership with Long Châu — avoid store-by-store negotiations.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▸  P3Supply Chain: Audit API inventory and evaluate alternative sourcing amid import decline.</w:t>
            </w:r>
          </w:p>
        </w:tc>
        <w:tc>
          <w:tcPr>
            <w:tcW w:type="dxa" w:w="4535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  <w:shd w:val="clear" w:color="auto" w:fill="FAFBFF"/>
          </w:tcPr>
          <w:p>
            <w:pPr>
              <w:spacing w:before="80"/>
              <w:ind w:left="113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⚡  PRIORITY ACTIONS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0056D2"/>
                <w:sz w:val="17"/>
              </w:rPr>
              <w:t>→  P1RA/Marketing: Prepare EU-GMP dossier to qualify for Group 1 tenders under new regulations.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0056D2"/>
                <w:sz w:val="17"/>
              </w:rPr>
              <w:t>→  P2Sales: Negotiate group-level partnership with Long Châu — avoid store-by-store negotiations.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0056D2"/>
                <w:sz w:val="17"/>
              </w:rPr>
              <w:t>→  P3Supply Chain: Audit API inventory and evaluate alternative sourcing amid import decline.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color w:val="9CA3AF"/>
          <w:sz w:val="20"/>
        </w:rPr>
        <w:t>📡  Brand Mentions — Davipharm · Adamed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val="clear" w:color="auto" w:fill="F0FDF4"/>
            <w:tcBorders>
              <w:top w:val="none" w:sz="6" w:color="auto"/>
              <w:bottom w:val="none" w:sz="6" w:color="auto"/>
              <w:left w:val="single" w:sz="18" w:color="166534"/>
              <w:right w:val="none" w:sz="6" w:color="auto"/>
            </w:tcBorders>
          </w:tcPr>
          <w:p>
            <w:pPr>
              <w:spacing w:before="80" w:after="80"/>
              <w:ind w:left="170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✅ No negative mentions of Davipharm or Adamed found in the past 7 days. Brand is in a quiet state — no PR crisis management required.</w:t>
            </w:r>
          </w:p>
        </w:tc>
      </w:tr>
    </w:tbl>
    <w:p>
      <w:pPr>
        <w:spacing w:before="80"/>
      </w:pPr>
    </w:p>
    <w:p>
      <w:pPr>
        <w:spacing w:after="40"/>
      </w:pP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MARKET SENTIMENT THIS WEEK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118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Section</w:t>
            </w:r>
          </w:p>
        </w:tc>
        <w:tc>
          <w:tcPr>
            <w:tcW w:type="dxa" w:w="1701"/>
            <w:shd w:val="clear" w:color="auto" w:fill="166534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✅  Positive</w:t>
            </w:r>
          </w:p>
        </w:tc>
        <w:tc>
          <w:tcPr>
            <w:tcW w:type="dxa" w:w="1984"/>
            <w:shd w:val="clear" w:color="auto" w:fill="37415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⚪  Neutral</w:t>
            </w:r>
          </w:p>
        </w:tc>
        <w:tc>
          <w:tcPr>
            <w:tcW w:type="dxa" w:w="2268"/>
            <w:shd w:val="clear" w:color="auto" w:fill="991B1B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⚠️  Risk / Challenge</w:t>
            </w:r>
          </w:p>
        </w:tc>
      </w:tr>
      <w:tr>
        <w:tc>
          <w:tcPr>
            <w:tcW w:type="dxa" w:w="3118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Regulatory &amp; Policy</w:t>
            </w:r>
          </w:p>
        </w:tc>
        <w:tc>
          <w:tcPr>
            <w:tcW w:type="dxa" w:w="1701"/>
            <w:shd w:val="clear" w:color="auto" w:fill="E9FB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1984"/>
            <w:shd w:val="clear" w:color="auto" w:fill="F9FAFB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2268"/>
            <w:shd w:val="clear" w:color="auto" w:fill="FFF0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</w:tr>
      <w:tr>
        <w:tc>
          <w:tcPr>
            <w:tcW w:type="dxa" w:w="3118"/>
            <w:shd w:val="clear" w:color="auto" w:fill="F5F7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Pharma Industry News</w:t>
            </w:r>
          </w:p>
        </w:tc>
        <w:tc>
          <w:tcPr>
            <w:tcW w:type="dxa" w:w="1701"/>
            <w:shd w:val="clear" w:color="auto" w:fill="E9FB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1984"/>
            <w:shd w:val="clear" w:color="auto" w:fill="F9FAFB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2268"/>
            <w:shd w:val="clear" w:color="auto" w:fill="FFF0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</w:tr>
      <w:tr>
        <w:tc>
          <w:tcPr>
            <w:tcW w:type="dxa" w:w="3118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Competitors</w:t>
            </w:r>
          </w:p>
        </w:tc>
        <w:tc>
          <w:tcPr>
            <w:tcW w:type="dxa" w:w="1701"/>
            <w:shd w:val="clear" w:color="auto" w:fill="E9FB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1984"/>
            <w:shd w:val="clear" w:color="auto" w:fill="F9FAFB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2268"/>
            <w:shd w:val="clear" w:color="auto" w:fill="FFF0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REGULATORY &amp; POLICY</w:t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PHARMA INDUSTRY NEWS</w:t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COMPETITOR INTELLIGENCE</w:t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PRODUCT PORTFOLIO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Product</w:t>
            </w:r>
          </w:p>
        </w:tc>
        <w:tc>
          <w:tcPr>
            <w:tcW w:type="dxa" w:w="2381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Active · Indication</w:t>
            </w:r>
          </w:p>
        </w:tc>
        <w:tc>
          <w:tcPr>
            <w:tcW w:type="dxa" w:w="1134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Price</w:t>
            </w:r>
          </w:p>
        </w:tc>
        <w:tc>
          <w:tcPr>
            <w:tcW w:type="dxa" w:w="1247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Status</w:t>
            </w:r>
          </w:p>
        </w:tc>
        <w:tc>
          <w:tcPr>
            <w:tcW w:type="dxa" w:w="2608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Strategic Note</w:t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Empagliflozin</w:t>
            </w:r>
          </w:p>
        </w:tc>
        <w:tc>
          <w:tcPr>
            <w:tcW w:type="dxa" w:w="238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Tiểu đường / Suy tim</w:t>
            </w:r>
          </w:p>
        </w:tc>
        <w:tc>
          <w:tcPr>
            <w:tcW w:type="dxa" w:w="1134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Cơ hội cao</w:t>
            </w:r>
          </w:p>
        </w:tc>
        <w:tc>
          <w:tcPr>
            <w:tcW w:type="dxa" w:w="1247"/>
            <w:shd w:val="clear" w:color="auto" w:fill="EFF6FF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Ưu tiên thầu Nhóm 1</w:t>
            </w:r>
          </w:p>
        </w:tc>
        <w:tc>
          <w:tcPr>
            <w:tcW w:type="dxa" w:w="2608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Tadalafil</w:t>
            </w:r>
          </w:p>
        </w:tc>
        <w:tc>
          <w:tcPr>
            <w:tcW w:type="dxa" w:w="238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Nam khoa</w:t>
            </w:r>
          </w:p>
        </w:tc>
        <w:tc>
          <w:tcPr>
            <w:tcW w:type="dxa" w:w="1134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Cạnh tranh</w:t>
            </w:r>
          </w:p>
        </w:tc>
        <w:tc>
          <w:tcPr>
            <w:tcW w:type="dxa" w:w="1247"/>
            <w:shd w:val="clear" w:color="auto" w:fill="EFF6FF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Theo dõi giá Sun Pharma</w:t>
            </w:r>
          </w:p>
        </w:tc>
        <w:tc>
          <w:tcPr>
            <w:tcW w:type="dxa" w:w="2608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Dapoxetine</w:t>
            </w:r>
          </w:p>
        </w:tc>
        <w:tc>
          <w:tcPr>
            <w:tcW w:type="dxa" w:w="238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Nam khoa</w:t>
            </w:r>
          </w:p>
        </w:tc>
        <w:tc>
          <w:tcPr>
            <w:tcW w:type="dxa" w:w="1134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Ổn  VNDịnh</w:t>
            </w:r>
          </w:p>
        </w:tc>
        <w:tc>
          <w:tcPr>
            <w:tcW w:type="dxa" w:w="1247"/>
            <w:shd w:val="clear" w:color="auto" w:fill="EFF6FF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Kiểm tra Long Châu listing</w:t>
            </w:r>
          </w:p>
        </w:tc>
        <w:tc>
          <w:tcPr>
            <w:tcW w:type="dxa" w:w="2608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Cytisine</w:t>
            </w:r>
          </w:p>
        </w:tc>
        <w:tc>
          <w:tcPr>
            <w:tcW w:type="dxa" w:w="238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Cai thuốc lá</w:t>
            </w:r>
          </w:p>
        </w:tc>
        <w:tc>
          <w:tcPr>
            <w:tcW w:type="dxa" w:w="1134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Pre-launch</w:t>
            </w:r>
          </w:p>
        </w:tc>
        <w:tc>
          <w:tcPr>
            <w:tcW w:type="dxa" w:w="1247"/>
            <w:shd w:val="clear" w:color="auto" w:fill="EFF6FF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Q4/2026 – Cơ hội vàng</w:t>
            </w:r>
          </w:p>
        </w:tc>
        <w:tc>
          <w:tcPr>
            <w:tcW w:type="dxa" w:w="2608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Metilone</w:t>
            </w:r>
          </w:p>
        </w:tc>
        <w:tc>
          <w:tcPr>
            <w:tcW w:type="dxa" w:w="238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Kháng viêm</w:t>
            </w:r>
          </w:p>
        </w:tc>
        <w:tc>
          <w:tcPr>
            <w:tcW w:type="dxa" w:w="1134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Ổn  VNDịnh</w:t>
            </w:r>
          </w:p>
        </w:tc>
        <w:tc>
          <w:tcPr>
            <w:tcW w:type="dxa" w:w="1247"/>
            <w:shd w:val="clear" w:color="auto" w:fill="EFF6FF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Duy trì kênh ETC</w:t>
            </w:r>
          </w:p>
        </w:tc>
        <w:tc>
          <w:tcPr>
            <w:tcW w:type="dxa" w:w="2608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</w:r>
          </w:p>
        </w:tc>
      </w:tr>
    </w:tbl>
    <w:p>
      <w:pPr>
        <w:spacing w:after="200"/>
      </w:pP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TOP 5 MOST SEARCHED PRODUCTS — DAVIPHARM.INFO</w:t>
      </w:r>
    </w:p>
    <w:p>
      <w:pPr>
        <w:spacing w:before="40" w:after="60"/>
      </w:pPr>
      <w:r>
        <w:rPr>
          <w:rFonts w:ascii="Calibri" w:hAnsi="Calibri"/>
          <w:b w:val="0"/>
          <w:i/>
          <w:color w:val="9CA3AF"/>
          <w:sz w:val="17"/>
        </w:rPr>
        <w:t>Google Search Console  ·  Last 30 days  ·  Data: 13/05/2026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442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44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ACTION RECOMMENDATIONS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454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</w:p>
        </w:tc>
        <w:tc>
          <w:tcPr>
            <w:tcW w:type="dxa" w:w="4422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Strategic Action</w:t>
            </w:r>
          </w:p>
        </w:tc>
        <w:tc>
          <w:tcPr>
            <w:tcW w:type="dxa" w:w="1417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Team</w:t>
            </w:r>
          </w:p>
        </w:tc>
        <w:tc>
          <w:tcPr>
            <w:tcW w:type="dxa" w:w="1134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Source</w:t>
            </w:r>
          </w:p>
        </w:tc>
        <w:tc>
          <w:tcPr>
            <w:tcW w:type="dxa" w:w="1644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Priority</w:t>
            </w:r>
          </w:p>
        </w:tc>
      </w:tr>
      <w:tr>
        <w:tc>
          <w:tcPr>
            <w:tcW w:type="dxa" w:w="45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jc w:val="center"/>
            </w:pPr>
            <w:r>
              <w:t>🟢</w:t>
            </w:r>
          </w:p>
        </w:tc>
        <w:tc>
          <w:tcPr>
            <w:tcW w:type="dxa" w:w="4422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High — Qualify for Group 1 tenders with EU-GMP dossier</w:t>
            </w:r>
          </w:p>
        </w:tc>
        <w:tc>
          <w:tcPr>
            <w:tcW w:type="dxa" w:w="1417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003B71"/>
                <w:sz w:val="17"/>
              </w:rPr>
              <w:t>RA &amp; Marketing</w:t>
            </w:r>
          </w:p>
        </w:tc>
        <w:tc>
          <w:tcPr>
            <w:tcW w:type="dxa" w:w="1134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Tendering Policy</w:t>
            </w:r>
          </w:p>
        </w:tc>
        <w:tc>
          <w:tcPr>
            <w:tcW w:type="dxa" w:w="164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22C55E"/>
                <w:sz w:val="17"/>
              </w:rPr>
              <w:t>🔴 High</w:t>
            </w:r>
          </w:p>
        </w:tc>
      </w:tr>
      <w:tr>
        <w:tc>
          <w:tcPr>
            <w:tcW w:type="dxa" w:w="45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jc w:val="center"/>
            </w:pPr>
            <w:r>
              <w:t>🟢</w:t>
            </w:r>
          </w:p>
        </w:tc>
        <w:tc>
          <w:tcPr>
            <w:tcW w:type="dxa" w:w="4422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High — Negotiate group-level deal, not store-by-store</w:t>
            </w:r>
          </w:p>
        </w:tc>
        <w:tc>
          <w:tcPr>
            <w:tcW w:type="dxa" w:w="1417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003B71"/>
                <w:sz w:val="17"/>
              </w:rPr>
              <w:t>Sales</w:t>
            </w:r>
          </w:p>
        </w:tc>
        <w:tc>
          <w:tcPr>
            <w:tcW w:type="dxa" w:w="1134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Long Châu Expansion</w:t>
            </w:r>
          </w:p>
        </w:tc>
        <w:tc>
          <w:tcPr>
            <w:tcW w:type="dxa" w:w="164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22C55E"/>
                <w:sz w:val="17"/>
              </w:rPr>
              <w:t>🔴 High</w:t>
            </w:r>
          </w:p>
        </w:tc>
      </w:tr>
      <w:tr>
        <w:tc>
          <w:tcPr>
            <w:tcW w:type="dxa" w:w="45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jc w:val="center"/>
            </w:pPr>
            <w:r>
              <w:t>🟢</w:t>
            </w:r>
          </w:p>
        </w:tc>
        <w:tc>
          <w:tcPr>
            <w:tcW w:type="dxa" w:w="4422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Medium — Review API stock and alternative suppliers</w:t>
            </w:r>
          </w:p>
        </w:tc>
        <w:tc>
          <w:tcPr>
            <w:tcW w:type="dxa" w:w="1417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003B71"/>
                <w:sz w:val="17"/>
              </w:rPr>
              <w:t>Supply Chain</w:t>
            </w:r>
          </w:p>
        </w:tc>
        <w:tc>
          <w:tcPr>
            <w:tcW w:type="dxa" w:w="1134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Raw Material Import</w:t>
            </w:r>
          </w:p>
        </w:tc>
        <w:tc>
          <w:tcPr>
            <w:tcW w:type="dxa" w:w="164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22C55E"/>
                <w:sz w:val="17"/>
              </w:rPr>
              <w:t>🟡 Medium</w:t>
            </w:r>
          </w:p>
        </w:tc>
      </w:tr>
      <w:tr>
        <w:tc>
          <w:tcPr>
            <w:tcW w:type="dxa" w:w="45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jc w:val="center"/>
            </w:pPr>
            <w:r>
              <w:t>🟢</w:t>
            </w:r>
          </w:p>
        </w:tc>
        <w:tc>
          <w:tcPr>
            <w:tcW w:type="dxa" w:w="4422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Medium — Monitor Sun Pharma pricing for Tadalafil</w:t>
            </w:r>
          </w:p>
        </w:tc>
        <w:tc>
          <w:tcPr>
            <w:tcW w:type="dxa" w:w="1417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003B71"/>
                <w:sz w:val="17"/>
              </w:rPr>
              <w:t>Marketing</w:t>
            </w:r>
          </w:p>
        </w:tc>
        <w:tc>
          <w:tcPr>
            <w:tcW w:type="dxa" w:w="1134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Sản phẩm Tadalafil</w:t>
            </w:r>
          </w:p>
        </w:tc>
        <w:tc>
          <w:tcPr>
            <w:tcW w:type="dxa" w:w="164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22C55E"/>
                <w:sz w:val="17"/>
              </w:rPr>
              <w:t>🟡 Medium</w:t>
            </w:r>
          </w:p>
        </w:tc>
      </w:tr>
      <w:tr>
        <w:tc>
          <w:tcPr>
            <w:tcW w:type="dxa" w:w="45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jc w:val="center"/>
            </w:pPr>
            <w:r>
              <w:t>🟢</w:t>
            </w:r>
          </w:p>
        </w:tc>
        <w:tc>
          <w:tcPr>
            <w:tcW w:type="dxa" w:w="4422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Low — Plan Q4/2026 Cytisine launch; assess cessation market</w:t>
            </w:r>
          </w:p>
        </w:tc>
        <w:tc>
          <w:tcPr>
            <w:tcW w:type="dxa" w:w="1417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003B71"/>
                <w:sz w:val="17"/>
              </w:rPr>
              <w:t>Strategy</w:t>
            </w:r>
          </w:p>
        </w:tc>
        <w:tc>
          <w:tcPr>
            <w:tcW w:type="dxa" w:w="1134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Portfolio Cytisine</w:t>
            </w:r>
          </w:p>
        </w:tc>
        <w:tc>
          <w:tcPr>
            <w:tcW w:type="dxa" w:w="164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22C55E"/>
                <w:sz w:val="17"/>
              </w:rPr>
              <w:t>🟢 Low</w:t>
            </w:r>
          </w:p>
        </w:tc>
      </w:tr>
    </w:tbl>
    <w:p>
      <w:pPr>
        <w:spacing w:after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5F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 w:val="0"/>
                <w:i/>
                <w:color w:val="9CA3AF"/>
                <w:sz w:val="15"/>
              </w:rPr>
              <w:t>Davipharm Market Intelligence System  ·  Powered by Claude Sonnet 4.6  ·  13/05/2026  ·  CONFIDENTIAL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9CA3AF"/>
        <w:sz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/>
        <w:b w:val="0"/>
        <w:i w:val="0"/>
        <w:color w:val="9CA3AF"/>
        <w:sz w:val="16"/>
      </w:rPr>
      <w:t xml:space="preserve"> / </w:t>
    </w:r>
    <w:r>
      <w:rPr>
        <w:rFonts w:ascii="Calibri" w:hAnsi="Calibri"/>
        <w:b w:val="0"/>
        <w:i w:val="0"/>
        <w:color w:val="9CA3AF"/>
        <w:sz w:val="16"/>
      </w:rPr>
      <w:fldChar w:fldCharType="begin"/>
      <w:instrText xml:space="preserve">NUMPAGES</w:instrText>
      <w:fldChar w:fldCharType="separate"/>
      <w:fldChar w:fldCharType="end"/>
    </w:r>
    <w:r>
      <w:rPr>
        <w:rFonts w:ascii="Calibri" w:hAnsi="Calibri"/>
        <w:b w:val="0"/>
        <w:i w:val="0"/>
        <w:color w:val="9CA3AF"/>
        <w:sz w:val="14"/>
      </w:rPr>
      <w:t xml:space="preserve">  |  Davipharm Market Intelligence  |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