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Week 11–17 May 2026: MoH's free annual health screening rollout and rising chronic disease awareness create the strongest long-term demand tailwind to date across Davipharm's cardiovascular, diabetes, GI, and oncology portfolios — no direct regulatory risk this week.</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National Free Screening (MoH):Annual free health checks from 2026 will materially expand the new patient funnel for RAVASTEL, EIMLER-10, ZLATKO, PECHAUNOX, TABAREX, and HATLOP — highest volume impact expected at district-level ETC.</w:t>
            </w:r>
          </w:p>
          <w:p>
            <w:pPr>
              <w:spacing w:before="20" w:after="60"/>
              <w:ind w:left="142"/>
            </w:pPr>
            <w:r>
              <w:rPr>
                <w:rFonts w:ascii="Calibri" w:hAnsi="Calibri"/>
                <w:b w:val="0"/>
                <w:i w:val="0"/>
                <w:color w:val="111827"/>
                <w:sz w:val="17"/>
              </w:rPr>
              <w:t>▸  Hypertension Underdiagnosis:25–30% uncontrolled adult hypertension prevalence and younger-onset trend reinforce PECHAUNOX (FDC) positioning ahead of the next tender cycle.</w:t>
            </w:r>
          </w:p>
          <w:p>
            <w:pPr>
              <w:spacing w:before="20" w:after="60"/>
              <w:ind w:left="142"/>
            </w:pPr>
            <w:r>
              <w:rPr>
                <w:rFonts w:ascii="Calibri" w:hAnsi="Calibri"/>
                <w:b w:val="0"/>
                <w:i w:val="0"/>
                <w:color w:val="111827"/>
                <w:sz w:val="17"/>
              </w:rPr>
              <w:t>▸  GI Cancer + H. pylori:Expanding ultra-magnification endoscopy and rising HP/gastric cancer awareness simultaneously drive mid-term demand for HYYR/LARRIVEY (oncology) and JIRACEK/MARTAZ (PPI) at central hospitals.</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tc>
      </w:tr>
    </w:tbl>
    <w:p>
      <w:pPr>
        <w:spacing w:after="12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6</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Rising Public Awareness of Gastric Cancer &amp; H. pylori — Opportunity Signal for GI Portfolio (Esomeprazole, Rabeprazole)</w:t>
            </w:r>
          </w:p>
        </w:tc>
      </w:tr>
    </w:tbl>
    <w:p>
      <w:pPr>
        <w:spacing w:before="40" w:after="40"/>
        <w:ind w:left="170"/>
      </w:pPr>
      <w:r>
        <w:rPr>
          <w:rFonts w:ascii="Calibri" w:hAnsi="Calibri"/>
          <w:b w:val="0"/>
          <w:i/>
          <w:color w:val="6B7280"/>
          <w:sz w:val="18"/>
        </w:rPr>
        <w:t>A medical advisory article from Bach Mai Hospital (via Dan Tri) highlights H. pylori's role in the gastritis-to-cancer progression cascade and recommends early endoscopy and chronic GI management — reflecting growing long-term PPI demand in Vietnam. This represents a positive market signal for JIRACEK (Esomeprazole) and MARTAZ (Rabeprazole) in chronic gastric patient segments across ETC and OPD channels.[Source]</w:t>
      </w:r>
    </w:p>
    <w:p>
      <w:pPr>
        <w:spacing w:before="20" w:after="40"/>
        <w:ind w:left="170"/>
      </w:pPr>
      <w:r>
        <w:rPr>
          <w:rFonts w:ascii="Calibri" w:hAnsi="Calibri"/>
          <w:b/>
          <w:i w:val="0"/>
          <w:color w:val="166534"/>
          <w:sz w:val="17"/>
        </w:rPr>
        <w:t>📈 Growing HP/gastric cancer awareness drives long-term PPI prescription demand — a growth opportunity for JIRACEK and MARTAZ across central and provincial hospital tenders.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Team and ETC Sales to prepare detailing materials emphasizing PPI's role in H. pylori eradication regimens (PPI + antibiotic combinations) and ulcer relapse prevention; prioritize engagement with GI-Hepatology departments at key central hospitals (Bach Mai, Cho Ray, Hue) in Q2–Q3/2026 to position JIRACEK and MARTAZ ahead of the next tender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Cicada Shell Seizure at Lang Son — Traditional Medicine Raw Material Market Signal</w:t>
            </w:r>
          </w:p>
        </w:tc>
      </w:tr>
    </w:tbl>
    <w:p>
      <w:pPr>
        <w:spacing w:before="40" w:after="40"/>
        <w:ind w:left="170"/>
      </w:pPr>
      <w:r>
        <w:rPr>
          <w:rFonts w:ascii="Calibri" w:hAnsi="Calibri"/>
          <w:b w:val="0"/>
          <w:i/>
          <w:color w:val="6B7280"/>
          <w:sz w:val="18"/>
        </w:rPr>
        <w:t>Lang Son market authorities seized 80kg of dried cicada shells lacking documentation, reflecting surging demand for traditional medicine raw materials at VND 1.2–1.7M/kg. This article covers the TCM herbal segment and has no direct relevance to Davipharm's generic pharmaceutical portfolio.[Source]</w:t>
      </w:r>
    </w:p>
    <w:p>
      <w:pPr>
        <w:spacing w:before="20" w:after="40"/>
        <w:ind w:left="170"/>
      </w:pPr>
      <w:r>
        <w:rPr>
          <w:rFonts w:ascii="Calibri" w:hAnsi="Calibri"/>
          <w:b/>
          <w:i w:val="0"/>
          <w:color w:val="374151"/>
          <w:sz w:val="17"/>
        </w:rPr>
        <w:t>⚪ No direct impact on Davipharm — article falls entirely outside the company's current synthetic generic product competitive space.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Market Intelligence team to file as background reference on TCM consumer trends in Vietnam; no further monitoring priority warranted.</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Lidocaine Toxicity Post-Liposuction Highlights Crackdown Risk on Unlicensed Aesthetic Clinics</w:t>
            </w:r>
          </w:p>
        </w:tc>
      </w:tr>
    </w:tbl>
    <w:p>
      <w:pPr>
        <w:spacing w:before="40" w:after="40"/>
        <w:ind w:left="170"/>
      </w:pPr>
      <w:r>
        <w:rPr>
          <w:rFonts w:ascii="Calibri" w:hAnsi="Calibri"/>
          <w:b w:val="0"/>
          <w:i/>
          <w:color w:val="6B7280"/>
          <w:sz w:val="18"/>
        </w:rPr>
        <w:t>A 53-year-old woman fell into a deep coma after Lidocaine toxicity during liposuction at an unlicensed HCMC clinic, with the case escalated to the city's Department of Health; a May 12 safety forum cited 25,000–35,000 aesthetic complication cases annually and urged stricter enforcement. While no Davipharm product was implicated, an anticipated regulatory crackdown on outpatient aesthetic procedures could tighten prescribing conditions for post-surgical analgesics — a segment where MAGRAX (Etoricoxib) and METILONE-4 (Methylprednisolone) are deployed.[Source]</w:t>
      </w:r>
    </w:p>
    <w:p>
      <w:pPr>
        <w:spacing w:before="20" w:after="40"/>
        <w:ind w:left="170"/>
      </w:pPr>
      <w:r>
        <w:rPr>
          <w:rFonts w:ascii="Calibri" w:hAnsi="Calibri"/>
          <w:b/>
          <w:i w:val="0"/>
          <w:color w:val="374151"/>
          <w:sz w:val="17"/>
        </w:rPr>
        <w:t>⚠️ Low-level indirect exposure: tightening oversight of private aesthetic clinics may reduce OPD prescriptions of MAGRAX/METILONE-4 if facilities face suspension following enforcement actions.</w:t>
      </w:r>
    </w:p>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Piperine in Black Pepper: Cardiovascular &amp; Lipid Metabolism Benefits — Drug Interaction Caution Noted</w:t>
            </w:r>
          </w:p>
        </w:tc>
      </w:tr>
    </w:tbl>
    <w:p>
      <w:pPr>
        <w:spacing w:before="40" w:after="40"/>
        <w:ind w:left="170"/>
      </w:pPr>
      <w:r>
        <w:rPr>
          <w:rFonts w:ascii="Calibri" w:hAnsi="Calibri"/>
          <w:b w:val="0"/>
          <w:i/>
          <w:color w:val="6B7280"/>
          <w:sz w:val="18"/>
        </w:rPr>
        <w:t>A health-science article highlights piperine's potential to improve lipid profiles (reduce LDL, raise HDL) and support energy metabolism, while warning of drug metabolism interference — relevant to patients on anticoagulants or chronic cardiovascular medications. This has no direct tender impact for Davipharm, but signals consumer interest in natural cardiovascular-lipid adjuncts alongside pharmaceuticals.[Source]</w:t>
      </w:r>
    </w:p>
    <w:p>
      <w:pPr>
        <w:spacing w:before="20" w:after="40"/>
        <w:ind w:left="170"/>
      </w:pPr>
      <w:r>
        <w:rPr>
          <w:rFonts w:ascii="Calibri" w:hAnsi="Calibri"/>
          <w:b/>
          <w:i w:val="0"/>
          <w:color w:val="374151"/>
          <w:sz w:val="17"/>
        </w:rPr>
        <w:t>➖ No direct business impact on Davipharm; however, the piperine–cardiovascular drug interaction warning could be leveraged in medical education content supporting RAVASTEL (Rosuvastatin) and ZABALES (Clopidogrel).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Affairs team may integrate piperine interaction data into rep training materials for the cardiovascular portfolio (RAVASTEL, ZABALES, PECHAUNOX) to reinforce the clinical necessity of prescription lipid management over natural alternatives; implement within 1 month as routine supplementary content.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MoH Launches Annual Free Health Check Framework — Potential Screening Uptick for Chronic Disease Portfolio</w:t>
            </w:r>
          </w:p>
        </w:tc>
      </w:tr>
    </w:tbl>
    <w:p>
      <w:pPr>
        <w:spacing w:before="40" w:after="40"/>
        <w:ind w:left="170"/>
      </w:pPr>
      <w:r>
        <w:rPr>
          <w:rFonts w:ascii="Calibri" w:hAnsi="Calibri"/>
          <w:b w:val="0"/>
          <w:i/>
          <w:color w:val="6B7280"/>
          <w:sz w:val="18"/>
        </w:rPr>
        <w:t>Vietnam's MoH has issued clinical guidelines for free annual health screenings for all citizens aged 18+, including blood glucose, biochemistry, and chest X-ray — sufficient to detect diabetes and cardiovascular risk at population scale. This policy is expected to significantly expand the diagnosed patient pool for RAVASTEL (Rosuvastatin), EIMLER-10 (Empagliflozin), ZLATKO (Sitagliptin), PECHAUNOX, TABAREX, and HATLOP.[Source]</w:t>
      </w:r>
    </w:p>
    <w:p>
      <w:pPr>
        <w:spacing w:before="20" w:after="40"/>
        <w:ind w:left="170"/>
      </w:pPr>
      <w:r>
        <w:rPr>
          <w:rFonts w:ascii="Calibri" w:hAnsi="Calibri"/>
          <w:b/>
          <w:i w:val="0"/>
          <w:color w:val="166534"/>
          <w:sz w:val="17"/>
        </w:rPr>
        <w:t>🟢 Mass screening will expand the new patient funnel for cardiovascular and diabetes drugs — a long-term demand tailwind for RAVASTEL, EIMLER-10, ZLATKO, and PECHAUNOX across ETC channels.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teams should monitor the pending Decree under the Prevention Law (expected 2026) to confirm policy activation timelines; meanwhile, prepare post-screening prescribing support materials for RAVASTEL, EIMLER-10</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90% of Vietnamese Face Oral Health Issues — Dental Market Expansion, Outside Davipharm Portfolio</w:t>
            </w:r>
          </w:p>
        </w:tc>
      </w:tr>
    </w:tbl>
    <w:p>
      <w:pPr>
        <w:spacing w:before="40" w:after="40"/>
        <w:ind w:left="170"/>
      </w:pPr>
      <w:r>
        <w:rPr>
          <w:rFonts w:ascii="Calibri" w:hAnsi="Calibri"/>
          <w:b w:val="0"/>
          <w:i/>
          <w:color w:val="6B7280"/>
          <w:sz w:val="18"/>
        </w:rPr>
        <w:t>The 47th Asia-Pacific Dental Conference in Hanoi reported that 90% of Vietnamese suffer from oral health issues, with the Ministry of Health prioritizing preventive and specialist dental care. Davipharm carries no oral health products, so this development has no direct revenue or tender impact.[Source]</w:t>
      </w:r>
    </w:p>
    <w:p>
      <w:pPr>
        <w:spacing w:before="20" w:after="40"/>
        <w:ind w:left="170"/>
      </w:pPr>
      <w:r>
        <w:rPr>
          <w:rFonts w:ascii="Calibri" w:hAnsi="Calibri"/>
          <w:b/>
          <w:i w:val="0"/>
          <w:color w:val="374151"/>
          <w:sz w:val="17"/>
        </w:rPr>
        <w:t>⚪ No relevance to Davipharm's strategic portfolio — passive monitoring only, no priority action required.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immediate action required; Business Development may note the dental market expansion as a long-term signal should Davipharm consider entering the oral care OTC segment in future portfolio planning.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MoH Proposes Special Incentives for Island Healthcare Workers — Signal of Primary Care Strengthening in Remote Areas</w:t>
            </w:r>
          </w:p>
        </w:tc>
      </w:tr>
    </w:tbl>
    <w:p>
      <w:pPr>
        <w:spacing w:before="40" w:after="40"/>
        <w:ind w:left="170"/>
      </w:pPr>
      <w:r>
        <w:rPr>
          <w:rFonts w:ascii="Calibri" w:hAnsi="Calibri"/>
          <w:b w:val="0"/>
          <w:i/>
          <w:color w:val="6B7280"/>
          <w:sz w:val="18"/>
        </w:rPr>
        <w:t>Deputy Minister of Health Tran Van Thuan announced plans to advise the Government on a legal framework for special incentives for island-based healthcare workers, following a Truong Sa inspection visit (May 4–10, 2026), with VND 3.3 billion in medical equipment and drug kits donated to 7 islands. This news reflects a policy direction to strengthen primary care in remote areas but has no direct bearing on Davipharm's ETC tender portfolio.[Source]</w:t>
      </w:r>
    </w:p>
    <w:p>
      <w:pPr>
        <w:spacing w:before="20" w:after="40"/>
        <w:ind w:left="170"/>
      </w:pPr>
      <w:r>
        <w:rPr>
          <w:rFonts w:ascii="Calibri" w:hAnsi="Calibri"/>
          <w:b/>
          <w:i w:val="0"/>
          <w:color w:val="374151"/>
          <w:sz w:val="17"/>
        </w:rPr>
        <w:t>➖ No direct relevance to Davipharm's product portfolio or distribution channels; no immediate opportunity or risk identified.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priority action required. Government Affairs team may monitor the forthcoming legal framework for island healthcare incentives — if it leads to expanded primary care drug lists (including cardiovascular/diabetes), consider registering products such as RAVASTEL and ZLATKO into future defense/special procurement packages.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Hypertension Underdiagnosis in Millions of Vietnamese — Market Expansion Opportunity for Davipharm's Cardiovascular Portfolio</w:t>
            </w:r>
          </w:p>
        </w:tc>
      </w:tr>
    </w:tbl>
    <w:p>
      <w:pPr>
        <w:spacing w:before="40" w:after="40"/>
        <w:ind w:left="170"/>
      </w:pPr>
      <w:r>
        <w:rPr>
          <w:rFonts w:ascii="Calibri" w:hAnsi="Calibri"/>
          <w:b w:val="0"/>
          <w:i/>
          <w:color w:val="6B7280"/>
          <w:sz w:val="18"/>
        </w:rPr>
        <w:t>Vietnam's cardiology experts warn that 25–30% of Vietnamese adults have hypertension yet diagnosis and control rates remain critically low, with disease onset trending younger and fixed-dose combination therapy gaining prominence. This signals sustained long-term demand growth for Davipharm's PECHAUNOX (Perindopril+Amlodipine), TABAREX (Valsartan), and HATLOP (Irbesartan) across both ETC and OTC channels.[Source]</w:t>
      </w:r>
    </w:p>
    <w:p>
      <w:pPr>
        <w:spacing w:before="20" w:after="40"/>
        <w:ind w:left="170"/>
      </w:pPr>
      <w:r>
        <w:rPr>
          <w:rFonts w:ascii="Calibri" w:hAnsi="Calibri"/>
          <w:b/>
          <w:i w:val="0"/>
          <w:color w:val="166534"/>
          <w:sz w:val="17"/>
        </w:rPr>
        <w:t>📈 Clear growth opportunity: a large untreated hypertension patient pool and expert endorsement of fixed-dose combinations directly support PECHAUNOX's positioning and ETC tender volume in the upcoming procurement cycle.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Cardiovascular Marketing team, in coordination with Medical Affairs, should immediately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Musculoskeletal Disease Affecting Younger Demographics — Regenerative Medicine Trend Challenging Long-Term Analgesic Use</w:t>
            </w:r>
          </w:p>
        </w:tc>
      </w:tr>
    </w:tbl>
    <w:p>
      <w:pPr>
        <w:spacing w:before="40" w:after="40"/>
        <w:ind w:left="170"/>
      </w:pPr>
      <w:r>
        <w:rPr>
          <w:rFonts w:ascii="Calibri" w:hAnsi="Calibri"/>
          <w:b w:val="0"/>
          <w:i/>
          <w:color w:val="6B7280"/>
          <w:sz w:val="18"/>
        </w:rPr>
        <w:t>A webinar co-hosted by Dân Trí and Hồng Ngọc Hospital highlights a clear trend of musculoskeletal degeneration in adults over 30, alongside warnings on self-medication with uncontrolled NSAIDs/analgesics. Growing promotion of regenerative medicine as an alternative may temper long-term demand for Etoricoxib (MAGRAX) in chronic musculoskeletal pain management.[Source]</w:t>
      </w:r>
    </w:p>
    <w:p>
      <w:pPr>
        <w:spacing w:before="20" w:after="40"/>
        <w:ind w:left="170"/>
      </w:pPr>
      <w:r>
        <w:rPr>
          <w:rFonts w:ascii="Calibri" w:hAnsi="Calibri"/>
          <w:b/>
          <w:i w:val="0"/>
          <w:color w:val="374151"/>
          <w:sz w:val="17"/>
        </w:rPr>
        <w:t>⚖️ Neutral signal: expanding musculoskeletal patient base is a growth opportunity for MAGRAX, but regenerative medicine momentum and anti-prolonged-NSAID messaging may constrain OTC/ETC volume growth.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should reposition MAGRAX (Etoricoxib) as a "short-to-medium-term acute/subacute pain bridge" solution — leveraging CV and GI safety data vs. older NSAIDs to justify rational prescribing alongside regenerative interventions; develop rheumatology/orthopaedic detailing materials by Q3 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Ultra-Magnification Endoscopy Trend for Early GI Cancer Detection: Rising Downstream Treatment Demand</w:t>
            </w:r>
          </w:p>
        </w:tc>
      </w:tr>
    </w:tbl>
    <w:p>
      <w:pPr>
        <w:spacing w:before="40" w:after="40"/>
        <w:ind w:left="170"/>
      </w:pPr>
      <w:r>
        <w:rPr>
          <w:rFonts w:ascii="Calibri" w:hAnsi="Calibri"/>
          <w:b w:val="0"/>
          <w:i/>
          <w:color w:val="6B7280"/>
          <w:sz w:val="18"/>
        </w:rPr>
        <w:t>Olympus Endocyto 520x technology, now deployed at Thu Cúc TCI, enables cellular-level detection of GI cancers, signaling a significant increase in early-stage diagnoses across Vietnam in coming years. Earlier diagnosis translates to a larger patient population entering pharmacological treatment, directly expanding the ETC market for Davipharm's oncology portfolio.[Source]</w:t>
      </w:r>
    </w:p>
    <w:p>
      <w:pPr>
        <w:spacing w:before="20" w:after="40"/>
        <w:ind w:left="170"/>
      </w:pPr>
      <w:r>
        <w:rPr>
          <w:rFonts w:ascii="Calibri" w:hAnsi="Calibri"/>
          <w:b/>
          <w:i w:val="0"/>
          <w:color w:val="166534"/>
          <w:sz w:val="17"/>
        </w:rPr>
        <w:t>📈 Mid-term opportunity: increased early-stage GI cancer diagnoses will drive prescription volumes, supporting ETC tender share growth for HYYR (Erlotinib) and LARRIVEY (Bicalutamide).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ETC Marketing and Medical Affairs teams should track the rollout of ultra-magnification endoscopy to provincial hospitals over the next 12 months, prepare MSL materials, and proactively position HYYR and LARRIVEY in oncology formularies at facilities adopting advanced endoscopy — prioritizing TCI-network hospitals and provincial cancer centers.</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 VND /tabs</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Prepare post-screening prescribing support for RAVASTEL, EIMLER-10, ZLATKO targeting district hospitals ahead of tender cycle</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MoH Free Annual Screening — Chronic Disease Patient Funnel Expansion</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Launch PECHAUNOX FDC detailing around World Hypertension Day 17/5 at provincial hospitals</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Hypertension Underdiagnosis — FDC Positioning &amp; ETC Tender Opportunity</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Detail JIRACEK, MARTAZ at GI departments of Bach Mai &amp; Cho Ray ahead of Q3/2026 tender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Rising HP/Gastric Cancer Awareness — Long-term PPI ETC Demand</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