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left"/>
        <w:tblLook w:firstColumn="1" w:firstRow="1" w:lastColumn="0" w:lastRow="0" w:noHBand="0" w:noVBand="1" w:val="04A0"/>
      </w:tblPr>
      <w:tblGrid>
        <w:gridCol w:w="9072"/>
      </w:tblGrid>
      <w:tr>
        <w:tc>
          <w:tcPr>
            <w:tcW w:type="dxa" w:w="9071"/>
            <w:shd w:val="clear" w:color="auto" w:fill="003B71"/>
            <w:tcBorders>
              <w:top w:val="none" w:sz="6" w:color="auto"/>
              <w:bottom w:val="none" w:sz="6" w:color="auto"/>
              <w:left w:val="none" w:sz="6" w:color="auto"/>
              <w:right w:val="none" w:sz="6" w:color="auto"/>
            </w:tcBorders>
          </w:tcPr>
          <w:p>
            <w:pPr>
              <w:spacing w:before="120" w:after="120"/>
              <w:ind w:left="170"/>
            </w:pPr>
            <w:r>
              <w:rPr>
                <w:rFonts w:ascii="Calibri" w:hAnsi="Calibri"/>
                <w:b/>
                <w:i w:val="0"/>
                <w:color w:val="FFFFFF"/>
                <w:sz w:val="16"/>
              </w:rPr>
              <w:t>MARKET INTELLIGENCE  ·  WEEKLY REPORT</w:t>
            </w:r>
          </w:p>
        </w:tc>
      </w:tr>
    </w:tbl>
    <w:p>
      <w:pPr>
        <w:spacing w:before="720" w:after="360"/>
        <w:jc w:val="center"/>
      </w:pPr>
      <w:r>
        <w:drawing>
          <wp:inline xmlns:a="http://schemas.openxmlformats.org/drawingml/2006/main" xmlns:pic="http://schemas.openxmlformats.org/drawingml/2006/picture">
            <wp:extent cx="3060000" cy="484691"/>
            <wp:docPr id="1" name="Picture 1"/>
            <wp:cNvGraphicFramePr>
              <a:graphicFrameLocks noChangeAspect="1"/>
            </wp:cNvGraphicFramePr>
            <a:graphic>
              <a:graphicData uri="http://schemas.openxmlformats.org/drawingml/2006/picture">
                <pic:pic>
                  <pic:nvPicPr>
                    <pic:cNvPr id="0" name="logo.png"/>
                    <pic:cNvPicPr/>
                  </pic:nvPicPr>
                  <pic:blipFill>
                    <a:blip r:embed="rId10"/>
                    <a:stretch>
                      <a:fillRect/>
                    </a:stretch>
                  </pic:blipFill>
                  <pic:spPr>
                    <a:xfrm>
                      <a:off x="0" y="0"/>
                      <a:ext cx="3060000" cy="484691"/>
                    </a:xfrm>
                    <a:prstGeom prst="rect"/>
                  </pic:spPr>
                </pic:pic>
              </a:graphicData>
            </a:graphic>
          </wp:inline>
        </w:drawing>
      </w:r>
    </w:p>
    <w:tbl>
      <w:tblPr>
        <w:tblW w:type="auto" w:w="0"/>
        <w:jc w:val="center"/>
        <w:tblLook w:firstColumn="1" w:firstRow="1" w:lastColumn="0" w:lastRow="0" w:noHBand="0" w:noVBand="1" w:val="04A0"/>
      </w:tblPr>
      <w:tblGrid>
        <w:gridCol w:w="4536"/>
        <w:gridCol w:w="4536"/>
      </w:tblGrid>
      <w:tr>
        <w:tc>
          <w:tcPr>
            <w:tcW w:type="dxa" w:w="1984"/>
            <w:shd w:val="clear" w:color="auto" w:fill="F1F5F9"/>
            <w:tcBorders>
              <w:top w:val="none" w:sz="6" w:color="auto"/>
              <w:bottom w:val="none" w:sz="6" w:color="auto"/>
              <w:left w:val="none" w:sz="6" w:color="auto"/>
              <w:right w:val="none" w:sz="6" w:color="auto"/>
            </w:tcBorders>
          </w:tcPr>
          <w:p>
            <w:pPr>
              <w:spacing w:before="80" w:after="80"/>
              <w:ind w:left="113"/>
            </w:pPr>
            <w:r>
              <w:rPr>
                <w:rFonts w:ascii="Calibri" w:hAnsi="Calibri"/>
                <w:b/>
                <w:i w:val="0"/>
                <w:color w:val="9CA3AF"/>
                <w:sz w:val="16"/>
              </w:rPr>
              <w:t>REPORT</w:t>
            </w:r>
          </w:p>
        </w:tc>
        <w:tc>
          <w:tcPr>
            <w:tcW w:type="dxa" w:w="4819"/>
            <w:tcBorders>
              <w:top w:val="none" w:sz="6" w:color="auto"/>
              <w:bottom w:val="none" w:sz="6" w:color="auto"/>
              <w:left w:val="none" w:sz="6" w:color="auto"/>
              <w:right w:val="none" w:sz="6" w:color="auto"/>
            </w:tcBorders>
          </w:tcPr>
          <w:p>
            <w:pPr>
              <w:spacing w:before="80" w:after="80"/>
              <w:ind w:left="113"/>
            </w:pPr>
            <w:r>
              <w:rPr>
                <w:rFonts w:ascii="Calibri" w:hAnsi="Calibri"/>
                <w:b/>
                <w:i w:val="0"/>
                <w:color w:val="003B71"/>
                <w:sz w:val="19"/>
              </w:rPr>
              <w:t>Market Intelligence Report</w:t>
            </w:r>
          </w:p>
        </w:tc>
      </w:tr>
      <w:tr>
        <w:tc>
          <w:tcPr>
            <w:tcW w:type="dxa" w:w="1984"/>
            <w:shd w:val="clear" w:color="auto" w:fill="F1F5F9"/>
            <w:tcBorders>
              <w:top w:val="none" w:sz="6" w:color="auto"/>
              <w:bottom w:val="none" w:sz="6" w:color="auto"/>
              <w:left w:val="none" w:sz="6" w:color="auto"/>
              <w:right w:val="none" w:sz="6" w:color="auto"/>
            </w:tcBorders>
          </w:tcPr>
          <w:p>
            <w:pPr>
              <w:spacing w:before="80" w:after="80"/>
              <w:ind w:left="113"/>
            </w:pPr>
            <w:r>
              <w:rPr>
                <w:rFonts w:ascii="Calibri" w:hAnsi="Calibri"/>
                <w:b/>
                <w:i w:val="0"/>
                <w:color w:val="9CA3AF"/>
                <w:sz w:val="16"/>
              </w:rPr>
              <w:t>WEEK</w:t>
            </w:r>
          </w:p>
        </w:tc>
        <w:tc>
          <w:tcPr>
            <w:tcW w:type="dxa" w:w="4819"/>
            <w:tcBorders>
              <w:top w:val="none" w:sz="6" w:color="auto"/>
              <w:bottom w:val="none" w:sz="6" w:color="auto"/>
              <w:left w:val="none" w:sz="6" w:color="auto"/>
              <w:right w:val="none" w:sz="6" w:color="auto"/>
            </w:tcBorders>
          </w:tcPr>
          <w:p>
            <w:pPr>
              <w:spacing w:before="80" w:after="80"/>
              <w:ind w:left="113"/>
            </w:pPr>
            <w:r>
              <w:rPr>
                <w:rFonts w:ascii="Calibri" w:hAnsi="Calibri"/>
                <w:b w:val="0"/>
                <w:i w:val="0"/>
                <w:color w:val="111827"/>
                <w:sz w:val="19"/>
              </w:rPr>
              <w:t>12/05 – 18/05/2026</w:t>
            </w:r>
          </w:p>
        </w:tc>
      </w:tr>
      <w:tr>
        <w:tc>
          <w:tcPr>
            <w:tcW w:type="dxa" w:w="1984"/>
            <w:shd w:val="clear" w:color="auto" w:fill="F1F5F9"/>
            <w:tcBorders>
              <w:top w:val="none" w:sz="6" w:color="auto"/>
              <w:bottom w:val="none" w:sz="6" w:color="auto"/>
              <w:left w:val="none" w:sz="6" w:color="auto"/>
              <w:right w:val="none" w:sz="6" w:color="auto"/>
            </w:tcBorders>
          </w:tcPr>
          <w:p>
            <w:pPr>
              <w:spacing w:before="80" w:after="80"/>
              <w:ind w:left="113"/>
            </w:pPr>
            <w:r>
              <w:rPr>
                <w:rFonts w:ascii="Calibri" w:hAnsi="Calibri"/>
                <w:b/>
                <w:i w:val="0"/>
                <w:color w:val="9CA3AF"/>
                <w:sz w:val="16"/>
              </w:rPr>
              <w:t>DATE</w:t>
            </w:r>
          </w:p>
        </w:tc>
        <w:tc>
          <w:tcPr>
            <w:tcW w:type="dxa" w:w="4819"/>
            <w:tcBorders>
              <w:top w:val="none" w:sz="6" w:color="auto"/>
              <w:bottom w:val="none" w:sz="6" w:color="auto"/>
              <w:left w:val="none" w:sz="6" w:color="auto"/>
              <w:right w:val="none" w:sz="6" w:color="auto"/>
            </w:tcBorders>
          </w:tcPr>
          <w:p>
            <w:pPr>
              <w:spacing w:before="80" w:after="80"/>
              <w:ind w:left="113"/>
            </w:pPr>
            <w:r>
              <w:rPr>
                <w:rFonts w:ascii="Calibri" w:hAnsi="Calibri"/>
                <w:b w:val="0"/>
                <w:i w:val="0"/>
                <w:color w:val="111827"/>
                <w:sz w:val="19"/>
              </w:rPr>
              <w:t>13/05/2026</w:t>
            </w:r>
          </w:p>
        </w:tc>
      </w:tr>
    </w:tbl>
    <w:p>
      <w:pPr>
        <w:spacing w:before="360"/>
        <w:jc w:val="center"/>
      </w:pPr>
      <w:r>
        <w:rPr>
          <w:rFonts w:ascii="Calibri" w:hAnsi="Calibri"/>
          <w:b w:val="0"/>
          <w:i/>
          <w:color w:val="CCCCCC"/>
          <w:sz w:val="16"/>
        </w:rPr>
        <w:t>Adamed Group  ·  Davipharm  ·  CONFIDENTIAL</w:t>
      </w:r>
    </w:p>
    <w:p>
      <w:r>
        <w:br w:type="page"/>
      </w:r>
    </w:p>
    <w:p>
      <w:pPr>
        <w:spacing w:before="320" w:after="120"/>
        <w:pBdr>
          <w:bottom w:val="single" w:sz="8" w:color="003B71"/>
        </w:pBdr>
      </w:pPr>
      <w:r>
        <w:rPr>
          <w:rFonts w:ascii="Calibri" w:hAnsi="Calibri"/>
          <w:b/>
          <w:i w:val="0"/>
          <w:color w:val="003B71"/>
          <w:sz w:val="22"/>
        </w:rPr>
        <w:t>EXECUTIVE SUMMARY</w:t>
      </w:r>
    </w:p>
    <w:tbl>
      <w:tblPr>
        <w:tblStyle w:val="TableGrid"/>
        <w:tblW w:type="auto" w:w="0"/>
        <w:jc w:val="left"/>
        <w:tblLook w:firstColumn="1" w:firstRow="1" w:lastColumn="0" w:lastRow="0" w:noHBand="0" w:noVBand="1" w:val="04A0"/>
      </w:tblPr>
      <w:tblGrid>
        <w:gridCol w:w="9072"/>
      </w:tblGrid>
      <w:tr>
        <w:tc>
          <w:tcPr>
            <w:tcW w:type="dxa" w:w="9071"/>
            <w:shd w:val="clear" w:color="auto" w:fill="EFF6FF"/>
            <w:tcBorders>
              <w:top w:val="none" w:sz="6" w:color="auto"/>
              <w:bottom w:val="none" w:sz="6" w:color="auto"/>
              <w:left w:val="single" w:sz="18" w:color="0056D2"/>
              <w:right w:val="none" w:sz="6" w:color="auto"/>
            </w:tcBorders>
          </w:tcPr>
          <w:p>
            <w:pPr>
              <w:spacing w:before="80" w:after="80"/>
              <w:ind w:left="170"/>
            </w:pPr>
            <w:r>
              <w:rPr>
                <w:rFonts w:ascii="Calibri" w:hAnsi="Calibri"/>
                <w:b/>
                <w:i w:val="0"/>
                <w:color w:val="111827"/>
                <w:sz w:val="20"/>
              </w:rPr>
              <w:t>Week 11–17 May 2026: MoH's free universal health screening mandate is the most consequential development for Davipharm, creating a structural demand uplift for the cardiovascular and diabetes portfolio ahead of World Hypertension Day (May 17) and the upcoming local tender cycle.</w:t>
            </w:r>
          </w:p>
        </w:tc>
      </w:tr>
    </w:tbl>
    <w:p>
      <w:pPr>
        <w:spacing w:before="80"/>
      </w:pPr>
    </w:p>
    <w:p>
      <w:pPr>
        <w:spacing w:after="80"/>
      </w:pPr>
    </w:p>
    <w:tbl>
      <w:tblPr>
        <w:tblStyle w:val="TableGrid"/>
        <w:tblW w:type="auto" w:w="0"/>
        <w:jc w:val="left"/>
        <w:tblLook w:firstColumn="1" w:firstRow="1" w:lastColumn="0" w:lastRow="0" w:noHBand="0" w:noVBand="1" w:val="04A0"/>
      </w:tblPr>
      <w:tblGrid>
        <w:gridCol w:w="4536"/>
        <w:gridCol w:w="4536"/>
      </w:tblGrid>
      <w:tr>
        <w:tc>
          <w:tcPr>
            <w:tcW w:type="dxa" w:w="4535"/>
            <w:tcBorders>
              <w:top w:val="none" w:sz="6" w:color="auto"/>
              <w:bottom w:val="none" w:sz="6" w:color="auto"/>
              <w:left w:val="none" w:sz="6" w:color="auto"/>
              <w:right w:val="none" w:sz="6" w:color="auto"/>
            </w:tcBorders>
            <w:shd w:val="clear" w:color="auto" w:fill="FAFBFF"/>
          </w:tcPr>
          <w:p>
            <w:pPr>
              <w:spacing w:before="80"/>
              <w:ind w:left="113"/>
            </w:pPr>
            <w:r>
              <w:rPr>
                <w:rFonts w:ascii="Calibri" w:hAnsi="Calibri"/>
                <w:b/>
                <w:i w:val="0"/>
                <w:color w:val="003B71"/>
                <w:sz w:val="17"/>
              </w:rPr>
              <w:t>💡  KEY INSIGHTS</w:t>
            </w:r>
          </w:p>
          <w:p>
            <w:pPr>
              <w:spacing w:before="20" w:after="60"/>
              <w:ind w:left="142"/>
            </w:pPr>
            <w:r>
              <w:rPr>
                <w:rFonts w:ascii="Calibri" w:hAnsi="Calibri"/>
                <w:b w:val="0"/>
                <w:i w:val="0"/>
                <w:color w:val="111827"/>
                <w:sz w:val="17"/>
              </w:rPr>
              <w:t>▸  Universal Screening:The free annual check-up policy will materially expand the diagnosed patient pool for hypertension, dyslipidemia, and diabetes — directly benefiting PECHAUNOX, RAVASTEL, TABAREX, EIMLER-10, and ZLATKO across district/commune ETC channels.</w:t>
            </w:r>
          </w:p>
          <w:p>
            <w:pPr>
              <w:spacing w:before="20" w:after="60"/>
              <w:ind w:left="142"/>
            </w:pPr>
            <w:r>
              <w:rPr>
                <w:rFonts w:ascii="Calibri" w:hAnsi="Calibri"/>
                <w:b w:val="0"/>
                <w:i w:val="0"/>
                <w:color w:val="111827"/>
                <w:sz w:val="17"/>
              </w:rPr>
              <w:t>▸  Cardiovascular — Solid Base Demand:An estimated 25–30% of Vietnamese adults remain undiagnosed for hypertension and the younger musculoskeletal disease trend strengthen the tendering rationale for PECHAUNOX/HATLOP/TABAREX and MAGRAX in the 2026–2027 cycle.</w:t>
            </w:r>
          </w:p>
          <w:p>
            <w:pPr>
              <w:spacing w:before="20" w:after="60"/>
              <w:ind w:left="142"/>
            </w:pPr>
            <w:r>
              <w:rPr>
                <w:rFonts w:ascii="Calibri" w:hAnsi="Calibri"/>
                <w:b w:val="0"/>
                <w:i w:val="0"/>
                <w:color w:val="111827"/>
                <w:sz w:val="17"/>
              </w:rPr>
              <w:t>▸  GI &amp; Oncology — Long-Term Signal:Rising HP/gastric cancer awareness and advanced endoscopy expansion in private hospitals indirectly support JIRACEK, MARTAZ, and oncology products HYYR/LARRIVEY, with limited near-term revenue impact.</w:t>
            </w:r>
          </w:p>
        </w:tc>
        <w:tc>
          <w:tcPr>
            <w:tcW w:type="dxa" w:w="4535"/>
            <w:tcBorders>
              <w:top w:val="none" w:sz="6" w:color="auto"/>
              <w:bottom w:val="none" w:sz="6" w:color="auto"/>
              <w:left w:val="none" w:sz="6" w:color="auto"/>
              <w:right w:val="none" w:sz="6" w:color="auto"/>
            </w:tcBorders>
            <w:shd w:val="clear" w:color="auto" w:fill="FAFBFF"/>
          </w:tcPr>
          <w:p>
            <w:pPr>
              <w:spacing w:before="80"/>
              <w:ind w:left="113"/>
            </w:pPr>
            <w:r>
              <w:rPr>
                <w:rFonts w:ascii="Calibri" w:hAnsi="Calibri"/>
                <w:b/>
                <w:i w:val="0"/>
                <w:color w:val="0056D2"/>
                <w:sz w:val="17"/>
              </w:rPr>
              <w:t>⚡  PRIORITY ACTIONS</w:t>
            </w:r>
          </w:p>
        </w:tc>
      </w:tr>
    </w:tbl>
    <w:p>
      <w:pPr>
        <w:spacing w:after="120"/>
      </w:pPr>
    </w:p>
    <w:p>
      <w:pPr>
        <w:spacing w:after="40"/>
      </w:pPr>
    </w:p>
    <w:p>
      <w:pPr>
        <w:spacing w:before="320" w:after="120"/>
        <w:pBdr>
          <w:bottom w:val="single" w:sz="8" w:color="003B71"/>
        </w:pBdr>
      </w:pPr>
      <w:r>
        <w:rPr>
          <w:rFonts w:ascii="Calibri" w:hAnsi="Calibri"/>
          <w:b/>
          <w:i w:val="0"/>
          <w:color w:val="003B71"/>
          <w:sz w:val="22"/>
        </w:rPr>
        <w:t>MARKET SENTIMENT THIS WEEK</w:t>
      </w:r>
    </w:p>
    <w:tbl>
      <w:tblPr>
        <w:tblStyle w:val="TableGrid"/>
        <w:tblW w:type="auto" w:w="0"/>
        <w:jc w:val="left"/>
        <w:tblLook w:firstColumn="1" w:firstRow="1" w:lastColumn="0" w:lastRow="0" w:noHBand="0" w:noVBand="1" w:val="04A0"/>
      </w:tblPr>
      <w:tblGrid>
        <w:gridCol w:w="2268"/>
        <w:gridCol w:w="2268"/>
        <w:gridCol w:w="2268"/>
        <w:gridCol w:w="2268"/>
      </w:tblGrid>
      <w:tr>
        <w:tc>
          <w:tcPr>
            <w:tcW w:type="dxa" w:w="3118"/>
            <w:shd w:val="clear" w:color="auto" w:fill="003B71"/>
            <w:tcBorders>
              <w:top w:val="none" w:sz="6" w:color="auto"/>
              <w:bottom w:val="none" w:sz="6" w:color="auto"/>
              <w:left w:val="none" w:sz="6" w:color="auto"/>
              <w:right w:val="none" w:sz="6" w:color="auto"/>
            </w:tcBorders>
          </w:tcPr>
          <w:p>
            <w:pPr>
              <w:spacing w:before="80" w:after="80"/>
              <w:ind w:left="85"/>
              <w:jc w:val="left"/>
            </w:pPr>
            <w:r>
              <w:rPr>
                <w:rFonts w:ascii="Calibri" w:hAnsi="Calibri"/>
                <w:b/>
                <w:i w:val="0"/>
                <w:color w:val="FFFFFF"/>
                <w:sz w:val="17"/>
              </w:rPr>
              <w:t>Section</w:t>
            </w:r>
          </w:p>
        </w:tc>
        <w:tc>
          <w:tcPr>
            <w:tcW w:type="dxa" w:w="1701"/>
            <w:shd w:val="clear" w:color="auto" w:fill="166534"/>
            <w:tcBorders>
              <w:top w:val="none" w:sz="6" w:color="auto"/>
              <w:bottom w:val="none" w:sz="6" w:color="auto"/>
              <w:left w:val="none" w:sz="6" w:color="auto"/>
              <w:right w:val="none" w:sz="6" w:color="auto"/>
            </w:tcBorders>
          </w:tcPr>
          <w:p>
            <w:pPr>
              <w:spacing w:before="80" w:after="80"/>
              <w:ind w:left="0"/>
              <w:jc w:val="center"/>
            </w:pPr>
            <w:r>
              <w:rPr>
                <w:rFonts w:ascii="Calibri" w:hAnsi="Calibri"/>
                <w:b/>
                <w:i w:val="0"/>
                <w:color w:val="FFFFFF"/>
                <w:sz w:val="17"/>
              </w:rPr>
              <w:t>✅  Positive</w:t>
            </w:r>
          </w:p>
        </w:tc>
        <w:tc>
          <w:tcPr>
            <w:tcW w:type="dxa" w:w="1984"/>
            <w:shd w:val="clear" w:color="auto" w:fill="374151"/>
            <w:tcBorders>
              <w:top w:val="none" w:sz="6" w:color="auto"/>
              <w:bottom w:val="none" w:sz="6" w:color="auto"/>
              <w:left w:val="none" w:sz="6" w:color="auto"/>
              <w:right w:val="none" w:sz="6" w:color="auto"/>
            </w:tcBorders>
          </w:tcPr>
          <w:p>
            <w:pPr>
              <w:spacing w:before="80" w:after="80"/>
              <w:ind w:left="0"/>
              <w:jc w:val="center"/>
            </w:pPr>
            <w:r>
              <w:rPr>
                <w:rFonts w:ascii="Calibri" w:hAnsi="Calibri"/>
                <w:b/>
                <w:i w:val="0"/>
                <w:color w:val="FFFFFF"/>
                <w:sz w:val="17"/>
              </w:rPr>
              <w:t>⚪  Neutral</w:t>
            </w:r>
          </w:p>
        </w:tc>
        <w:tc>
          <w:tcPr>
            <w:tcW w:type="dxa" w:w="2268"/>
            <w:shd w:val="clear" w:color="auto" w:fill="991B1B"/>
            <w:tcBorders>
              <w:top w:val="none" w:sz="6" w:color="auto"/>
              <w:bottom w:val="none" w:sz="6" w:color="auto"/>
              <w:left w:val="none" w:sz="6" w:color="auto"/>
              <w:right w:val="none" w:sz="6" w:color="auto"/>
            </w:tcBorders>
          </w:tcPr>
          <w:p>
            <w:pPr>
              <w:spacing w:before="80" w:after="80"/>
              <w:ind w:left="0"/>
              <w:jc w:val="center"/>
            </w:pPr>
            <w:r>
              <w:rPr>
                <w:rFonts w:ascii="Calibri" w:hAnsi="Calibri"/>
                <w:b/>
                <w:i w:val="0"/>
                <w:color w:val="FFFFFF"/>
                <w:sz w:val="17"/>
              </w:rPr>
              <w:t>⚠️  Risk / Challenge</w:t>
            </w:r>
          </w:p>
        </w:tc>
      </w:tr>
      <w:tr>
        <w:tc>
          <w:tcPr>
            <w:tcW w:type="dxa" w:w="3118"/>
            <w:shd w:val="clear" w:color="auto" w:fill="FAFBFF"/>
            <w:tcBorders>
              <w:top w:val="none" w:sz="6" w:color="auto"/>
              <w:bottom w:val="none" w:sz="6" w:color="auto"/>
              <w:left w:val="none" w:sz="6" w:color="auto"/>
              <w:right w:val="none" w:sz="6" w:color="auto"/>
            </w:tcBorders>
          </w:tcPr>
          <w:p>
            <w:pPr>
              <w:spacing w:before="100" w:after="100"/>
              <w:ind w:left="113"/>
            </w:pPr>
            <w:r>
              <w:rPr>
                <w:rFonts w:ascii="Calibri" w:hAnsi="Calibri"/>
                <w:b/>
                <w:i w:val="0"/>
                <w:color w:val="111827"/>
                <w:sz w:val="18"/>
              </w:rPr>
              <w:t>Regulatory &amp; Policy</w:t>
            </w:r>
          </w:p>
        </w:tc>
        <w:tc>
          <w:tcPr>
            <w:tcW w:type="dxa" w:w="1701"/>
            <w:shd w:val="clear" w:color="auto" w:fill="E9FBF0"/>
            <w:tcBorders>
              <w:top w:val="none" w:sz="6" w:color="auto"/>
              <w:bottom w:val="none" w:sz="6" w:color="auto"/>
              <w:left w:val="none" w:sz="6" w:color="auto"/>
              <w:right w:val="none" w:sz="6" w:color="auto"/>
            </w:tcBorders>
          </w:tcPr>
          <w:p>
            <w:pPr>
              <w:spacing w:before="80" w:after="80"/>
              <w:jc w:val="center"/>
            </w:pPr>
            <w:r>
              <w:rPr>
                <w:rFonts w:ascii="Calibri" w:hAnsi="Calibri"/>
                <w:b w:val="0"/>
                <w:i w:val="0"/>
                <w:color w:val="CCCCCC"/>
                <w:sz w:val="22"/>
              </w:rPr>
              <w:t>—</w:t>
            </w:r>
          </w:p>
        </w:tc>
        <w:tc>
          <w:tcPr>
            <w:tcW w:type="dxa" w:w="1984"/>
            <w:shd w:val="clear" w:color="auto" w:fill="F9FAFB"/>
            <w:tcBorders>
              <w:top w:val="none" w:sz="6" w:color="auto"/>
              <w:bottom w:val="none" w:sz="6" w:color="auto"/>
              <w:left w:val="none" w:sz="6" w:color="auto"/>
              <w:right w:val="none" w:sz="6" w:color="auto"/>
            </w:tcBorders>
          </w:tcPr>
          <w:p>
            <w:pPr>
              <w:spacing w:before="80" w:after="80"/>
              <w:jc w:val="center"/>
            </w:pPr>
            <w:r>
              <w:rPr>
                <w:rFonts w:ascii="Calibri" w:hAnsi="Calibri"/>
                <w:b w:val="0"/>
                <w:i w:val="0"/>
                <w:color w:val="CCCCCC"/>
                <w:sz w:val="22"/>
              </w:rPr>
              <w:t>—</w:t>
            </w:r>
          </w:p>
        </w:tc>
        <w:tc>
          <w:tcPr>
            <w:tcW w:type="dxa" w:w="2268"/>
            <w:shd w:val="clear" w:color="auto" w:fill="FFF0F0"/>
            <w:tcBorders>
              <w:top w:val="none" w:sz="6" w:color="auto"/>
              <w:bottom w:val="none" w:sz="6" w:color="auto"/>
              <w:left w:val="none" w:sz="6" w:color="auto"/>
              <w:right w:val="none" w:sz="6" w:color="auto"/>
            </w:tcBorders>
          </w:tcPr>
          <w:p>
            <w:pPr>
              <w:spacing w:before="80" w:after="80"/>
              <w:jc w:val="center"/>
            </w:pPr>
            <w:r>
              <w:rPr>
                <w:rFonts w:ascii="Calibri" w:hAnsi="Calibri"/>
                <w:b w:val="0"/>
                <w:i w:val="0"/>
                <w:color w:val="CCCCCC"/>
                <w:sz w:val="22"/>
              </w:rPr>
              <w:t>—</w:t>
            </w:r>
          </w:p>
        </w:tc>
      </w:tr>
      <w:tr>
        <w:tc>
          <w:tcPr>
            <w:tcW w:type="dxa" w:w="3118"/>
            <w:shd w:val="clear" w:color="auto" w:fill="F5F7FF"/>
            <w:tcBorders>
              <w:top w:val="none" w:sz="6" w:color="auto"/>
              <w:bottom w:val="none" w:sz="6" w:color="auto"/>
              <w:left w:val="none" w:sz="6" w:color="auto"/>
              <w:right w:val="none" w:sz="6" w:color="auto"/>
            </w:tcBorders>
          </w:tcPr>
          <w:p>
            <w:pPr>
              <w:spacing w:before="100" w:after="100"/>
              <w:ind w:left="113"/>
            </w:pPr>
            <w:r>
              <w:rPr>
                <w:rFonts w:ascii="Calibri" w:hAnsi="Calibri"/>
                <w:b/>
                <w:i w:val="0"/>
                <w:color w:val="111827"/>
                <w:sz w:val="18"/>
              </w:rPr>
              <w:t>Pharma Industry News</w:t>
            </w:r>
          </w:p>
        </w:tc>
        <w:tc>
          <w:tcPr>
            <w:tcW w:type="dxa" w:w="1701"/>
            <w:shd w:val="clear" w:color="auto" w:fill="DCFCE7"/>
            <w:tcBorders>
              <w:top w:val="none" w:sz="6" w:color="auto"/>
              <w:bottom w:val="none" w:sz="6" w:color="auto"/>
              <w:left w:val="none" w:sz="6" w:color="auto"/>
              <w:right w:val="none" w:sz="6" w:color="auto"/>
            </w:tcBorders>
          </w:tcPr>
          <w:p>
            <w:pPr>
              <w:spacing w:before="80" w:after="80"/>
              <w:jc w:val="center"/>
            </w:pPr>
            <w:r>
              <w:rPr>
                <w:rFonts w:ascii="Calibri" w:hAnsi="Calibri"/>
                <w:b/>
                <w:i w:val="0"/>
                <w:color w:val="166534"/>
                <w:sz w:val="22"/>
              </w:rPr>
              <w:t>4</w:t>
            </w:r>
          </w:p>
        </w:tc>
        <w:tc>
          <w:tcPr>
            <w:tcW w:type="dxa" w:w="1984"/>
            <w:shd w:val="clear" w:color="auto" w:fill="F3F4F6"/>
            <w:tcBorders>
              <w:top w:val="none" w:sz="6" w:color="auto"/>
              <w:bottom w:val="none" w:sz="6" w:color="auto"/>
              <w:left w:val="none" w:sz="6" w:color="auto"/>
              <w:right w:val="none" w:sz="6" w:color="auto"/>
            </w:tcBorders>
          </w:tcPr>
          <w:p>
            <w:pPr>
              <w:spacing w:before="80" w:after="80"/>
              <w:jc w:val="center"/>
            </w:pPr>
            <w:r>
              <w:rPr>
                <w:rFonts w:ascii="Calibri" w:hAnsi="Calibri"/>
                <w:b/>
                <w:i w:val="0"/>
                <w:color w:val="374151"/>
                <w:sz w:val="22"/>
              </w:rPr>
              <w:t>6</w:t>
            </w:r>
          </w:p>
        </w:tc>
        <w:tc>
          <w:tcPr>
            <w:tcW w:type="dxa" w:w="2268"/>
            <w:shd w:val="clear" w:color="auto" w:fill="FFF0F0"/>
            <w:tcBorders>
              <w:top w:val="none" w:sz="6" w:color="auto"/>
              <w:bottom w:val="none" w:sz="6" w:color="auto"/>
              <w:left w:val="none" w:sz="6" w:color="auto"/>
              <w:right w:val="none" w:sz="6" w:color="auto"/>
            </w:tcBorders>
          </w:tcPr>
          <w:p>
            <w:pPr>
              <w:spacing w:before="80" w:after="80"/>
              <w:jc w:val="center"/>
            </w:pPr>
            <w:r>
              <w:rPr>
                <w:rFonts w:ascii="Calibri" w:hAnsi="Calibri"/>
                <w:b w:val="0"/>
                <w:i w:val="0"/>
                <w:color w:val="CCCCCC"/>
                <w:sz w:val="22"/>
              </w:rPr>
              <w:t>—</w:t>
            </w:r>
          </w:p>
        </w:tc>
      </w:tr>
      <w:tr>
        <w:tc>
          <w:tcPr>
            <w:tcW w:type="dxa" w:w="3118"/>
            <w:shd w:val="clear" w:color="auto" w:fill="FAFBFF"/>
            <w:tcBorders>
              <w:top w:val="none" w:sz="6" w:color="auto"/>
              <w:bottom w:val="none" w:sz="6" w:color="auto"/>
              <w:left w:val="none" w:sz="6" w:color="auto"/>
              <w:right w:val="none" w:sz="6" w:color="auto"/>
            </w:tcBorders>
          </w:tcPr>
          <w:p>
            <w:pPr>
              <w:spacing w:before="100" w:after="100"/>
              <w:ind w:left="113"/>
            </w:pPr>
            <w:r>
              <w:rPr>
                <w:rFonts w:ascii="Calibri" w:hAnsi="Calibri"/>
                <w:b/>
                <w:i w:val="0"/>
                <w:color w:val="111827"/>
                <w:sz w:val="18"/>
              </w:rPr>
              <w:t>Competitors</w:t>
            </w:r>
          </w:p>
        </w:tc>
        <w:tc>
          <w:tcPr>
            <w:tcW w:type="dxa" w:w="1701"/>
            <w:shd w:val="clear" w:color="auto" w:fill="E9FBF0"/>
            <w:tcBorders>
              <w:top w:val="none" w:sz="6" w:color="auto"/>
              <w:bottom w:val="none" w:sz="6" w:color="auto"/>
              <w:left w:val="none" w:sz="6" w:color="auto"/>
              <w:right w:val="none" w:sz="6" w:color="auto"/>
            </w:tcBorders>
          </w:tcPr>
          <w:p>
            <w:pPr>
              <w:spacing w:before="80" w:after="80"/>
              <w:jc w:val="center"/>
            </w:pPr>
            <w:r>
              <w:rPr>
                <w:rFonts w:ascii="Calibri" w:hAnsi="Calibri"/>
                <w:b w:val="0"/>
                <w:i w:val="0"/>
                <w:color w:val="CCCCCC"/>
                <w:sz w:val="22"/>
              </w:rPr>
              <w:t>—</w:t>
            </w:r>
          </w:p>
        </w:tc>
        <w:tc>
          <w:tcPr>
            <w:tcW w:type="dxa" w:w="1984"/>
            <w:shd w:val="clear" w:color="auto" w:fill="F9FAFB"/>
            <w:tcBorders>
              <w:top w:val="none" w:sz="6" w:color="auto"/>
              <w:bottom w:val="none" w:sz="6" w:color="auto"/>
              <w:left w:val="none" w:sz="6" w:color="auto"/>
              <w:right w:val="none" w:sz="6" w:color="auto"/>
            </w:tcBorders>
          </w:tcPr>
          <w:p>
            <w:pPr>
              <w:spacing w:before="80" w:after="80"/>
              <w:jc w:val="center"/>
            </w:pPr>
            <w:r>
              <w:rPr>
                <w:rFonts w:ascii="Calibri" w:hAnsi="Calibri"/>
                <w:b w:val="0"/>
                <w:i w:val="0"/>
                <w:color w:val="CCCCCC"/>
                <w:sz w:val="22"/>
              </w:rPr>
              <w:t>—</w:t>
            </w:r>
          </w:p>
        </w:tc>
        <w:tc>
          <w:tcPr>
            <w:tcW w:type="dxa" w:w="2268"/>
            <w:shd w:val="clear" w:color="auto" w:fill="FFF0F0"/>
            <w:tcBorders>
              <w:top w:val="none" w:sz="6" w:color="auto"/>
              <w:bottom w:val="none" w:sz="6" w:color="auto"/>
              <w:left w:val="none" w:sz="6" w:color="auto"/>
              <w:right w:val="none" w:sz="6" w:color="auto"/>
            </w:tcBorders>
          </w:tcPr>
          <w:p>
            <w:pPr>
              <w:spacing w:before="80" w:after="80"/>
              <w:jc w:val="center"/>
            </w:pPr>
            <w:r>
              <w:rPr>
                <w:rFonts w:ascii="Calibri" w:hAnsi="Calibri"/>
                <w:b w:val="0"/>
                <w:i w:val="0"/>
                <w:color w:val="CCCCCC"/>
                <w:sz w:val="22"/>
              </w:rPr>
              <w:t>—</w:t>
            </w:r>
          </w:p>
        </w:tc>
      </w:tr>
    </w:tbl>
    <w:p>
      <w:pPr>
        <w:spacing w:after="80"/>
      </w:pPr>
    </w:p>
    <w:p>
      <w:r>
        <w:br w:type="page"/>
      </w:r>
    </w:p>
    <w:p>
      <w:pPr>
        <w:spacing w:before="320" w:after="120"/>
        <w:pBdr>
          <w:bottom w:val="single" w:sz="8" w:color="003B71"/>
        </w:pBdr>
      </w:pPr>
      <w:r>
        <w:rPr>
          <w:rFonts w:ascii="Calibri" w:hAnsi="Calibri"/>
          <w:b/>
          <w:i w:val="0"/>
          <w:color w:val="003B71"/>
          <w:sz w:val="22"/>
        </w:rPr>
        <w:t>REGULATORY &amp; POLICY</w:t>
      </w:r>
    </w:p>
    <w:p>
      <w:r>
        <w:br w:type="page"/>
      </w:r>
    </w:p>
    <w:p>
      <w:pPr>
        <w:spacing w:before="320" w:after="120"/>
        <w:pBdr>
          <w:bottom w:val="single" w:sz="8" w:color="003B71"/>
        </w:pBdr>
      </w:pPr>
      <w:r>
        <w:rPr>
          <w:rFonts w:ascii="Calibri" w:hAnsi="Calibri"/>
          <w:b/>
          <w:i w:val="0"/>
          <w:color w:val="003B71"/>
          <w:sz w:val="22"/>
        </w:rPr>
        <w:t>PHARMA INDUSTRY NEWS</w:t>
      </w:r>
    </w:p>
    <w:tbl>
      <w:tblPr>
        <w:tblStyle w:val="TableGrid"/>
        <w:tblW w:type="auto" w:w="0"/>
        <w:jc w:val="left"/>
        <w:tblLook w:firstColumn="1" w:firstRow="1" w:lastColumn="0" w:lastRow="0" w:noHBand="0" w:noVBand="1" w:val="04A0"/>
      </w:tblPr>
      <w:tblGrid>
        <w:gridCol w:w="4536"/>
        <w:gridCol w:w="4536"/>
      </w:tblGrid>
      <w:tr>
        <w:tc>
          <w:tcPr>
            <w:tcW w:type="dxa" w:w="1984"/>
            <w:shd w:val="clear" w:color="auto" w:fill="EEF2FF"/>
            <w:tcBorders>
              <w:top w:val="none" w:sz="6" w:color="auto"/>
              <w:bottom w:val="none" w:sz="6" w:color="auto"/>
              <w:left w:val="none" w:sz="6" w:color="auto"/>
              <w:right w:val="none" w:sz="6" w:color="auto"/>
            </w:tcBorders>
          </w:tcPr>
          <w:p>
            <w:pPr>
              <w:spacing w:before="80" w:after="80"/>
              <w:ind w:left="85"/>
            </w:pPr>
            <w:r>
              <w:rPr>
                <w:rFonts w:ascii="Calibri" w:hAnsi="Calibri"/>
                <w:b/>
                <w:i w:val="0"/>
                <w:color w:val="4338CA"/>
                <w:sz w:val="15"/>
              </w:rPr>
              <w:t>DÂN TRÍ – SỨC KHỎE</w:t>
            </w:r>
          </w:p>
        </w:tc>
        <w:tc>
          <w:tcPr>
            <w:tcW w:type="dxa" w:w="4536"/>
            <w:tcBorders>
              <w:top w:val="none" w:sz="6" w:color="auto"/>
              <w:bottom w:val="none" w:sz="6" w:color="auto"/>
              <w:left w:val="none" w:sz="6" w:color="auto"/>
              <w:right w:val="none" w:sz="6" w:color="auto"/>
            </w:tcBorders>
          </w:tcPr>
          <w:p>
            <w:pPr>
              <w:spacing w:before="60" w:after="60"/>
              <w:ind w:left="113"/>
            </w:pPr>
            <w:r>
              <w:rPr>
                <w:rFonts w:ascii="Calibri" w:hAnsi="Calibri"/>
                <w:b/>
                <w:i w:val="0"/>
                <w:color w:val="111827"/>
                <w:sz w:val="21"/>
              </w:rPr>
              <w:t>Rising Gastric Cancer Awareness — Opportunity Signal for Davipharm's GI Portfolio (Esomeprazole, Rabeprazole)</w:t>
            </w:r>
          </w:p>
        </w:tc>
      </w:tr>
    </w:tbl>
    <w:p>
      <w:pPr>
        <w:spacing w:before="40" w:after="40"/>
        <w:ind w:left="170"/>
      </w:pPr>
      <w:r>
        <w:rPr>
          <w:rFonts w:ascii="Calibri" w:hAnsi="Calibri"/>
          <w:b w:val="0"/>
          <w:i/>
          <w:color w:val="6B7280"/>
          <w:sz w:val="18"/>
        </w:rPr>
        <w:t>A Bach Mai Hospital specialist highlighted the HP-to-gastric-cancer progression pathway and urged early endoscopy, reflecting growing demand for GI treatments in the hospital channel. This trend supports increased use of PPI-based H. pylori eradication regimens, benefiting Davipharm's JIRACEK (Esomeprazole) and MARTAZ (Rabeprazole).[Source]</w:t>
      </w:r>
    </w:p>
    <w:p>
      <w:pPr>
        <w:spacing w:before="20" w:after="40"/>
        <w:ind w:left="170"/>
      </w:pPr>
      <w:r>
        <w:rPr>
          <w:rFonts w:ascii="Calibri" w:hAnsi="Calibri"/>
          <w:b/>
          <w:i w:val="0"/>
          <w:color w:val="166534"/>
          <w:sz w:val="17"/>
        </w:rPr>
        <w:t>📈 Growing public awareness of HP-related gastric cancer indirectly drives prescribing and tender volume for JIRACEK and MARTAZ across central and provincial hospitals.</w:t>
      </w:r>
    </w:p>
    <w:tbl>
      <w:tblPr>
        <w:tblStyle w:val="TableGrid"/>
        <w:tblW w:type="auto" w:w="0"/>
        <w:tblLook w:firstColumn="1" w:firstRow="1" w:lastColumn="0" w:lastRow="0" w:noHBand="0" w:noVBand="1" w:val="04A0"/>
      </w:tblPr>
      <w:tblGrid>
        <w:gridCol w:w="9072"/>
      </w:tblGrid>
      <w:tr>
        <w:tc>
          <w:tcPr>
            <w:tcW w:type="dxa" w:w="9072"/>
            <w:shd w:val="clear" w:color="auto" w:fill="F8FAFC"/>
            <w:tcBorders>
              <w:top w:val="none" w:sz="6" w:color="auto"/>
              <w:bottom w:val="none" w:sz="6" w:color="auto"/>
              <w:left w:val="single" w:sz="12" w:color="003B71"/>
              <w:right w:val="none" w:sz="6" w:color="auto"/>
            </w:tcBorders>
          </w:tcPr>
          <w:p>
            <w:pPr>
              <w:spacing w:before="60" w:after="60"/>
              <w:ind w:left="142"/>
            </w:pPr>
            <w:r>
              <w:rPr>
                <w:rFonts w:ascii="Calibri" w:hAnsi="Calibri"/>
                <w:b/>
                <w:i w:val="0"/>
                <w:color w:val="003B71"/>
                <w:sz w:val="17"/>
              </w:rPr>
              <w:t xml:space="preserve">Strategy  </w:t>
            </w:r>
            <w:r>
              <w:rPr>
                <w:rFonts w:ascii="Calibri" w:hAnsi="Calibri"/>
                <w:b w:val="0"/>
                <w:i w:val="0"/>
                <w:color w:val="334155"/>
                <w:sz w:val="17"/>
              </w:rPr>
              <w:t>ETC Marketing and Medical Affairs teams should update scientific materials on PPI's role in HP eradication protocols and present at GI conferences in Q3/2026; prioritize JIRACEK's inclusion in central hospital tender lists (Bach Mai, Cho Ray) for the 2026–2027 bidding cycle.</w:t>
            </w:r>
          </w:p>
        </w:tc>
      </w:tr>
    </w:tbl>
    <w:p>
      <w:pPr>
        <w:spacing w:before="40" w:after="120"/>
      </w:pPr>
    </w:p>
    <w:tbl>
      <w:tblPr>
        <w:tblStyle w:val="TableGrid"/>
        <w:tblW w:type="auto" w:w="0"/>
        <w:jc w:val="left"/>
        <w:tblLook w:firstColumn="1" w:firstRow="1" w:lastColumn="0" w:lastRow="0" w:noHBand="0" w:noVBand="1" w:val="04A0"/>
      </w:tblPr>
      <w:tblGrid>
        <w:gridCol w:w="4536"/>
        <w:gridCol w:w="4536"/>
      </w:tblGrid>
      <w:tr>
        <w:tc>
          <w:tcPr>
            <w:tcW w:type="dxa" w:w="1984"/>
            <w:shd w:val="clear" w:color="auto" w:fill="EEF2FF"/>
            <w:tcBorders>
              <w:top w:val="none" w:sz="6" w:color="auto"/>
              <w:bottom w:val="none" w:sz="6" w:color="auto"/>
              <w:left w:val="none" w:sz="6" w:color="auto"/>
              <w:right w:val="none" w:sz="6" w:color="auto"/>
            </w:tcBorders>
          </w:tcPr>
          <w:p>
            <w:pPr>
              <w:spacing w:before="80" w:after="80"/>
              <w:ind w:left="85"/>
            </w:pPr>
            <w:r>
              <w:rPr>
                <w:rFonts w:ascii="Calibri" w:hAnsi="Calibri"/>
                <w:b/>
                <w:i w:val="0"/>
                <w:color w:val="4338CA"/>
                <w:sz w:val="15"/>
              </w:rPr>
              <w:t>DÂN TRÍ – SỨC KHỎE</w:t>
            </w:r>
          </w:p>
        </w:tc>
        <w:tc>
          <w:tcPr>
            <w:tcW w:type="dxa" w:w="4536"/>
            <w:tcBorders>
              <w:top w:val="none" w:sz="6" w:color="auto"/>
              <w:bottom w:val="none" w:sz="6" w:color="auto"/>
              <w:left w:val="none" w:sz="6" w:color="auto"/>
              <w:right w:val="none" w:sz="6" w:color="auto"/>
            </w:tcBorders>
          </w:tcPr>
          <w:p>
            <w:pPr>
              <w:spacing w:before="60" w:after="60"/>
              <w:ind w:left="113"/>
            </w:pPr>
            <w:r>
              <w:rPr>
                <w:rFonts w:ascii="Calibri" w:hAnsi="Calibri"/>
                <w:b/>
                <w:i w:val="0"/>
                <w:color w:val="111827"/>
                <w:sz w:val="21"/>
              </w:rPr>
              <w:t>Cicada Shell Seizure at Lang Son Border — Traditional Medicine Raw Material Supply Signal</w:t>
            </w:r>
          </w:p>
        </w:tc>
      </w:tr>
    </w:tbl>
    <w:p>
      <w:pPr>
        <w:spacing w:before="40" w:after="40"/>
        <w:ind w:left="170"/>
      </w:pPr>
      <w:r>
        <w:rPr>
          <w:rFonts w:ascii="Calibri" w:hAnsi="Calibri"/>
          <w:b w:val="0"/>
          <w:i/>
          <w:color w:val="6B7280"/>
          <w:sz w:val="18"/>
        </w:rPr>
        <w:t>The seizure of 80kg dried cicada shells at Lang Son highlights active but poorly documented cross-border TCM raw material flows. This article covers traditional herbal medicine segments with no direct relevance to Davipharm's synthetic generic portfolio.[Source]</w:t>
      </w:r>
    </w:p>
    <w:p>
      <w:pPr>
        <w:spacing w:before="20" w:after="40"/>
        <w:ind w:left="170"/>
      </w:pPr>
      <w:r>
        <w:rPr>
          <w:rFonts w:ascii="Calibri" w:hAnsi="Calibri"/>
          <w:b/>
          <w:i w:val="0"/>
          <w:color w:val="374151"/>
          <w:sz w:val="17"/>
        </w:rPr>
        <w:t>⚪ No direct impact on Davipharm's products or tendering activities — passive monitoring only.</w:t>
      </w:r>
    </w:p>
    <w:tbl>
      <w:tblPr>
        <w:tblStyle w:val="TableGrid"/>
        <w:tblW w:type="auto" w:w="0"/>
        <w:tblLook w:firstColumn="1" w:firstRow="1" w:lastColumn="0" w:lastRow="0" w:noHBand="0" w:noVBand="1" w:val="04A0"/>
      </w:tblPr>
      <w:tblGrid>
        <w:gridCol w:w="9072"/>
      </w:tblGrid>
      <w:tr>
        <w:tc>
          <w:tcPr>
            <w:tcW w:type="dxa" w:w="9072"/>
            <w:shd w:val="clear" w:color="auto" w:fill="F8FAFC"/>
            <w:tcBorders>
              <w:top w:val="none" w:sz="6" w:color="auto"/>
              <w:bottom w:val="none" w:sz="6" w:color="auto"/>
              <w:left w:val="single" w:sz="12" w:color="003B71"/>
              <w:right w:val="none" w:sz="6" w:color="auto"/>
            </w:tcBorders>
          </w:tcPr>
          <w:p>
            <w:pPr>
              <w:spacing w:before="60" w:after="60"/>
              <w:ind w:left="142"/>
            </w:pPr>
            <w:r>
              <w:rPr>
                <w:rFonts w:ascii="Calibri" w:hAnsi="Calibri"/>
                <w:b/>
                <w:i w:val="0"/>
                <w:color w:val="003B71"/>
                <w:sz w:val="17"/>
              </w:rPr>
              <w:t xml:space="preserve">Strategy  </w:t>
            </w:r>
            <w:r>
              <w:rPr>
                <w:rFonts w:ascii="Calibri" w:hAnsi="Calibri"/>
                <w:b w:val="0"/>
                <w:i w:val="0"/>
                <w:color w:val="334155"/>
                <w:sz w:val="17"/>
              </w:rPr>
              <w:t>No action required. Article is unrelated to any Davipharm active ingredient or therapeutic area; Market Intelligence team to log and close.</w:t>
            </w:r>
          </w:p>
        </w:tc>
      </w:tr>
    </w:tbl>
    <w:p>
      <w:pPr>
        <w:spacing w:before="40" w:after="120"/>
      </w:pPr>
    </w:p>
    <w:tbl>
      <w:tblPr>
        <w:tblStyle w:val="TableGrid"/>
        <w:tblW w:type="auto" w:w="0"/>
        <w:jc w:val="left"/>
        <w:tblLook w:firstColumn="1" w:firstRow="1" w:lastColumn="0" w:lastRow="0" w:noHBand="0" w:noVBand="1" w:val="04A0"/>
      </w:tblPr>
      <w:tblGrid>
        <w:gridCol w:w="4536"/>
        <w:gridCol w:w="4536"/>
      </w:tblGrid>
      <w:tr>
        <w:tc>
          <w:tcPr>
            <w:tcW w:type="dxa" w:w="1984"/>
            <w:shd w:val="clear" w:color="auto" w:fill="EEF2FF"/>
            <w:tcBorders>
              <w:top w:val="none" w:sz="6" w:color="auto"/>
              <w:bottom w:val="none" w:sz="6" w:color="auto"/>
              <w:left w:val="none" w:sz="6" w:color="auto"/>
              <w:right w:val="none" w:sz="6" w:color="auto"/>
            </w:tcBorders>
          </w:tcPr>
          <w:p>
            <w:pPr>
              <w:spacing w:before="80" w:after="80"/>
              <w:ind w:left="85"/>
            </w:pPr>
            <w:r>
              <w:rPr>
                <w:rFonts w:ascii="Calibri" w:hAnsi="Calibri"/>
                <w:b/>
                <w:i w:val="0"/>
                <w:color w:val="4338CA"/>
                <w:sz w:val="15"/>
              </w:rPr>
              <w:t>DÂN TRÍ – SỨC KHỎE</w:t>
            </w:r>
          </w:p>
        </w:tc>
        <w:tc>
          <w:tcPr>
            <w:tcW w:type="dxa" w:w="4536"/>
            <w:tcBorders>
              <w:top w:val="none" w:sz="6" w:color="auto"/>
              <w:bottom w:val="none" w:sz="6" w:color="auto"/>
              <w:left w:val="none" w:sz="6" w:color="auto"/>
              <w:right w:val="none" w:sz="6" w:color="auto"/>
            </w:tcBorders>
          </w:tcPr>
          <w:p>
            <w:pPr>
              <w:spacing w:before="60" w:after="60"/>
              <w:ind w:left="113"/>
            </w:pPr>
            <w:r>
              <w:rPr>
                <w:rFonts w:ascii="Calibri" w:hAnsi="Calibri"/>
                <w:b/>
                <w:i w:val="0"/>
                <w:color w:val="111827"/>
                <w:sz w:val="21"/>
              </w:rPr>
              <w:t>Lidocaine Poisoning Post-Liposuction — Regulatory Pressure on Unlicensed Aesthetic Clinics</w:t>
            </w:r>
          </w:p>
        </w:tc>
      </w:tr>
    </w:tbl>
    <w:p>
      <w:pPr>
        <w:spacing w:before="40" w:after="40"/>
        <w:ind w:left="170"/>
      </w:pPr>
      <w:r>
        <w:rPr>
          <w:rFonts w:ascii="Calibri" w:hAnsi="Calibri"/>
          <w:b w:val="0"/>
          <w:i/>
          <w:color w:val="6B7280"/>
          <w:sz w:val="18"/>
        </w:rPr>
        <w:t>A 53-year-old woman suffered critical Lidocaine poisoning after liposuction at an unlicensed HCMC clinic, highlighting Vietnam's 25,000–35,000 annual aesthetic complication cases. This incident accelerates regulatory scrutiny on aesthetic clinics, with indirect implications for ICU-related drug demand including sedatives and antiepileptics.[Source]</w:t>
      </w:r>
    </w:p>
    <w:p>
      <w:pPr>
        <w:spacing w:before="20" w:after="40"/>
        <w:ind w:left="170"/>
      </w:pPr>
      <w:r>
        <w:rPr>
          <w:rFonts w:ascii="Calibri" w:hAnsi="Calibri"/>
          <w:b/>
          <w:i w:val="0"/>
          <w:color w:val="374151"/>
          <w:sz w:val="17"/>
        </w:rPr>
        <w:t>🔍 Low, indirect impact on Davipharm — no core portfolio products directly affected, but monitor if clinic crackdowns alter ETC channel dynamics for CNS/sedative drugs (SERNAL – Risperidone, LAFAXOR – Venlafaxine).</w:t>
      </w:r>
    </w:p>
    <w:tbl>
      <w:tblPr>
        <w:tblStyle w:val="TableGrid"/>
        <w:tblW w:type="auto" w:w="0"/>
        <w:tblLook w:firstColumn="1" w:firstRow="1" w:lastColumn="0" w:lastRow="0" w:noHBand="0" w:noVBand="1" w:val="04A0"/>
      </w:tblPr>
      <w:tblGrid>
        <w:gridCol w:w="9072"/>
      </w:tblGrid>
      <w:tr>
        <w:tc>
          <w:tcPr>
            <w:tcW w:type="dxa" w:w="9072"/>
            <w:shd w:val="clear" w:color="auto" w:fill="F8FAFC"/>
            <w:tcBorders>
              <w:top w:val="none" w:sz="6" w:color="auto"/>
              <w:bottom w:val="none" w:sz="6" w:color="auto"/>
              <w:left w:val="single" w:sz="12" w:color="003B71"/>
              <w:right w:val="none" w:sz="6" w:color="auto"/>
            </w:tcBorders>
          </w:tcPr>
          <w:p>
            <w:pPr>
              <w:spacing w:before="60" w:after="60"/>
              <w:ind w:left="142"/>
            </w:pPr>
            <w:r>
              <w:rPr>
                <w:rFonts w:ascii="Calibri" w:hAnsi="Calibri"/>
                <w:b/>
                <w:i w:val="0"/>
                <w:color w:val="003B71"/>
                <w:sz w:val="17"/>
              </w:rPr>
              <w:t xml:space="preserve">Strategy  </w:t>
            </w:r>
            <w:r>
              <w:rPr>
                <w:rFonts w:ascii="Calibri" w:hAnsi="Calibri"/>
                <w:b w:val="0"/>
                <w:i w:val="0"/>
                <w:color w:val="334155"/>
                <w:sz w:val="17"/>
              </w:rPr>
              <w:t>Medical Affairs to monitor aesthetic clinic regulatory developments through Q2–Q3/2026; assess whether inspection crackdowns extend to general outpatient clinics, potentially impacting ETC/OTC distribution channels for SERNAL and LAFAXOR.</w:t>
            </w:r>
          </w:p>
        </w:tc>
      </w:tr>
    </w:tbl>
    <w:p>
      <w:pPr>
        <w:spacing w:before="40" w:after="120"/>
      </w:pPr>
    </w:p>
    <w:tbl>
      <w:tblPr>
        <w:tblStyle w:val="TableGrid"/>
        <w:tblW w:type="auto" w:w="0"/>
        <w:jc w:val="left"/>
        <w:tblLook w:firstColumn="1" w:firstRow="1" w:lastColumn="0" w:lastRow="0" w:noHBand="0" w:noVBand="1" w:val="04A0"/>
      </w:tblPr>
      <w:tblGrid>
        <w:gridCol w:w="4536"/>
        <w:gridCol w:w="4536"/>
      </w:tblGrid>
      <w:tr>
        <w:tc>
          <w:tcPr>
            <w:tcW w:type="dxa" w:w="1984"/>
            <w:shd w:val="clear" w:color="auto" w:fill="EEF2FF"/>
            <w:tcBorders>
              <w:top w:val="none" w:sz="6" w:color="auto"/>
              <w:bottom w:val="none" w:sz="6" w:color="auto"/>
              <w:left w:val="none" w:sz="6" w:color="auto"/>
              <w:right w:val="none" w:sz="6" w:color="auto"/>
            </w:tcBorders>
          </w:tcPr>
          <w:p>
            <w:pPr>
              <w:spacing w:before="80" w:after="80"/>
              <w:ind w:left="85"/>
            </w:pPr>
            <w:r>
              <w:rPr>
                <w:rFonts w:ascii="Calibri" w:hAnsi="Calibri"/>
                <w:b/>
                <w:i w:val="0"/>
                <w:color w:val="4338CA"/>
                <w:sz w:val="15"/>
              </w:rPr>
              <w:t>DÂN TRÍ – SỨC KHỎE</w:t>
            </w:r>
          </w:p>
        </w:tc>
        <w:tc>
          <w:tcPr>
            <w:tcW w:type="dxa" w:w="4536"/>
            <w:tcBorders>
              <w:top w:val="none" w:sz="6" w:color="auto"/>
              <w:bottom w:val="none" w:sz="6" w:color="auto"/>
              <w:left w:val="none" w:sz="6" w:color="auto"/>
              <w:right w:val="none" w:sz="6" w:color="auto"/>
            </w:tcBorders>
          </w:tcPr>
          <w:p>
            <w:pPr>
              <w:spacing w:before="60" w:after="60"/>
              <w:ind w:left="113"/>
            </w:pPr>
            <w:r>
              <w:rPr>
                <w:rFonts w:ascii="Calibri" w:hAnsi="Calibri"/>
                <w:b/>
                <w:i w:val="0"/>
                <w:color w:val="111827"/>
                <w:sz w:val="21"/>
              </w:rPr>
              <w:t>Black Pepper's Piperine: Lipid &amp; Cardiovascular Benefits, Drug Interaction Cautions</w:t>
            </w:r>
          </w:p>
        </w:tc>
      </w:tr>
    </w:tbl>
    <w:p>
      <w:pPr>
        <w:spacing w:before="40" w:after="40"/>
        <w:ind w:left="170"/>
      </w:pPr>
      <w:r>
        <w:rPr>
          <w:rFonts w:ascii="Calibri" w:hAnsi="Calibri"/>
          <w:b w:val="0"/>
          <w:i/>
          <w:color w:val="6B7280"/>
          <w:sz w:val="18"/>
        </w:rPr>
        <w:t>A widely-read article promotes piperine (black pepper) for LDL reduction, HDL elevation, and fat metabolism, while cautioning that high-dose piperine may interfere with drug metabolism and anticoagulation. This consumer-level narrative may shape patient attitudes toward managing dyslipidemia and cardiovascular risk through diet rather than prescribed generics such as RAVASTEL (Rosuvastatin).[Source]</w:t>
      </w:r>
    </w:p>
    <w:p>
      <w:pPr>
        <w:spacing w:before="20" w:after="40"/>
        <w:ind w:left="170"/>
      </w:pPr>
      <w:r>
        <w:rPr>
          <w:rFonts w:ascii="Calibri" w:hAnsi="Calibri"/>
          <w:b/>
          <w:i w:val="0"/>
          <w:color w:val="374151"/>
          <w:sz w:val="17"/>
        </w:rPr>
        <w:t>⚪ Limited short-term revenue impact, but the growing self-treatment trend via natural remedies warrants long-term monitoring, particularly for the dyslipidemia patient segment targeted by RAVASTEL.</w:t>
      </w:r>
    </w:p>
    <w:tbl>
      <w:tblPr>
        <w:tblStyle w:val="TableGrid"/>
        <w:tblW w:type="auto" w:w="0"/>
        <w:tblLook w:firstColumn="1" w:firstRow="1" w:lastColumn="0" w:lastRow="0" w:noHBand="0" w:noVBand="1" w:val="04A0"/>
      </w:tblPr>
      <w:tblGrid>
        <w:gridCol w:w="9072"/>
      </w:tblGrid>
      <w:tr>
        <w:tc>
          <w:tcPr>
            <w:tcW w:type="dxa" w:w="9072"/>
            <w:shd w:val="clear" w:color="auto" w:fill="F8FAFC"/>
            <w:tcBorders>
              <w:top w:val="none" w:sz="6" w:color="auto"/>
              <w:bottom w:val="none" w:sz="6" w:color="auto"/>
              <w:left w:val="single" w:sz="12" w:color="003B71"/>
              <w:right w:val="none" w:sz="6" w:color="auto"/>
            </w:tcBorders>
          </w:tcPr>
          <w:p>
            <w:pPr>
              <w:spacing w:before="60" w:after="60"/>
              <w:ind w:left="142"/>
            </w:pPr>
            <w:r>
              <w:rPr>
                <w:rFonts w:ascii="Calibri" w:hAnsi="Calibri"/>
                <w:b/>
                <w:i w:val="0"/>
                <w:color w:val="003B71"/>
                <w:sz w:val="17"/>
              </w:rPr>
              <w:t xml:space="preserve">Strategy  </w:t>
            </w:r>
            <w:r>
              <w:rPr>
                <w:rFonts w:ascii="Calibri" w:hAnsi="Calibri"/>
                <w:b w:val="0"/>
                <w:i w:val="0"/>
                <w:color w:val="334155"/>
                <w:sz w:val="17"/>
              </w:rPr>
              <w:t>The Marketing team should monitor the "food-as-medicine" media trend and prepare HCP education materials reinforcing guideline-based statin therapy (RAVASTEL/Rosuvastatin) as non-replaceable; the piperine–drug interaction alert also presents a MedEd opportunity for physicians prescribing MAGRAX (Etoricoxib) and ZABALES (Clopidogrel).</w:t>
            </w:r>
          </w:p>
        </w:tc>
      </w:tr>
    </w:tbl>
    <w:p>
      <w:pPr>
        <w:spacing w:before="40" w:after="120"/>
      </w:pPr>
    </w:p>
    <w:tbl>
      <w:tblPr>
        <w:tblStyle w:val="TableGrid"/>
        <w:tblW w:type="auto" w:w="0"/>
        <w:jc w:val="left"/>
        <w:tblLook w:firstColumn="1" w:firstRow="1" w:lastColumn="0" w:lastRow="0" w:noHBand="0" w:noVBand="1" w:val="04A0"/>
      </w:tblPr>
      <w:tblGrid>
        <w:gridCol w:w="4536"/>
        <w:gridCol w:w="4536"/>
      </w:tblGrid>
      <w:tr>
        <w:tc>
          <w:tcPr>
            <w:tcW w:type="dxa" w:w="1984"/>
            <w:shd w:val="clear" w:color="auto" w:fill="EEF2FF"/>
            <w:tcBorders>
              <w:top w:val="none" w:sz="6" w:color="auto"/>
              <w:bottom w:val="none" w:sz="6" w:color="auto"/>
              <w:left w:val="none" w:sz="6" w:color="auto"/>
              <w:right w:val="none" w:sz="6" w:color="auto"/>
            </w:tcBorders>
          </w:tcPr>
          <w:p>
            <w:pPr>
              <w:spacing w:before="80" w:after="80"/>
              <w:ind w:left="85"/>
            </w:pPr>
            <w:r>
              <w:rPr>
                <w:rFonts w:ascii="Calibri" w:hAnsi="Calibri"/>
                <w:b/>
                <w:i w:val="0"/>
                <w:color w:val="4338CA"/>
                <w:sz w:val="15"/>
              </w:rPr>
              <w:t>DÂN TRÍ – SỨC KHỎE</w:t>
            </w:r>
          </w:p>
        </w:tc>
        <w:tc>
          <w:tcPr>
            <w:tcW w:type="dxa" w:w="4536"/>
            <w:tcBorders>
              <w:top w:val="none" w:sz="6" w:color="auto"/>
              <w:bottom w:val="none" w:sz="6" w:color="auto"/>
              <w:left w:val="none" w:sz="6" w:color="auto"/>
              <w:right w:val="none" w:sz="6" w:color="auto"/>
            </w:tcBorders>
          </w:tcPr>
          <w:p>
            <w:pPr>
              <w:spacing w:before="60" w:after="60"/>
              <w:ind w:left="113"/>
            </w:pPr>
            <w:r>
              <w:rPr>
                <w:rFonts w:ascii="Calibri" w:hAnsi="Calibri"/>
                <w:b/>
                <w:i w:val="0"/>
                <w:color w:val="111827"/>
                <w:sz w:val="21"/>
              </w:rPr>
              <w:t>MoH Launches Free Annual Health Screening Guidelines — Early Detection Wave for Cardiovascular &amp; Diabetes Drugs</w:t>
            </w:r>
          </w:p>
        </w:tc>
      </w:tr>
    </w:tbl>
    <w:p>
      <w:pPr>
        <w:spacing w:before="40" w:after="40"/>
        <w:ind w:left="170"/>
      </w:pPr>
      <w:r>
        <w:rPr>
          <w:rFonts w:ascii="Calibri" w:hAnsi="Calibri"/>
          <w:b w:val="0"/>
          <w:i/>
          <w:color w:val="6B7280"/>
          <w:sz w:val="18"/>
        </w:rPr>
        <w:t>The Ministry of Health issued guidelines mandating at least one free annual health check-up for all citizens aged 18+, including blood glucose, blood pressure, and chest X-ray screening — directly triggering mass early detection of hypertension, dyslipidemia, and diabetes. This policy is expected to significantly expand the diagnosed patient pool, boosting demand for Davipharm's cardiovascular (PECHAUNOX, RAVASTEL, TABAREX) and diabetes (EIMLER-10, ZLATKO) portfolios.[Source]</w:t>
      </w:r>
    </w:p>
    <w:p>
      <w:pPr>
        <w:spacing w:before="20" w:after="40"/>
        <w:ind w:left="170"/>
      </w:pPr>
      <w:r>
        <w:rPr>
          <w:rFonts w:ascii="Calibri" w:hAnsi="Calibri"/>
          <w:b/>
          <w:i w:val="0"/>
          <w:color w:val="166534"/>
          <w:sz w:val="17"/>
        </w:rPr>
        <w:t>🟢 Clear mid-to-long-term opportunity: millions of newly screened patients will drive increased ETC prescription demand for PECHAUNOX, RAVASTEL, TABAREX, EIMLER-10, and ZLATKO.</w:t>
      </w:r>
    </w:p>
    <w:p>
      <w:pPr>
        <w:spacing w:before="40" w:after="120"/>
      </w:pPr>
    </w:p>
    <w:tbl>
      <w:tblPr>
        <w:tblStyle w:val="TableGrid"/>
        <w:tblW w:type="auto" w:w="0"/>
        <w:jc w:val="left"/>
        <w:tblLook w:firstColumn="1" w:firstRow="1" w:lastColumn="0" w:lastRow="0" w:noHBand="0" w:noVBand="1" w:val="04A0"/>
      </w:tblPr>
      <w:tblGrid>
        <w:gridCol w:w="4536"/>
        <w:gridCol w:w="4536"/>
      </w:tblGrid>
      <w:tr>
        <w:tc>
          <w:tcPr>
            <w:tcW w:type="dxa" w:w="1984"/>
            <w:shd w:val="clear" w:color="auto" w:fill="EEF2FF"/>
            <w:tcBorders>
              <w:top w:val="none" w:sz="6" w:color="auto"/>
              <w:bottom w:val="none" w:sz="6" w:color="auto"/>
              <w:left w:val="none" w:sz="6" w:color="auto"/>
              <w:right w:val="none" w:sz="6" w:color="auto"/>
            </w:tcBorders>
          </w:tcPr>
          <w:p>
            <w:pPr>
              <w:spacing w:before="80" w:after="80"/>
              <w:ind w:left="85"/>
            </w:pPr>
            <w:r>
              <w:rPr>
                <w:rFonts w:ascii="Calibri" w:hAnsi="Calibri"/>
                <w:b/>
                <w:i w:val="0"/>
                <w:color w:val="4338CA"/>
                <w:sz w:val="15"/>
              </w:rPr>
              <w:t>DÂN TRÍ – SỨC KHỎE</w:t>
            </w:r>
          </w:p>
        </w:tc>
        <w:tc>
          <w:tcPr>
            <w:tcW w:type="dxa" w:w="4536"/>
            <w:tcBorders>
              <w:top w:val="none" w:sz="6" w:color="auto"/>
              <w:bottom w:val="none" w:sz="6" w:color="auto"/>
              <w:left w:val="none" w:sz="6" w:color="auto"/>
              <w:right w:val="none" w:sz="6" w:color="auto"/>
            </w:tcBorders>
          </w:tcPr>
          <w:p>
            <w:pPr>
              <w:spacing w:before="60" w:after="60"/>
              <w:ind w:left="113"/>
            </w:pPr>
            <w:r>
              <w:rPr>
                <w:rFonts w:ascii="Calibri" w:hAnsi="Calibri"/>
                <w:b/>
                <w:i w:val="0"/>
                <w:color w:val="111827"/>
                <w:sz w:val="21"/>
              </w:rPr>
              <w:t>90% of Vietnamese Have Oral Health Issues — Market Signal Outside Davipharm Portfolio</w:t>
            </w:r>
          </w:p>
        </w:tc>
      </w:tr>
    </w:tbl>
    <w:p>
      <w:pPr>
        <w:spacing w:before="40" w:after="40"/>
        <w:ind w:left="170"/>
      </w:pPr>
      <w:r>
        <w:rPr>
          <w:rFonts w:ascii="Calibri" w:hAnsi="Calibri"/>
          <w:b w:val="0"/>
          <w:i/>
          <w:color w:val="6B7280"/>
          <w:sz w:val="18"/>
        </w:rPr>
        <w:t>The 47th Asia-Pacific Dental Conference in Hanoi highlighted alarming oral health statistics: 90% of the population affected, 60% of adults with periodontal disease, and 79% of elderly with tooth loss. Davipharm's current portfolio has no dental or oral antimicrobial products, making this a non-material revenue signal at this time.[Source]</w:t>
      </w:r>
    </w:p>
    <w:p>
      <w:pPr>
        <w:spacing w:before="20" w:after="40"/>
        <w:ind w:left="170"/>
      </w:pPr>
      <w:r>
        <w:rPr>
          <w:rFonts w:ascii="Calibri" w:hAnsi="Calibri"/>
          <w:b/>
          <w:i w:val="0"/>
          <w:color w:val="374151"/>
          <w:sz w:val="17"/>
        </w:rPr>
        <w:t>➖ Background epidemiological data only; no Davipharm product stands to benefit directly in the near term.</w:t>
      </w:r>
    </w:p>
    <w:tbl>
      <w:tblPr>
        <w:tblStyle w:val="TableGrid"/>
        <w:tblW w:type="auto" w:w="0"/>
        <w:tblLook w:firstColumn="1" w:firstRow="1" w:lastColumn="0" w:lastRow="0" w:noHBand="0" w:noVBand="1" w:val="04A0"/>
      </w:tblPr>
      <w:tblGrid>
        <w:gridCol w:w="9072"/>
      </w:tblGrid>
      <w:tr>
        <w:tc>
          <w:tcPr>
            <w:tcW w:type="dxa" w:w="9072"/>
            <w:shd w:val="clear" w:color="auto" w:fill="F8FAFC"/>
            <w:tcBorders>
              <w:top w:val="none" w:sz="6" w:color="auto"/>
              <w:bottom w:val="none" w:sz="6" w:color="auto"/>
              <w:left w:val="single" w:sz="12" w:color="003B71"/>
              <w:right w:val="none" w:sz="6" w:color="auto"/>
            </w:tcBorders>
          </w:tcPr>
          <w:p>
            <w:pPr>
              <w:spacing w:before="60" w:after="60"/>
              <w:ind w:left="142"/>
            </w:pPr>
            <w:r>
              <w:rPr>
                <w:rFonts w:ascii="Calibri" w:hAnsi="Calibri"/>
                <w:b/>
                <w:i w:val="0"/>
                <w:color w:val="003B71"/>
                <w:sz w:val="17"/>
              </w:rPr>
              <w:t xml:space="preserve">Strategy  </w:t>
            </w:r>
            <w:r>
              <w:rPr>
                <w:rFonts w:ascii="Calibri" w:hAnsi="Calibri"/>
                <w:b w:val="0"/>
                <w:i w:val="0"/>
                <w:color w:val="334155"/>
                <w:sz w:val="17"/>
              </w:rPr>
              <w:t>No immediate action required. Business Development may flag this as a long-term signal should Davipharm consider portfolio expansion into dental-specific formulations (e.g., Metronidazole, Amoxicillin dental packs) within the 3–5 year pipeline cycle.</w:t>
            </w:r>
          </w:p>
        </w:tc>
      </w:tr>
    </w:tbl>
    <w:p>
      <w:pPr>
        <w:spacing w:before="40" w:after="120"/>
      </w:pPr>
    </w:p>
    <w:tbl>
      <w:tblPr>
        <w:tblStyle w:val="TableGrid"/>
        <w:tblW w:type="auto" w:w="0"/>
        <w:jc w:val="left"/>
        <w:tblLook w:firstColumn="1" w:firstRow="1" w:lastColumn="0" w:lastRow="0" w:noHBand="0" w:noVBand="1" w:val="04A0"/>
      </w:tblPr>
      <w:tblGrid>
        <w:gridCol w:w="4536"/>
        <w:gridCol w:w="4536"/>
      </w:tblGrid>
      <w:tr>
        <w:tc>
          <w:tcPr>
            <w:tcW w:type="dxa" w:w="1984"/>
            <w:shd w:val="clear" w:color="auto" w:fill="EEF2FF"/>
            <w:tcBorders>
              <w:top w:val="none" w:sz="6" w:color="auto"/>
              <w:bottom w:val="none" w:sz="6" w:color="auto"/>
              <w:left w:val="none" w:sz="6" w:color="auto"/>
              <w:right w:val="none" w:sz="6" w:color="auto"/>
            </w:tcBorders>
          </w:tcPr>
          <w:p>
            <w:pPr>
              <w:spacing w:before="80" w:after="80"/>
              <w:ind w:left="85"/>
            </w:pPr>
            <w:r>
              <w:rPr>
                <w:rFonts w:ascii="Calibri" w:hAnsi="Calibri"/>
                <w:b/>
                <w:i w:val="0"/>
                <w:color w:val="4338CA"/>
                <w:sz w:val="15"/>
              </w:rPr>
              <w:t>DÂN TRÍ – SỨC KHỎE</w:t>
            </w:r>
          </w:p>
        </w:tc>
        <w:tc>
          <w:tcPr>
            <w:tcW w:type="dxa" w:w="4536"/>
            <w:tcBorders>
              <w:top w:val="none" w:sz="6" w:color="auto"/>
              <w:bottom w:val="none" w:sz="6" w:color="auto"/>
              <w:left w:val="none" w:sz="6" w:color="auto"/>
              <w:right w:val="none" w:sz="6" w:color="auto"/>
            </w:tcBorders>
          </w:tcPr>
          <w:p>
            <w:pPr>
              <w:spacing w:before="60" w:after="60"/>
              <w:ind w:left="113"/>
            </w:pPr>
            <w:r>
              <w:rPr>
                <w:rFonts w:ascii="Calibri" w:hAnsi="Calibri"/>
                <w:b/>
                <w:i w:val="0"/>
                <w:color w:val="111827"/>
                <w:sz w:val="21"/>
              </w:rPr>
              <w:t>Ministry of Health Proposes Special Benefits for Island-Based Medical Personnel</w:t>
            </w:r>
          </w:p>
        </w:tc>
      </w:tr>
    </w:tbl>
    <w:p>
      <w:pPr>
        <w:spacing w:before="40" w:after="40"/>
        <w:ind w:left="170"/>
      </w:pPr>
      <w:r>
        <w:rPr>
          <w:rFonts w:ascii="Calibri" w:hAnsi="Calibri"/>
          <w:b w:val="0"/>
          <w:i/>
          <w:color w:val="6B7280"/>
          <w:sz w:val="18"/>
        </w:rPr>
        <w:t>The Ministry of Health will advise the Government on a special incentive framework for island-based medical staff following a 4–10 May inspection of Truong Sa, and provided ~VND 3.3 billion in medical equipment and drug supplies to island stations. This signals increased state investment in remote primary healthcare but has no direct bearing on ETC tender mechanisms or drug lists.[Source]</w:t>
      </w:r>
    </w:p>
    <w:p>
      <w:pPr>
        <w:spacing w:before="20" w:after="40"/>
        <w:ind w:left="170"/>
      </w:pPr>
      <w:r>
        <w:rPr>
          <w:rFonts w:ascii="Calibri" w:hAnsi="Calibri"/>
          <w:b/>
          <w:i w:val="0"/>
          <w:color w:val="374151"/>
          <w:sz w:val="17"/>
        </w:rPr>
        <w:t>➖ No direct impact on Davipharm revenue or ETC product portfolio; island healthcare is managed by military medical units (Ministry of Defence), outside civilian tender channels.</w:t>
      </w:r>
    </w:p>
    <w:tbl>
      <w:tblPr>
        <w:tblStyle w:val="TableGrid"/>
        <w:tblW w:type="auto" w:w="0"/>
        <w:tblLook w:firstColumn="1" w:firstRow="1" w:lastColumn="0" w:lastRow="0" w:noHBand="0" w:noVBand="1" w:val="04A0"/>
      </w:tblPr>
      <w:tblGrid>
        <w:gridCol w:w="9072"/>
      </w:tblGrid>
      <w:tr>
        <w:tc>
          <w:tcPr>
            <w:tcW w:type="dxa" w:w="9072"/>
            <w:shd w:val="clear" w:color="auto" w:fill="F8FAFC"/>
            <w:tcBorders>
              <w:top w:val="none" w:sz="6" w:color="auto"/>
              <w:bottom w:val="none" w:sz="6" w:color="auto"/>
              <w:left w:val="single" w:sz="12" w:color="003B71"/>
              <w:right w:val="none" w:sz="6" w:color="auto"/>
            </w:tcBorders>
          </w:tcPr>
          <w:p>
            <w:pPr>
              <w:spacing w:before="60" w:after="60"/>
              <w:ind w:left="142"/>
            </w:pPr>
            <w:r>
              <w:rPr>
                <w:rFonts w:ascii="Calibri" w:hAnsi="Calibri"/>
                <w:b/>
                <w:i w:val="0"/>
                <w:color w:val="003B71"/>
                <w:sz w:val="17"/>
              </w:rPr>
              <w:t xml:space="preserve">Strategy  </w:t>
            </w:r>
            <w:r>
              <w:rPr>
                <w:rFonts w:ascii="Calibri" w:hAnsi="Calibri"/>
                <w:b w:val="0"/>
                <w:i w:val="0"/>
                <w:color w:val="334155"/>
                <w:sz w:val="17"/>
              </w:rPr>
              <w:t>No immediate action required; Government Affairs team may monitor the upcoming special incentive framework to assess whether it could open a long-term essential medicines supply channel (basic generics) for Ministry of Defence facilities.</w:t>
            </w:r>
          </w:p>
        </w:tc>
      </w:tr>
    </w:tbl>
    <w:p>
      <w:pPr>
        <w:spacing w:before="40" w:after="120"/>
      </w:pPr>
    </w:p>
    <w:tbl>
      <w:tblPr>
        <w:tblStyle w:val="TableGrid"/>
        <w:tblW w:type="auto" w:w="0"/>
        <w:jc w:val="left"/>
        <w:tblLook w:firstColumn="1" w:firstRow="1" w:lastColumn="0" w:lastRow="0" w:noHBand="0" w:noVBand="1" w:val="04A0"/>
      </w:tblPr>
      <w:tblGrid>
        <w:gridCol w:w="4536"/>
        <w:gridCol w:w="4536"/>
      </w:tblGrid>
      <w:tr>
        <w:tc>
          <w:tcPr>
            <w:tcW w:type="dxa" w:w="1984"/>
            <w:shd w:val="clear" w:color="auto" w:fill="EEF2FF"/>
            <w:tcBorders>
              <w:top w:val="none" w:sz="6" w:color="auto"/>
              <w:bottom w:val="none" w:sz="6" w:color="auto"/>
              <w:left w:val="none" w:sz="6" w:color="auto"/>
              <w:right w:val="none" w:sz="6" w:color="auto"/>
            </w:tcBorders>
          </w:tcPr>
          <w:p>
            <w:pPr>
              <w:spacing w:before="80" w:after="80"/>
              <w:ind w:left="85"/>
            </w:pPr>
            <w:r>
              <w:rPr>
                <w:rFonts w:ascii="Calibri" w:hAnsi="Calibri"/>
                <w:b/>
                <w:i w:val="0"/>
                <w:color w:val="4338CA"/>
                <w:sz w:val="15"/>
              </w:rPr>
              <w:t>DÂN TRÍ – SỨC KHỎE</w:t>
            </w:r>
          </w:p>
        </w:tc>
        <w:tc>
          <w:tcPr>
            <w:tcW w:type="dxa" w:w="4536"/>
            <w:tcBorders>
              <w:top w:val="none" w:sz="6" w:color="auto"/>
              <w:bottom w:val="none" w:sz="6" w:color="auto"/>
              <w:left w:val="none" w:sz="6" w:color="auto"/>
              <w:right w:val="none" w:sz="6" w:color="auto"/>
            </w:tcBorders>
          </w:tcPr>
          <w:p>
            <w:pPr>
              <w:spacing w:before="60" w:after="60"/>
              <w:ind w:left="113"/>
            </w:pPr>
            <w:r>
              <w:rPr>
                <w:rFonts w:ascii="Calibri" w:hAnsi="Calibri"/>
                <w:b/>
                <w:i w:val="0"/>
                <w:color w:val="111827"/>
                <w:sz w:val="21"/>
              </w:rPr>
              <w:t>Hypertension Underdiagnosis in Vietnam — Market Opportunity for Davipharm Cardiovascular Portfolio</w:t>
            </w:r>
          </w:p>
        </w:tc>
      </w:tr>
    </w:tbl>
    <w:p>
      <w:pPr>
        <w:spacing w:before="40" w:after="40"/>
        <w:ind w:left="170"/>
      </w:pPr>
      <w:r>
        <w:rPr>
          <w:rFonts w:ascii="Calibri" w:hAnsi="Calibri"/>
          <w:b w:val="0"/>
          <w:i/>
          <w:color w:val="6B7280"/>
          <w:sz w:val="18"/>
        </w:rPr>
        <w:t>An estimated 25–30% of Vietnamese adults have hypertension, yet diagnosis and treatment adherence rates remain critically low, with a growing trend among younger demographics expanding the long-term patient pool. This directly drives demand for Davipharm's fixed-dose combinations PECHAUNOX (Perindopril+Amlodipine) and TABAREX/HATLOP (Valsartan/Irbesartan), aligned with guideline-based combination therapy.[Source]</w:t>
      </w:r>
    </w:p>
    <w:p>
      <w:pPr>
        <w:spacing w:before="20" w:after="40"/>
        <w:ind w:left="170"/>
      </w:pPr>
      <w:r>
        <w:rPr>
          <w:rFonts w:ascii="Calibri" w:hAnsi="Calibri"/>
          <w:b/>
          <w:i w:val="0"/>
          <w:color w:val="166534"/>
          <w:sz w:val="17"/>
        </w:rPr>
        <w:t>🟢 Growing long-term hypertension treatment demand and the shift toward fixed-dose combinations present a clear market expansion opportunity for PECHAUNOX, TABAREX, and HATLOP across ETC and OTC channels.</w:t>
      </w:r>
    </w:p>
    <w:tbl>
      <w:tblPr>
        <w:tblStyle w:val="TableGrid"/>
        <w:tblW w:type="auto" w:w="0"/>
        <w:tblLook w:firstColumn="1" w:firstRow="1" w:lastColumn="0" w:lastRow="0" w:noHBand="0" w:noVBand="1" w:val="04A0"/>
      </w:tblPr>
      <w:tblGrid>
        <w:gridCol w:w="9072"/>
      </w:tblGrid>
      <w:tr>
        <w:tc>
          <w:tcPr>
            <w:tcW w:type="dxa" w:w="9072"/>
            <w:shd w:val="clear" w:color="auto" w:fill="F8FAFC"/>
            <w:tcBorders>
              <w:top w:val="none" w:sz="6" w:color="auto"/>
              <w:bottom w:val="none" w:sz="6" w:color="auto"/>
              <w:left w:val="single" w:sz="12" w:color="003B71"/>
              <w:right w:val="none" w:sz="6" w:color="auto"/>
            </w:tcBorders>
          </w:tcPr>
          <w:p>
            <w:pPr>
              <w:spacing w:before="60" w:after="60"/>
              <w:ind w:left="142"/>
            </w:pPr>
            <w:r>
              <w:rPr>
                <w:rFonts w:ascii="Calibri" w:hAnsi="Calibri"/>
                <w:b/>
                <w:i w:val="0"/>
                <w:color w:val="003B71"/>
                <w:sz w:val="17"/>
              </w:rPr>
              <w:t xml:space="preserve">Strategy  </w:t>
            </w:r>
            <w:r>
              <w:rPr>
                <w:rFonts w:ascii="Calibri" w:hAnsi="Calibri"/>
                <w:b w:val="0"/>
                <w:i w:val="0"/>
                <w:color w:val="334155"/>
                <w:sz w:val="17"/>
              </w:rPr>
              <w:t>Marketing &amp; Medical Affairs team should leverage World Hypertension Day (May 17) to activate medical education campaigns at hospitals, highlighting treatment adherence benefits of fixed-dose combinations (PECHAUNOX, TABAREX, HATLOP); Sales ETC team to prioritize primary healthcare facilities — key first-diagnosis and first-prescription points for undetected patients — ahead of the next local tender cycle.</w:t>
            </w:r>
          </w:p>
        </w:tc>
      </w:tr>
    </w:tbl>
    <w:p>
      <w:pPr>
        <w:spacing w:before="40" w:after="120"/>
      </w:pPr>
    </w:p>
    <w:tbl>
      <w:tblPr>
        <w:tblStyle w:val="TableGrid"/>
        <w:tblW w:type="auto" w:w="0"/>
        <w:jc w:val="left"/>
        <w:tblLook w:firstColumn="1" w:firstRow="1" w:lastColumn="0" w:lastRow="0" w:noHBand="0" w:noVBand="1" w:val="04A0"/>
      </w:tblPr>
      <w:tblGrid>
        <w:gridCol w:w="4536"/>
        <w:gridCol w:w="4536"/>
      </w:tblGrid>
      <w:tr>
        <w:tc>
          <w:tcPr>
            <w:tcW w:type="dxa" w:w="1984"/>
            <w:shd w:val="clear" w:color="auto" w:fill="EEF2FF"/>
            <w:tcBorders>
              <w:top w:val="none" w:sz="6" w:color="auto"/>
              <w:bottom w:val="none" w:sz="6" w:color="auto"/>
              <w:left w:val="none" w:sz="6" w:color="auto"/>
              <w:right w:val="none" w:sz="6" w:color="auto"/>
            </w:tcBorders>
          </w:tcPr>
          <w:p>
            <w:pPr>
              <w:spacing w:before="80" w:after="80"/>
              <w:ind w:left="85"/>
            </w:pPr>
            <w:r>
              <w:rPr>
                <w:rFonts w:ascii="Calibri" w:hAnsi="Calibri"/>
                <w:b/>
                <w:i w:val="0"/>
                <w:color w:val="4338CA"/>
                <w:sz w:val="15"/>
              </w:rPr>
              <w:t>DÂN TRÍ – SỨC KHỎE</w:t>
            </w:r>
          </w:p>
        </w:tc>
        <w:tc>
          <w:tcPr>
            <w:tcW w:type="dxa" w:w="4536"/>
            <w:tcBorders>
              <w:top w:val="none" w:sz="6" w:color="auto"/>
              <w:bottom w:val="none" w:sz="6" w:color="auto"/>
              <w:left w:val="none" w:sz="6" w:color="auto"/>
              <w:right w:val="none" w:sz="6" w:color="auto"/>
            </w:tcBorders>
          </w:tcPr>
          <w:p>
            <w:pPr>
              <w:spacing w:before="60" w:after="60"/>
              <w:ind w:left="113"/>
            </w:pPr>
            <w:r>
              <w:rPr>
                <w:rFonts w:ascii="Calibri" w:hAnsi="Calibri"/>
                <w:b/>
                <w:i w:val="0"/>
                <w:color w:val="111827"/>
                <w:sz w:val="21"/>
              </w:rPr>
              <w:t>Rising Musculoskeletal Disease in Younger Population &amp; Regenerative Medicine Trend — Opportunity for Etoricoxib (MAGRAX)</w:t>
            </w:r>
          </w:p>
        </w:tc>
      </w:tr>
    </w:tbl>
    <w:p>
      <w:pPr>
        <w:spacing w:before="40" w:after="40"/>
        <w:ind w:left="170"/>
      </w:pPr>
      <w:r>
        <w:rPr>
          <w:rFonts w:ascii="Calibri" w:hAnsi="Calibri"/>
          <w:b w:val="0"/>
          <w:i/>
          <w:color w:val="6B7280"/>
          <w:sz w:val="18"/>
        </w:rPr>
        <w:t>A Dân Trí webinar at Hồng Ngọc Hospital (12 May 2026) highlighted the rapid rejuvenation of osteoarthritis — increasingly affecting adults over 30 — and warned against widespread self-medication with unregulated analgesics/anti-inflammatories. This expands the potential patient pool for MAGRAX (Etoricoxib), while the push to reduce traditional NSAID dependency favors selective COX-2 inhibitors with a better GI safety profile.[Source]</w:t>
      </w:r>
    </w:p>
    <w:p>
      <w:pPr>
        <w:spacing w:before="20" w:after="40"/>
        <w:ind w:left="170"/>
      </w:pPr>
      <w:r>
        <w:rPr>
          <w:rFonts w:ascii="Calibri" w:hAnsi="Calibri"/>
          <w:b/>
          <w:i w:val="0"/>
          <w:color w:val="166534"/>
          <w:sz w:val="17"/>
        </w:rPr>
        <w:t>🟢 Opportunity: expanding musculoskeletal disease burden in younger demographics strengthens the tendering and detailing case for MAGRAX (Etoricoxib) across rheumatology, general internal medicine, and private hospital settings.</w:t>
      </w:r>
    </w:p>
    <w:tbl>
      <w:tblPr>
        <w:tblStyle w:val="TableGrid"/>
        <w:tblW w:type="auto" w:w="0"/>
        <w:tblLook w:firstColumn="1" w:firstRow="1" w:lastColumn="0" w:lastRow="0" w:noHBand="0" w:noVBand="1" w:val="04A0"/>
      </w:tblPr>
      <w:tblGrid>
        <w:gridCol w:w="9072"/>
      </w:tblGrid>
      <w:tr>
        <w:tc>
          <w:tcPr>
            <w:tcW w:type="dxa" w:w="9072"/>
            <w:shd w:val="clear" w:color="auto" w:fill="F8FAFC"/>
            <w:tcBorders>
              <w:top w:val="none" w:sz="6" w:color="auto"/>
              <w:bottom w:val="none" w:sz="6" w:color="auto"/>
              <w:left w:val="single" w:sz="12" w:color="003B71"/>
              <w:right w:val="none" w:sz="6" w:color="auto"/>
            </w:tcBorders>
          </w:tcPr>
          <w:p>
            <w:pPr>
              <w:spacing w:before="60" w:after="60"/>
              <w:ind w:left="142"/>
            </w:pPr>
            <w:r>
              <w:rPr>
                <w:rFonts w:ascii="Calibri" w:hAnsi="Calibri"/>
                <w:b/>
                <w:i w:val="0"/>
                <w:color w:val="003B71"/>
                <w:sz w:val="17"/>
              </w:rPr>
              <w:t xml:space="preserve">Strategy  </w:t>
            </w:r>
            <w:r>
              <w:rPr>
                <w:rFonts w:ascii="Calibri" w:hAnsi="Calibri"/>
                <w:b w:val="0"/>
                <w:i w:val="0"/>
                <w:color w:val="334155"/>
                <w:sz w:val="17"/>
              </w:rPr>
              <w:t>Marketing &amp; Medical Affairs should refresh MAGRAX messaging to emphasize COX-2 selectivity vs. non-selective NSAIDs, targeting the active younger patient segment; ETC Sales team to prioritize detailing at hospitals with rheumatology departments and sports medicine clinics in Q3 2026, ahead of year-end local tender cycles.</w:t>
            </w:r>
          </w:p>
        </w:tc>
      </w:tr>
    </w:tbl>
    <w:p>
      <w:pPr>
        <w:spacing w:before="40" w:after="120"/>
      </w:pPr>
    </w:p>
    <w:tbl>
      <w:tblPr>
        <w:tblStyle w:val="TableGrid"/>
        <w:tblW w:type="auto" w:w="0"/>
        <w:jc w:val="left"/>
        <w:tblLook w:firstColumn="1" w:firstRow="1" w:lastColumn="0" w:lastRow="0" w:noHBand="0" w:noVBand="1" w:val="04A0"/>
      </w:tblPr>
      <w:tblGrid>
        <w:gridCol w:w="4536"/>
        <w:gridCol w:w="4536"/>
      </w:tblGrid>
      <w:tr>
        <w:tc>
          <w:tcPr>
            <w:tcW w:type="dxa" w:w="1984"/>
            <w:shd w:val="clear" w:color="auto" w:fill="EEF2FF"/>
            <w:tcBorders>
              <w:top w:val="none" w:sz="6" w:color="auto"/>
              <w:bottom w:val="none" w:sz="6" w:color="auto"/>
              <w:left w:val="none" w:sz="6" w:color="auto"/>
              <w:right w:val="none" w:sz="6" w:color="auto"/>
            </w:tcBorders>
          </w:tcPr>
          <w:p>
            <w:pPr>
              <w:spacing w:before="80" w:after="80"/>
              <w:ind w:left="85"/>
            </w:pPr>
            <w:r>
              <w:rPr>
                <w:rFonts w:ascii="Calibri" w:hAnsi="Calibri"/>
                <w:b/>
                <w:i w:val="0"/>
                <w:color w:val="4338CA"/>
                <w:sz w:val="15"/>
              </w:rPr>
              <w:t>DÂN TRÍ – SỨC KHỎE</w:t>
            </w:r>
          </w:p>
        </w:tc>
        <w:tc>
          <w:tcPr>
            <w:tcW w:type="dxa" w:w="4536"/>
            <w:tcBorders>
              <w:top w:val="none" w:sz="6" w:color="auto"/>
              <w:bottom w:val="none" w:sz="6" w:color="auto"/>
              <w:left w:val="none" w:sz="6" w:color="auto"/>
              <w:right w:val="none" w:sz="6" w:color="auto"/>
            </w:tcBorders>
          </w:tcPr>
          <w:p>
            <w:pPr>
              <w:spacing w:before="60" w:after="60"/>
              <w:ind w:left="113"/>
            </w:pPr>
            <w:r>
              <w:rPr>
                <w:rFonts w:ascii="Calibri" w:hAnsi="Calibri"/>
                <w:b/>
                <w:i w:val="0"/>
                <w:color w:val="111827"/>
                <w:sz w:val="21"/>
              </w:rPr>
              <w:t>Cell-Level Endoscopy Trend Signals Growing GI Cancer Early Detection Market in Vietnam</w:t>
            </w:r>
          </w:p>
        </w:tc>
      </w:tr>
    </w:tbl>
    <w:p>
      <w:pPr>
        <w:spacing w:before="40" w:after="40"/>
        <w:ind w:left="170"/>
      </w:pPr>
      <w:r>
        <w:rPr>
          <w:rFonts w:ascii="Calibri" w:hAnsi="Calibri"/>
          <w:b w:val="0"/>
          <w:i/>
          <w:color w:val="6B7280"/>
          <w:sz w:val="18"/>
        </w:rPr>
        <w:t>Olympus Endocyto 520x technology — offering cell-level optical magnification — is now deployed at Thu Cúc TCI, marking a shift toward advanced early GI cancer detection in private hospital channels. This trend indirectly expands the treatment funnel for Davipharm's oncology portfolio (HYYR – Erlotinib, LARRIVEY – Bicalutamide) in the ETC segment.[Source]</w:t>
      </w:r>
    </w:p>
    <w:p>
      <w:pPr>
        <w:spacing w:before="20" w:after="40"/>
        <w:ind w:left="170"/>
      </w:pPr>
      <w:r>
        <w:rPr>
          <w:rFonts w:ascii="Calibri" w:hAnsi="Calibri"/>
          <w:b/>
          <w:i w:val="0"/>
          <w:color w:val="374151"/>
          <w:sz w:val="17"/>
        </w:rPr>
        <w:t>📡 Positive long-term signal: increased early GI cancer detection may expand patient pool for HYYR and LARRIVEY, but near-term ETC revenue impact remains limited.</w:t>
      </w:r>
    </w:p>
    <w:tbl>
      <w:tblPr>
        <w:tblStyle w:val="TableGrid"/>
        <w:tblW w:type="auto" w:w="0"/>
        <w:tblLook w:firstColumn="1" w:firstRow="1" w:lastColumn="0" w:lastRow="0" w:noHBand="0" w:noVBand="1" w:val="04A0"/>
      </w:tblPr>
      <w:tblGrid>
        <w:gridCol w:w="9072"/>
      </w:tblGrid>
      <w:tr>
        <w:tc>
          <w:tcPr>
            <w:tcW w:type="dxa" w:w="9072"/>
            <w:shd w:val="clear" w:color="auto" w:fill="F8FAFC"/>
            <w:tcBorders>
              <w:top w:val="none" w:sz="6" w:color="auto"/>
              <w:bottom w:val="none" w:sz="6" w:color="auto"/>
              <w:left w:val="single" w:sz="12" w:color="003B71"/>
              <w:right w:val="none" w:sz="6" w:color="auto"/>
            </w:tcBorders>
          </w:tcPr>
          <w:p>
            <w:pPr>
              <w:spacing w:before="60" w:after="60"/>
              <w:ind w:left="142"/>
            </w:pPr>
            <w:r>
              <w:rPr>
                <w:rFonts w:ascii="Calibri" w:hAnsi="Calibri"/>
                <w:b/>
                <w:i w:val="0"/>
                <w:color w:val="003B71"/>
                <w:sz w:val="17"/>
              </w:rPr>
              <w:t xml:space="preserve">Strategy  </w:t>
            </w:r>
            <w:r>
              <w:rPr>
                <w:rFonts w:ascii="Calibri" w:hAnsi="Calibri"/>
                <w:b w:val="0"/>
                <w:i w:val="0"/>
                <w:color w:val="334155"/>
                <w:sz w:val="17"/>
              </w:rPr>
              <w:t>Medical Affairs and ETC Sales teams should monitor the expansion of advanced endoscopy centers (Thu Cúc TCI and equivalents) to position HYYR (Erlotinib) and LARRIVEY (Bicalutamide) within early-stage treatment protocols at private facilities adopting new screening technologies; assess product listing opportunities in the next tender cycle.</w:t>
            </w:r>
          </w:p>
        </w:tc>
      </w:tr>
    </w:tbl>
    <w:p>
      <w:pPr>
        <w:spacing w:before="40" w:after="120"/>
      </w:pPr>
    </w:p>
    <w:p>
      <w:r>
        <w:br w:type="page"/>
      </w:r>
    </w:p>
    <w:p>
      <w:pPr>
        <w:spacing w:before="320" w:after="120"/>
        <w:pBdr>
          <w:bottom w:val="single" w:sz="8" w:color="003B71"/>
        </w:pBdr>
      </w:pPr>
      <w:r>
        <w:rPr>
          <w:rFonts w:ascii="Calibri" w:hAnsi="Calibri"/>
          <w:b/>
          <w:i w:val="0"/>
          <w:color w:val="003B71"/>
          <w:sz w:val="22"/>
        </w:rPr>
        <w:t>COMPETITOR INTELLIGENCE</w:t>
      </w:r>
    </w:p>
    <w:p>
      <w:r>
        <w:br w:type="page"/>
      </w:r>
    </w:p>
    <w:p>
      <w:pPr>
        <w:spacing w:before="320" w:after="120"/>
        <w:pBdr>
          <w:bottom w:val="single" w:sz="8" w:color="003B71"/>
        </w:pBdr>
      </w:pPr>
      <w:r>
        <w:rPr>
          <w:rFonts w:ascii="Calibri" w:hAnsi="Calibri"/>
          <w:b/>
          <w:i w:val="0"/>
          <w:color w:val="003B71"/>
          <w:sz w:val="22"/>
        </w:rPr>
        <w:t>PRODUCT PORTFOLIO</w:t>
      </w:r>
    </w:p>
    <w:tbl>
      <w:tblPr>
        <w:tblStyle w:val="TableGrid"/>
        <w:tblW w:type="auto" w:w="0"/>
        <w:jc w:val="left"/>
        <w:tblLook w:firstColumn="1" w:firstRow="1" w:lastColumn="0" w:lastRow="0" w:noHBand="0" w:noVBand="1" w:val="04A0"/>
      </w:tblPr>
      <w:tblGrid>
        <w:gridCol w:w="1814"/>
        <w:gridCol w:w="1814"/>
        <w:gridCol w:w="1814"/>
        <w:gridCol w:w="1814"/>
        <w:gridCol w:w="1814"/>
      </w:tblGrid>
      <w:tr>
        <w:tc>
          <w:tcPr>
            <w:tcW w:type="dxa" w:w="1701"/>
            <w:shd w:val="clear" w:color="auto" w:fill="003B71"/>
          </w:tcPr>
          <w:p>
            <w:pPr>
              <w:spacing w:before="80" w:after="80"/>
              <w:ind w:left="85"/>
            </w:pPr>
            <w:r>
              <w:rPr>
                <w:rFonts w:ascii="Calibri" w:hAnsi="Calibri"/>
                <w:b/>
                <w:i w:val="0"/>
                <w:color w:val="FFFFFF"/>
                <w:sz w:val="17"/>
              </w:rPr>
              <w:t>Product</w:t>
            </w:r>
          </w:p>
        </w:tc>
        <w:tc>
          <w:tcPr>
            <w:tcW w:type="dxa" w:w="2381"/>
            <w:shd w:val="clear" w:color="auto" w:fill="003B71"/>
          </w:tcPr>
          <w:p>
            <w:pPr>
              <w:spacing w:before="80" w:after="80"/>
              <w:ind w:left="85"/>
            </w:pPr>
            <w:r>
              <w:rPr>
                <w:rFonts w:ascii="Calibri" w:hAnsi="Calibri"/>
                <w:b/>
                <w:i w:val="0"/>
                <w:color w:val="FFFFFF"/>
                <w:sz w:val="17"/>
              </w:rPr>
              <w:t>Active · Indication</w:t>
            </w:r>
          </w:p>
        </w:tc>
        <w:tc>
          <w:tcPr>
            <w:tcW w:type="dxa" w:w="1134"/>
            <w:shd w:val="clear" w:color="auto" w:fill="003B71"/>
          </w:tcPr>
          <w:p>
            <w:pPr>
              <w:spacing w:before="80" w:after="80"/>
              <w:ind w:left="85"/>
            </w:pPr>
            <w:r>
              <w:rPr>
                <w:rFonts w:ascii="Calibri" w:hAnsi="Calibri"/>
                <w:b/>
                <w:i w:val="0"/>
                <w:color w:val="FFFFFF"/>
                <w:sz w:val="17"/>
              </w:rPr>
              <w:t>Price</w:t>
            </w:r>
          </w:p>
        </w:tc>
        <w:tc>
          <w:tcPr>
            <w:tcW w:type="dxa" w:w="1247"/>
            <w:shd w:val="clear" w:color="auto" w:fill="003B71"/>
          </w:tcPr>
          <w:p>
            <w:pPr>
              <w:spacing w:before="80" w:after="80"/>
              <w:ind w:left="85"/>
            </w:pPr>
            <w:r>
              <w:rPr>
                <w:rFonts w:ascii="Calibri" w:hAnsi="Calibri"/>
                <w:b/>
                <w:i w:val="0"/>
                <w:color w:val="FFFFFF"/>
                <w:sz w:val="17"/>
              </w:rPr>
              <w:t>Status</w:t>
            </w:r>
          </w:p>
        </w:tc>
        <w:tc>
          <w:tcPr>
            <w:tcW w:type="dxa" w:w="2608"/>
            <w:shd w:val="clear" w:color="auto" w:fill="003B71"/>
          </w:tcPr>
          <w:p>
            <w:pPr>
              <w:spacing w:before="80" w:after="80"/>
              <w:ind w:left="85"/>
            </w:pPr>
            <w:r>
              <w:rPr>
                <w:rFonts w:ascii="Calibri" w:hAnsi="Calibri"/>
                <w:b/>
                <w:i w:val="0"/>
                <w:color w:val="FFFFFF"/>
                <w:sz w:val="17"/>
              </w:rPr>
              <w:t>Strategic Note</w:t>
            </w:r>
          </w:p>
        </w:tc>
      </w:tr>
      <w:tr>
        <w:tc>
          <w:tcPr>
            <w:tcW w:type="dxa" w:w="1701"/>
          </w:tcPr>
          <w:p>
            <w:pPr>
              <w:spacing w:before="60" w:after="60"/>
              <w:ind w:left="85"/>
            </w:pPr>
            <w:r>
              <w:rPr>
                <w:rFonts w:ascii="Calibri" w:hAnsi="Calibri"/>
                <w:b/>
                <w:i w:val="0"/>
                <w:color w:val="003B71"/>
                <w:sz w:val="17"/>
              </w:rPr>
              <w:t>EIMLER-10</w:t>
            </w:r>
          </w:p>
        </w:tc>
        <w:tc>
          <w:tcPr>
            <w:tcW w:type="dxa" w:w="2381"/>
          </w:tcPr>
          <w:p>
            <w:pPr>
              <w:spacing w:before="60" w:after="60"/>
              <w:ind w:left="85"/>
            </w:pPr>
            <w:r>
              <w:rPr>
                <w:rFonts w:ascii="Calibri" w:hAnsi="Calibri"/>
                <w:b w:val="0"/>
                <w:i w:val="0"/>
                <w:color w:val="374151"/>
                <w:sz w:val="17"/>
              </w:rPr>
              <w:t>Empagliflozin 10mg</w:t>
            </w:r>
          </w:p>
        </w:tc>
        <w:tc>
          <w:tcPr>
            <w:tcW w:type="dxa" w:w="1134"/>
          </w:tcPr>
          <w:p>
            <w:pPr>
              <w:spacing w:before="60" w:after="60"/>
              <w:ind w:left="85"/>
            </w:pPr>
            <w:r>
              <w:rPr>
                <w:rFonts w:ascii="Calibri" w:hAnsi="Calibri"/>
                <w:b w:val="0"/>
                <w:i w:val="0"/>
                <w:color w:val="374151"/>
                <w:sz w:val="17"/>
              </w:rPr>
              <w:t>597,000 VND /hộp</w:t>
            </w:r>
          </w:p>
        </w:tc>
        <w:tc>
          <w:tcPr>
            <w:tcW w:type="dxa" w:w="1247"/>
            <w:shd w:val="clear" w:color="auto" w:fill="E7F9EE"/>
          </w:tcPr>
          <w:p>
            <w:pPr>
              <w:spacing w:before="60" w:after="60"/>
              <w:ind w:left="85"/>
            </w:pPr>
            <w:r>
              <w:rPr>
                <w:rFonts w:ascii="Calibri" w:hAnsi="Calibri"/>
                <w:b/>
                <w:i w:val="0"/>
                <w:color w:val="166534"/>
                <w:sz w:val="17"/>
              </w:rPr>
              <w:t>Cơ hội cao</w:t>
            </w:r>
          </w:p>
        </w:tc>
        <w:tc>
          <w:tcPr>
            <w:tcW w:type="dxa" w:w="2608"/>
          </w:tcPr>
          <w:p>
            <w:pPr>
              <w:spacing w:before="60" w:after="60"/>
              <w:ind w:left="85"/>
            </w:pPr>
            <w:r>
              <w:rPr>
                <w:rFonts w:ascii="Calibri" w:hAnsi="Calibri"/>
                <w:b w:val="0"/>
                <w:i w:val="0"/>
                <w:color w:val="374151"/>
                <w:sz w:val="17"/>
              </w:rPr>
              <w:t>Ưu tiên thầu Nhóm 1 – đấu thầu TT 2026</w:t>
            </w:r>
          </w:p>
        </w:tc>
      </w:tr>
      <w:tr>
        <w:tc>
          <w:tcPr>
            <w:tcW w:type="dxa" w:w="1701"/>
          </w:tcPr>
          <w:p>
            <w:pPr>
              <w:spacing w:before="60" w:after="60"/>
              <w:ind w:left="85"/>
            </w:pPr>
            <w:r>
              <w:rPr>
                <w:rFonts w:ascii="Calibri" w:hAnsi="Calibri"/>
                <w:b/>
                <w:i w:val="0"/>
                <w:color w:val="003B71"/>
                <w:sz w:val="17"/>
              </w:rPr>
              <w:t>ZLATKO-50</w:t>
            </w:r>
          </w:p>
        </w:tc>
        <w:tc>
          <w:tcPr>
            <w:tcW w:type="dxa" w:w="2381"/>
          </w:tcPr>
          <w:p>
            <w:pPr>
              <w:spacing w:before="60" w:after="60"/>
              <w:ind w:left="85"/>
            </w:pPr>
            <w:r>
              <w:rPr>
                <w:rFonts w:ascii="Calibri" w:hAnsi="Calibri"/>
                <w:b w:val="0"/>
                <w:i w:val="0"/>
                <w:color w:val="374151"/>
                <w:sz w:val="17"/>
              </w:rPr>
              <w:t>Sitagliptin 50mg</w:t>
            </w:r>
          </w:p>
        </w:tc>
        <w:tc>
          <w:tcPr>
            <w:tcW w:type="dxa" w:w="1134"/>
          </w:tcPr>
          <w:p>
            <w:pPr>
              <w:spacing w:before="60" w:after="60"/>
              <w:ind w:left="85"/>
            </w:pPr>
            <w:r>
              <w:rPr>
                <w:rFonts w:ascii="Calibri" w:hAnsi="Calibri"/>
                <w:b w:val="0"/>
                <w:i w:val="0"/>
                <w:color w:val="374151"/>
                <w:sz w:val="17"/>
              </w:rPr>
              <w:t>217,500 VND /hộp</w:t>
            </w:r>
          </w:p>
        </w:tc>
        <w:tc>
          <w:tcPr>
            <w:tcW w:type="dxa" w:w="1247"/>
            <w:shd w:val="clear" w:color="auto" w:fill="FFF7ED"/>
          </w:tcPr>
          <w:p>
            <w:pPr>
              <w:spacing w:before="60" w:after="60"/>
              <w:ind w:left="85"/>
            </w:pPr>
            <w:r>
              <w:rPr>
                <w:rFonts w:ascii="Calibri" w:hAnsi="Calibri"/>
                <w:b/>
                <w:i w:val="0"/>
                <w:color w:val="D97706"/>
                <w:sz w:val="17"/>
              </w:rPr>
              <w:t>Cạnh tranh</w:t>
            </w:r>
          </w:p>
        </w:tc>
        <w:tc>
          <w:tcPr>
            <w:tcW w:type="dxa" w:w="2608"/>
          </w:tcPr>
          <w:p>
            <w:pPr>
              <w:spacing w:before="60" w:after="60"/>
              <w:ind w:left="85"/>
            </w:pPr>
            <w:r>
              <w:rPr>
                <w:rFonts w:ascii="Calibri" w:hAnsi="Calibri"/>
                <w:b w:val="0"/>
                <w:i w:val="0"/>
                <w:color w:val="374151"/>
                <w:sz w:val="17"/>
              </w:rPr>
              <w:t>Theo dõi DPP-4 generic cạnh tranh</w:t>
            </w:r>
          </w:p>
        </w:tc>
      </w:tr>
      <w:tr>
        <w:tc>
          <w:tcPr>
            <w:tcW w:type="dxa" w:w="1701"/>
          </w:tcPr>
          <w:p>
            <w:pPr>
              <w:spacing w:before="60" w:after="60"/>
              <w:ind w:left="85"/>
            </w:pPr>
            <w:r>
              <w:rPr>
                <w:rFonts w:ascii="Calibri" w:hAnsi="Calibri"/>
                <w:b/>
                <w:i w:val="0"/>
                <w:color w:val="003B71"/>
                <w:sz w:val="17"/>
              </w:rPr>
              <w:t>JANUS-60</w:t>
            </w:r>
          </w:p>
        </w:tc>
        <w:tc>
          <w:tcPr>
            <w:tcW w:type="dxa" w:w="2381"/>
          </w:tcPr>
          <w:p>
            <w:pPr>
              <w:spacing w:before="60" w:after="60"/>
              <w:ind w:left="85"/>
            </w:pPr>
            <w:r>
              <w:rPr>
                <w:rFonts w:ascii="Calibri" w:hAnsi="Calibri"/>
                <w:b w:val="0"/>
                <w:i w:val="0"/>
                <w:color w:val="374151"/>
                <w:sz w:val="17"/>
              </w:rPr>
              <w:t>Dapoxetine 60mg</w:t>
            </w:r>
          </w:p>
        </w:tc>
        <w:tc>
          <w:tcPr>
            <w:tcW w:type="dxa" w:w="1134"/>
          </w:tcPr>
          <w:p>
            <w:pPr>
              <w:spacing w:before="60" w:after="60"/>
              <w:ind w:left="85"/>
            </w:pPr>
            <w:r>
              <w:rPr>
                <w:rFonts w:ascii="Calibri" w:hAnsi="Calibri"/>
                <w:b w:val="0"/>
                <w:i w:val="0"/>
                <w:color w:val="374151"/>
                <w:sz w:val="17"/>
              </w:rPr>
              <w:t>720,000 VND /hộp</w:t>
            </w:r>
          </w:p>
        </w:tc>
        <w:tc>
          <w:tcPr>
            <w:tcW w:type="dxa" w:w="1247"/>
            <w:shd w:val="clear" w:color="auto" w:fill="EFF6FF"/>
          </w:tcPr>
          <w:p>
            <w:pPr>
              <w:spacing w:before="60" w:after="60"/>
              <w:ind w:left="85"/>
            </w:pPr>
            <w:r>
              <w:rPr>
                <w:rFonts w:ascii="Calibri" w:hAnsi="Calibri"/>
                <w:b/>
                <w:i w:val="0"/>
                <w:color w:val="0056D2"/>
                <w:sz w:val="17"/>
              </w:rPr>
              <w:t>Ổn định</w:t>
            </w:r>
          </w:p>
        </w:tc>
        <w:tc>
          <w:tcPr>
            <w:tcW w:type="dxa" w:w="2608"/>
          </w:tcPr>
          <w:p>
            <w:pPr>
              <w:spacing w:before="60" w:after="60"/>
              <w:ind w:left="85"/>
            </w:pPr>
            <w:r>
              <w:rPr>
                <w:rFonts w:ascii="Calibri" w:hAnsi="Calibri"/>
                <w:b w:val="0"/>
                <w:i w:val="0"/>
                <w:color w:val="374151"/>
                <w:sz w:val="17"/>
              </w:rPr>
              <w:t>Kiểm tra listing Long Châu / Pharmacity</w:t>
            </w:r>
          </w:p>
        </w:tc>
      </w:tr>
      <w:tr>
        <w:tc>
          <w:tcPr>
            <w:tcW w:type="dxa" w:w="1701"/>
          </w:tcPr>
          <w:p>
            <w:pPr>
              <w:spacing w:before="60" w:after="60"/>
              <w:ind w:left="85"/>
            </w:pPr>
            <w:r>
              <w:rPr>
                <w:rFonts w:ascii="Calibri" w:hAnsi="Calibri"/>
                <w:b/>
                <w:i w:val="0"/>
                <w:color w:val="003B71"/>
                <w:sz w:val="17"/>
              </w:rPr>
              <w:t>TADALAFIL 20MG</w:t>
            </w:r>
          </w:p>
        </w:tc>
        <w:tc>
          <w:tcPr>
            <w:tcW w:type="dxa" w:w="2381"/>
          </w:tcPr>
          <w:p>
            <w:pPr>
              <w:spacing w:before="60" w:after="60"/>
              <w:ind w:left="85"/>
            </w:pPr>
            <w:r>
              <w:rPr>
                <w:rFonts w:ascii="Calibri" w:hAnsi="Calibri"/>
                <w:b w:val="0"/>
                <w:i w:val="0"/>
                <w:color w:val="374151"/>
                <w:sz w:val="17"/>
              </w:rPr>
              <w:t>Tadalafil 20mg</w:t>
            </w:r>
          </w:p>
        </w:tc>
        <w:tc>
          <w:tcPr>
            <w:tcW w:type="dxa" w:w="1134"/>
          </w:tcPr>
          <w:p>
            <w:pPr>
              <w:spacing w:before="60" w:after="60"/>
              <w:ind w:left="85"/>
            </w:pPr>
            <w:r>
              <w:rPr>
                <w:rFonts w:ascii="Calibri" w:hAnsi="Calibri"/>
                <w:b w:val="0"/>
                <w:i w:val="0"/>
                <w:color w:val="374151"/>
                <w:sz w:val="17"/>
              </w:rPr>
              <w:t>42,000 VND /tabs</w:t>
            </w:r>
          </w:p>
        </w:tc>
        <w:tc>
          <w:tcPr>
            <w:tcW w:type="dxa" w:w="1247"/>
            <w:shd w:val="clear" w:color="auto" w:fill="FFF7ED"/>
          </w:tcPr>
          <w:p>
            <w:pPr>
              <w:spacing w:before="60" w:after="60"/>
              <w:ind w:left="85"/>
            </w:pPr>
            <w:r>
              <w:rPr>
                <w:rFonts w:ascii="Calibri" w:hAnsi="Calibri"/>
                <w:b/>
                <w:i w:val="0"/>
                <w:color w:val="D97706"/>
                <w:sz w:val="17"/>
              </w:rPr>
              <w:t>Cạnh tranh</w:t>
            </w:r>
          </w:p>
        </w:tc>
        <w:tc>
          <w:tcPr>
            <w:tcW w:type="dxa" w:w="2608"/>
          </w:tcPr>
          <w:p>
            <w:pPr>
              <w:spacing w:before="60" w:after="60"/>
              <w:ind w:left="85"/>
            </w:pPr>
            <w:r>
              <w:rPr>
                <w:rFonts w:ascii="Calibri" w:hAnsi="Calibri"/>
                <w:b w:val="0"/>
                <w:i w:val="0"/>
                <w:color w:val="374151"/>
                <w:sz w:val="17"/>
              </w:rPr>
              <w:t>Theo dõi giá Sun Pharma, Cipla generic</w:t>
            </w:r>
          </w:p>
        </w:tc>
      </w:tr>
      <w:tr>
        <w:tc>
          <w:tcPr>
            <w:tcW w:type="dxa" w:w="1701"/>
          </w:tcPr>
          <w:p>
            <w:pPr>
              <w:spacing w:before="60" w:after="60"/>
              <w:ind w:left="85"/>
            </w:pPr>
            <w:r>
              <w:rPr>
                <w:rFonts w:ascii="Calibri" w:hAnsi="Calibri"/>
                <w:b/>
                <w:i w:val="0"/>
                <w:color w:val="003B71"/>
                <w:sz w:val="17"/>
              </w:rPr>
              <w:t>DRYCHES</w:t>
            </w:r>
          </w:p>
        </w:tc>
        <w:tc>
          <w:tcPr>
            <w:tcW w:type="dxa" w:w="2381"/>
          </w:tcPr>
          <w:p>
            <w:pPr>
              <w:spacing w:before="60" w:after="60"/>
              <w:ind w:left="85"/>
            </w:pPr>
            <w:r>
              <w:rPr>
                <w:rFonts w:ascii="Calibri" w:hAnsi="Calibri"/>
                <w:b w:val="0"/>
                <w:i w:val="0"/>
                <w:color w:val="374151"/>
                <w:sz w:val="17"/>
              </w:rPr>
              <w:t>Dutasteride 0.5mg</w:t>
            </w:r>
          </w:p>
        </w:tc>
        <w:tc>
          <w:tcPr>
            <w:tcW w:type="dxa" w:w="1134"/>
          </w:tcPr>
          <w:p>
            <w:pPr>
              <w:spacing w:before="60" w:after="60"/>
              <w:ind w:left="85"/>
            </w:pPr>
            <w:r>
              <w:rPr>
                <w:rFonts w:ascii="Calibri" w:hAnsi="Calibri"/>
                <w:b w:val="0"/>
                <w:i w:val="0"/>
                <w:color w:val="374151"/>
                <w:sz w:val="17"/>
              </w:rPr>
              <w:t>378,000 VND /hộp</w:t>
            </w:r>
          </w:p>
        </w:tc>
        <w:tc>
          <w:tcPr>
            <w:tcW w:type="dxa" w:w="1247"/>
            <w:shd w:val="clear" w:color="auto" w:fill="EFF6FF"/>
          </w:tcPr>
          <w:p>
            <w:pPr>
              <w:spacing w:before="60" w:after="60"/>
              <w:ind w:left="85"/>
            </w:pPr>
            <w:r>
              <w:rPr>
                <w:rFonts w:ascii="Calibri" w:hAnsi="Calibri"/>
                <w:b/>
                <w:i w:val="0"/>
                <w:color w:val="0056D2"/>
                <w:sz w:val="17"/>
              </w:rPr>
              <w:t>Cơ hội</w:t>
            </w:r>
          </w:p>
        </w:tc>
        <w:tc>
          <w:tcPr>
            <w:tcW w:type="dxa" w:w="2608"/>
          </w:tcPr>
          <w:p>
            <w:pPr>
              <w:spacing w:before="60" w:after="60"/>
              <w:ind w:left="85"/>
            </w:pPr>
            <w:r>
              <w:rPr>
                <w:rFonts w:ascii="Calibri" w:hAnsi="Calibri"/>
                <w:b w:val="0"/>
                <w:i w:val="0"/>
                <w:color w:val="374151"/>
                <w:sz w:val="17"/>
              </w:rPr>
              <w:t>BPH – thị trường còn ít cạnh tranh</w:t>
            </w:r>
          </w:p>
        </w:tc>
      </w:tr>
      <w:tr>
        <w:tc>
          <w:tcPr>
            <w:tcW w:type="dxa" w:w="1701"/>
          </w:tcPr>
          <w:p>
            <w:pPr>
              <w:spacing w:before="60" w:after="60"/>
              <w:ind w:left="85"/>
            </w:pPr>
            <w:r>
              <w:rPr>
                <w:rFonts w:ascii="Calibri" w:hAnsi="Calibri"/>
                <w:b/>
                <w:i w:val="0"/>
                <w:color w:val="003B71"/>
                <w:sz w:val="17"/>
              </w:rPr>
              <w:t>PECHAUNOX 4/10</w:t>
            </w:r>
          </w:p>
        </w:tc>
        <w:tc>
          <w:tcPr>
            <w:tcW w:type="dxa" w:w="2381"/>
          </w:tcPr>
          <w:p>
            <w:pPr>
              <w:spacing w:before="60" w:after="60"/>
              <w:ind w:left="85"/>
            </w:pPr>
            <w:r>
              <w:rPr>
                <w:rFonts w:ascii="Calibri" w:hAnsi="Calibri"/>
                <w:b w:val="0"/>
                <w:i w:val="0"/>
                <w:color w:val="374151"/>
                <w:sz w:val="17"/>
              </w:rPr>
              <w:t>Perindopril + Amlodipin</w:t>
            </w:r>
          </w:p>
        </w:tc>
        <w:tc>
          <w:tcPr>
            <w:tcW w:type="dxa" w:w="1134"/>
          </w:tcPr>
          <w:p>
            <w:pPr>
              <w:spacing w:before="60" w:after="60"/>
              <w:ind w:left="85"/>
            </w:pPr>
            <w:r>
              <w:rPr>
                <w:rFonts w:ascii="Calibri" w:hAnsi="Calibri"/>
                <w:b w:val="0"/>
                <w:i w:val="0"/>
                <w:color w:val="374151"/>
                <w:sz w:val="17"/>
              </w:rPr>
              <w:t>182,070 VND /hộp</w:t>
            </w:r>
          </w:p>
        </w:tc>
        <w:tc>
          <w:tcPr>
            <w:tcW w:type="dxa" w:w="1247"/>
            <w:shd w:val="clear" w:color="auto" w:fill="EFF6FF"/>
          </w:tcPr>
          <w:p>
            <w:pPr>
              <w:spacing w:before="60" w:after="60"/>
              <w:ind w:left="85"/>
            </w:pPr>
            <w:r>
              <w:rPr>
                <w:rFonts w:ascii="Calibri" w:hAnsi="Calibri"/>
                <w:b/>
                <w:i w:val="0"/>
                <w:color w:val="0056D2"/>
                <w:sz w:val="17"/>
              </w:rPr>
              <w:t>Ổn định</w:t>
            </w:r>
          </w:p>
        </w:tc>
        <w:tc>
          <w:tcPr>
            <w:tcW w:type="dxa" w:w="2608"/>
          </w:tcPr>
          <w:p>
            <w:pPr>
              <w:spacing w:before="60" w:after="60"/>
              <w:ind w:left="85"/>
            </w:pPr>
            <w:r>
              <w:rPr>
                <w:rFonts w:ascii="Calibri" w:hAnsi="Calibri"/>
                <w:b w:val="0"/>
                <w:i w:val="0"/>
                <w:color w:val="374151"/>
                <w:sz w:val="17"/>
              </w:rPr>
              <w:t>Combo cạnh tranh – theo dõi generic Amlodipine</w:t>
            </w:r>
          </w:p>
        </w:tc>
      </w:tr>
      <w:tr>
        <w:tc>
          <w:tcPr>
            <w:tcW w:type="dxa" w:w="1701"/>
          </w:tcPr>
          <w:p>
            <w:pPr>
              <w:spacing w:before="60" w:after="60"/>
              <w:ind w:left="85"/>
            </w:pPr>
            <w:r>
              <w:rPr>
                <w:rFonts w:ascii="Calibri" w:hAnsi="Calibri"/>
                <w:b/>
                <w:i w:val="0"/>
                <w:color w:val="003B71"/>
                <w:sz w:val="17"/>
              </w:rPr>
              <w:t>RAVASTEL-20</w:t>
            </w:r>
          </w:p>
        </w:tc>
        <w:tc>
          <w:tcPr>
            <w:tcW w:type="dxa" w:w="2381"/>
          </w:tcPr>
          <w:p>
            <w:pPr>
              <w:spacing w:before="60" w:after="60"/>
              <w:ind w:left="85"/>
            </w:pPr>
            <w:r>
              <w:rPr>
                <w:rFonts w:ascii="Calibri" w:hAnsi="Calibri"/>
                <w:b w:val="0"/>
                <w:i w:val="0"/>
                <w:color w:val="374151"/>
                <w:sz w:val="17"/>
              </w:rPr>
              <w:t>Rosuvastatin 20mg</w:t>
            </w:r>
          </w:p>
        </w:tc>
        <w:tc>
          <w:tcPr>
            <w:tcW w:type="dxa" w:w="1134"/>
          </w:tcPr>
          <w:p>
            <w:pPr>
              <w:spacing w:before="60" w:after="60"/>
              <w:ind w:left="85"/>
            </w:pPr>
            <w:r>
              <w:rPr>
                <w:rFonts w:ascii="Calibri" w:hAnsi="Calibri"/>
                <w:b w:val="0"/>
                <w:i w:val="0"/>
                <w:color w:val="374151"/>
                <w:sz w:val="17"/>
              </w:rPr>
              <w:t>47,250 VND /hộp</w:t>
            </w:r>
          </w:p>
        </w:tc>
        <w:tc>
          <w:tcPr>
            <w:tcW w:type="dxa" w:w="1247"/>
            <w:shd w:val="clear" w:color="auto" w:fill="FFF7ED"/>
          </w:tcPr>
          <w:p>
            <w:pPr>
              <w:spacing w:before="60" w:after="60"/>
              <w:ind w:left="85"/>
            </w:pPr>
            <w:r>
              <w:rPr>
                <w:rFonts w:ascii="Calibri" w:hAnsi="Calibri"/>
                <w:b/>
                <w:i w:val="0"/>
                <w:color w:val="D97706"/>
                <w:sz w:val="17"/>
              </w:rPr>
              <w:t>Cạnh tranh</w:t>
            </w:r>
          </w:p>
        </w:tc>
        <w:tc>
          <w:tcPr>
            <w:tcW w:type="dxa" w:w="2608"/>
          </w:tcPr>
          <w:p>
            <w:pPr>
              <w:spacing w:before="60" w:after="60"/>
              <w:ind w:left="85"/>
            </w:pPr>
            <w:r>
              <w:rPr>
                <w:rFonts w:ascii="Calibri" w:hAnsi="Calibri"/>
                <w:b w:val="0"/>
                <w:i w:val="0"/>
                <w:color w:val="374151"/>
                <w:sz w:val="17"/>
              </w:rPr>
              <w:t>Statin – cạnh tranh cao với Atorvastatin generic</w:t>
            </w:r>
          </w:p>
        </w:tc>
      </w:tr>
      <w:tr>
        <w:tc>
          <w:tcPr>
            <w:tcW w:type="dxa" w:w="1701"/>
          </w:tcPr>
          <w:p>
            <w:pPr>
              <w:spacing w:before="60" w:after="60"/>
              <w:ind w:left="85"/>
            </w:pPr>
            <w:r>
              <w:rPr>
                <w:rFonts w:ascii="Calibri" w:hAnsi="Calibri"/>
                <w:b/>
                <w:i w:val="0"/>
                <w:color w:val="003B71"/>
                <w:sz w:val="17"/>
              </w:rPr>
              <w:t>TABAREX-160</w:t>
            </w:r>
          </w:p>
        </w:tc>
        <w:tc>
          <w:tcPr>
            <w:tcW w:type="dxa" w:w="2381"/>
          </w:tcPr>
          <w:p>
            <w:pPr>
              <w:spacing w:before="60" w:after="60"/>
              <w:ind w:left="85"/>
            </w:pPr>
            <w:r>
              <w:rPr>
                <w:rFonts w:ascii="Calibri" w:hAnsi="Calibri"/>
                <w:b w:val="0"/>
                <w:i w:val="0"/>
                <w:color w:val="374151"/>
                <w:sz w:val="17"/>
              </w:rPr>
              <w:t>Valsartan 160mg</w:t>
            </w:r>
          </w:p>
        </w:tc>
        <w:tc>
          <w:tcPr>
            <w:tcW w:type="dxa" w:w="1134"/>
          </w:tcPr>
          <w:p>
            <w:pPr>
              <w:spacing w:before="60" w:after="60"/>
              <w:ind w:left="85"/>
            </w:pPr>
            <w:r>
              <w:rPr>
                <w:rFonts w:ascii="Calibri" w:hAnsi="Calibri"/>
                <w:b w:val="0"/>
                <w:i w:val="0"/>
                <w:color w:val="374151"/>
                <w:sz w:val="17"/>
              </w:rPr>
              <w:t>163,800 VND /hộp</w:t>
            </w:r>
          </w:p>
        </w:tc>
        <w:tc>
          <w:tcPr>
            <w:tcW w:type="dxa" w:w="1247"/>
            <w:shd w:val="clear" w:color="auto" w:fill="EFF6FF"/>
          </w:tcPr>
          <w:p>
            <w:pPr>
              <w:spacing w:before="60" w:after="60"/>
              <w:ind w:left="85"/>
            </w:pPr>
            <w:r>
              <w:rPr>
                <w:rFonts w:ascii="Calibri" w:hAnsi="Calibri"/>
                <w:b/>
                <w:i w:val="0"/>
                <w:color w:val="0056D2"/>
                <w:sz w:val="17"/>
              </w:rPr>
              <w:t>Ổn định</w:t>
            </w:r>
          </w:p>
        </w:tc>
        <w:tc>
          <w:tcPr>
            <w:tcW w:type="dxa" w:w="2608"/>
          </w:tcPr>
          <w:p>
            <w:pPr>
              <w:spacing w:before="60" w:after="60"/>
              <w:ind w:left="85"/>
            </w:pPr>
            <w:r>
              <w:rPr>
                <w:rFonts w:ascii="Calibri" w:hAnsi="Calibri"/>
                <w:b w:val="0"/>
                <w:i w:val="0"/>
                <w:color w:val="374151"/>
                <w:sz w:val="17"/>
              </w:rPr>
              <w:t>Duy trì kênh OTC &amp; ETC tuyến tỉnh</w:t>
            </w:r>
          </w:p>
        </w:tc>
      </w:tr>
      <w:tr>
        <w:tc>
          <w:tcPr>
            <w:tcW w:type="dxa" w:w="1701"/>
          </w:tcPr>
          <w:p>
            <w:pPr>
              <w:spacing w:before="60" w:after="60"/>
              <w:ind w:left="85"/>
            </w:pPr>
            <w:r>
              <w:rPr>
                <w:rFonts w:ascii="Calibri" w:hAnsi="Calibri"/>
                <w:b/>
                <w:i w:val="0"/>
                <w:color w:val="003B71"/>
                <w:sz w:val="17"/>
              </w:rPr>
              <w:t>HATLOP-150</w:t>
            </w:r>
          </w:p>
        </w:tc>
        <w:tc>
          <w:tcPr>
            <w:tcW w:type="dxa" w:w="2381"/>
          </w:tcPr>
          <w:p>
            <w:pPr>
              <w:spacing w:before="60" w:after="60"/>
              <w:ind w:left="85"/>
            </w:pPr>
            <w:r>
              <w:rPr>
                <w:rFonts w:ascii="Calibri" w:hAnsi="Calibri"/>
                <w:b w:val="0"/>
                <w:i w:val="0"/>
                <w:color w:val="374151"/>
                <w:sz w:val="17"/>
              </w:rPr>
              <w:t>Irbesartan 150mg</w:t>
            </w:r>
          </w:p>
        </w:tc>
        <w:tc>
          <w:tcPr>
            <w:tcW w:type="dxa" w:w="1134"/>
          </w:tcPr>
          <w:p>
            <w:pPr>
              <w:spacing w:before="60" w:after="60"/>
              <w:ind w:left="85"/>
            </w:pPr>
            <w:r>
              <w:rPr>
                <w:rFonts w:ascii="Calibri" w:hAnsi="Calibri"/>
                <w:b w:val="0"/>
                <w:i w:val="0"/>
                <w:color w:val="374151"/>
                <w:sz w:val="17"/>
              </w:rPr>
              <w:t>210,000 VND /hộp</w:t>
            </w:r>
          </w:p>
        </w:tc>
        <w:tc>
          <w:tcPr>
            <w:tcW w:type="dxa" w:w="1247"/>
            <w:shd w:val="clear" w:color="auto" w:fill="EFF6FF"/>
          </w:tcPr>
          <w:p>
            <w:pPr>
              <w:spacing w:before="60" w:after="60"/>
              <w:ind w:left="85"/>
            </w:pPr>
            <w:r>
              <w:rPr>
                <w:rFonts w:ascii="Calibri" w:hAnsi="Calibri"/>
                <w:b/>
                <w:i w:val="0"/>
                <w:color w:val="0056D2"/>
                <w:sz w:val="17"/>
              </w:rPr>
              <w:t>Ổn định</w:t>
            </w:r>
          </w:p>
        </w:tc>
        <w:tc>
          <w:tcPr>
            <w:tcW w:type="dxa" w:w="2608"/>
          </w:tcPr>
          <w:p>
            <w:pPr>
              <w:spacing w:before="60" w:after="60"/>
              <w:ind w:left="85"/>
            </w:pPr>
            <w:r>
              <w:rPr>
                <w:rFonts w:ascii="Calibri" w:hAnsi="Calibri"/>
                <w:b w:val="0"/>
                <w:i w:val="0"/>
                <w:color w:val="374151"/>
                <w:sz w:val="17"/>
              </w:rPr>
              <w:t>Duy trì thầu bệnh viện tuyến tỉnh</w:t>
            </w:r>
          </w:p>
        </w:tc>
      </w:tr>
      <w:tr>
        <w:tc>
          <w:tcPr>
            <w:tcW w:type="dxa" w:w="1701"/>
          </w:tcPr>
          <w:p>
            <w:pPr>
              <w:spacing w:before="60" w:after="60"/>
              <w:ind w:left="85"/>
            </w:pPr>
            <w:r>
              <w:rPr>
                <w:rFonts w:ascii="Calibri" w:hAnsi="Calibri"/>
                <w:b/>
                <w:i w:val="0"/>
                <w:color w:val="003B71"/>
                <w:sz w:val="17"/>
              </w:rPr>
              <w:t>ZABALES</w:t>
            </w:r>
          </w:p>
        </w:tc>
        <w:tc>
          <w:tcPr>
            <w:tcW w:type="dxa" w:w="2381"/>
          </w:tcPr>
          <w:p>
            <w:pPr>
              <w:spacing w:before="60" w:after="60"/>
              <w:ind w:left="85"/>
            </w:pPr>
            <w:r>
              <w:rPr>
                <w:rFonts w:ascii="Calibri" w:hAnsi="Calibri"/>
                <w:b w:val="0"/>
                <w:i w:val="0"/>
                <w:color w:val="374151"/>
                <w:sz w:val="17"/>
              </w:rPr>
              <w:t>Clopidogrel 75mg</w:t>
            </w:r>
          </w:p>
        </w:tc>
        <w:tc>
          <w:tcPr>
            <w:tcW w:type="dxa" w:w="1134"/>
          </w:tcPr>
          <w:p>
            <w:pPr>
              <w:spacing w:before="60" w:after="60"/>
              <w:ind w:left="85"/>
            </w:pPr>
            <w:r>
              <w:rPr>
                <w:rFonts w:ascii="Calibri" w:hAnsi="Calibri"/>
                <w:b w:val="0"/>
                <w:i w:val="0"/>
                <w:color w:val="374151"/>
                <w:sz w:val="17"/>
              </w:rPr>
              <w:t>31,920 VND /hộp</w:t>
            </w:r>
          </w:p>
        </w:tc>
        <w:tc>
          <w:tcPr>
            <w:tcW w:type="dxa" w:w="1247"/>
            <w:shd w:val="clear" w:color="auto" w:fill="FFF7ED"/>
          </w:tcPr>
          <w:p>
            <w:pPr>
              <w:spacing w:before="60" w:after="60"/>
              <w:ind w:left="85"/>
            </w:pPr>
            <w:r>
              <w:rPr>
                <w:rFonts w:ascii="Calibri" w:hAnsi="Calibri"/>
                <w:b/>
                <w:i w:val="0"/>
                <w:color w:val="D97706"/>
                <w:sz w:val="17"/>
              </w:rPr>
              <w:t>Cạnh tranh</w:t>
            </w:r>
          </w:p>
        </w:tc>
        <w:tc>
          <w:tcPr>
            <w:tcW w:type="dxa" w:w="2608"/>
          </w:tcPr>
          <w:p>
            <w:pPr>
              <w:spacing w:before="60" w:after="60"/>
              <w:ind w:left="85"/>
            </w:pPr>
            <w:r>
              <w:rPr>
                <w:rFonts w:ascii="Calibri" w:hAnsi="Calibri"/>
                <w:b w:val="0"/>
                <w:i w:val="0"/>
                <w:color w:val="374151"/>
                <w:sz w:val="17"/>
              </w:rPr>
              <w:t>Cạnh tranh cao – cần bảo vệ giá thầu</w:t>
            </w:r>
          </w:p>
        </w:tc>
      </w:tr>
      <w:tr>
        <w:tc>
          <w:tcPr>
            <w:tcW w:type="dxa" w:w="1701"/>
          </w:tcPr>
          <w:p>
            <w:pPr>
              <w:spacing w:before="60" w:after="60"/>
              <w:ind w:left="85"/>
            </w:pPr>
            <w:r>
              <w:rPr>
                <w:rFonts w:ascii="Calibri" w:hAnsi="Calibri"/>
                <w:b/>
                <w:i w:val="0"/>
                <w:color w:val="003B71"/>
                <w:sz w:val="17"/>
              </w:rPr>
              <w:t>MAGRAX</w:t>
            </w:r>
          </w:p>
        </w:tc>
        <w:tc>
          <w:tcPr>
            <w:tcW w:type="dxa" w:w="2381"/>
          </w:tcPr>
          <w:p>
            <w:pPr>
              <w:spacing w:before="60" w:after="60"/>
              <w:ind w:left="85"/>
            </w:pPr>
            <w:r>
              <w:rPr>
                <w:rFonts w:ascii="Calibri" w:hAnsi="Calibri"/>
                <w:b w:val="0"/>
                <w:i w:val="0"/>
                <w:color w:val="374151"/>
                <w:sz w:val="17"/>
              </w:rPr>
              <w:t>Etoricoxib 90mg</w:t>
            </w:r>
          </w:p>
        </w:tc>
        <w:tc>
          <w:tcPr>
            <w:tcW w:type="dxa" w:w="1134"/>
          </w:tcPr>
          <w:p>
            <w:pPr>
              <w:spacing w:before="60" w:after="60"/>
              <w:ind w:left="85"/>
            </w:pPr>
            <w:r>
              <w:rPr>
                <w:rFonts w:ascii="Calibri" w:hAnsi="Calibri"/>
                <w:b w:val="0"/>
                <w:i w:val="0"/>
                <w:color w:val="374151"/>
                <w:sz w:val="17"/>
              </w:rPr>
              <w:t>215,000 VND /hộp</w:t>
            </w:r>
          </w:p>
        </w:tc>
        <w:tc>
          <w:tcPr>
            <w:tcW w:type="dxa" w:w="1247"/>
            <w:shd w:val="clear" w:color="auto" w:fill="EFF6FF"/>
          </w:tcPr>
          <w:p>
            <w:pPr>
              <w:spacing w:before="60" w:after="60"/>
              <w:ind w:left="85"/>
            </w:pPr>
            <w:r>
              <w:rPr>
                <w:rFonts w:ascii="Calibri" w:hAnsi="Calibri"/>
                <w:b/>
                <w:i w:val="0"/>
                <w:color w:val="0056D2"/>
                <w:sz w:val="17"/>
              </w:rPr>
              <w:t>Ổn định</w:t>
            </w:r>
          </w:p>
        </w:tc>
        <w:tc>
          <w:tcPr>
            <w:tcW w:type="dxa" w:w="2608"/>
          </w:tcPr>
          <w:p>
            <w:pPr>
              <w:spacing w:before="60" w:after="60"/>
              <w:ind w:left="85"/>
            </w:pPr>
            <w:r>
              <w:rPr>
                <w:rFonts w:ascii="Calibri" w:hAnsi="Calibri"/>
                <w:b w:val="0"/>
                <w:i w:val="0"/>
                <w:color w:val="374151"/>
                <w:sz w:val="17"/>
              </w:rPr>
              <w:t>COX-2 – theo dõi xu hướng điều trị Gout</w:t>
            </w:r>
          </w:p>
        </w:tc>
      </w:tr>
      <w:tr>
        <w:tc>
          <w:tcPr>
            <w:tcW w:type="dxa" w:w="1701"/>
          </w:tcPr>
          <w:p>
            <w:pPr>
              <w:spacing w:before="60" w:after="60"/>
              <w:ind w:left="85"/>
            </w:pPr>
            <w:r>
              <w:rPr>
                <w:rFonts w:ascii="Calibri" w:hAnsi="Calibri"/>
                <w:b/>
                <w:i w:val="0"/>
                <w:color w:val="003B71"/>
                <w:sz w:val="17"/>
              </w:rPr>
              <w:t>ZENTOGOUT-40</w:t>
            </w:r>
          </w:p>
        </w:tc>
        <w:tc>
          <w:tcPr>
            <w:tcW w:type="dxa" w:w="2381"/>
          </w:tcPr>
          <w:p>
            <w:pPr>
              <w:spacing w:before="60" w:after="60"/>
              <w:ind w:left="85"/>
            </w:pPr>
            <w:r>
              <w:rPr>
                <w:rFonts w:ascii="Calibri" w:hAnsi="Calibri"/>
                <w:b w:val="0"/>
                <w:i w:val="0"/>
                <w:color w:val="374151"/>
                <w:sz w:val="17"/>
              </w:rPr>
              <w:t>Febuxostat 40mg</w:t>
            </w:r>
          </w:p>
        </w:tc>
        <w:tc>
          <w:tcPr>
            <w:tcW w:type="dxa" w:w="1134"/>
          </w:tcPr>
          <w:p>
            <w:pPr>
              <w:spacing w:before="60" w:after="60"/>
              <w:ind w:left="85"/>
            </w:pPr>
            <w:r>
              <w:rPr>
                <w:rFonts w:ascii="Calibri" w:hAnsi="Calibri"/>
                <w:b w:val="0"/>
                <w:i w:val="0"/>
                <w:color w:val="374151"/>
                <w:sz w:val="17"/>
              </w:rPr>
              <w:t>240,000 VND /hộp</w:t>
            </w:r>
          </w:p>
        </w:tc>
        <w:tc>
          <w:tcPr>
            <w:tcW w:type="dxa" w:w="1247"/>
            <w:shd w:val="clear" w:color="auto" w:fill="EFF6FF"/>
          </w:tcPr>
          <w:p>
            <w:pPr>
              <w:spacing w:before="60" w:after="60"/>
              <w:ind w:left="85"/>
            </w:pPr>
            <w:r>
              <w:rPr>
                <w:rFonts w:ascii="Calibri" w:hAnsi="Calibri"/>
                <w:b/>
                <w:i w:val="0"/>
                <w:color w:val="0056D2"/>
                <w:sz w:val="17"/>
              </w:rPr>
              <w:t>Cơ hội</w:t>
            </w:r>
          </w:p>
        </w:tc>
        <w:tc>
          <w:tcPr>
            <w:tcW w:type="dxa" w:w="2608"/>
          </w:tcPr>
          <w:p>
            <w:pPr>
              <w:spacing w:before="60" w:after="60"/>
              <w:ind w:left="85"/>
            </w:pPr>
            <w:r>
              <w:rPr>
                <w:rFonts w:ascii="Calibri" w:hAnsi="Calibri"/>
                <w:b w:val="0"/>
                <w:i w:val="0"/>
                <w:color w:val="374151"/>
                <w:sz w:val="17"/>
              </w:rPr>
              <w:t>Thay thế Allopurinol – đang tăng trưởng</w:t>
            </w:r>
          </w:p>
        </w:tc>
      </w:tr>
      <w:tr>
        <w:tc>
          <w:tcPr>
            <w:tcW w:type="dxa" w:w="1701"/>
          </w:tcPr>
          <w:p>
            <w:pPr>
              <w:spacing w:before="60" w:after="60"/>
              <w:ind w:left="85"/>
            </w:pPr>
            <w:r>
              <w:rPr>
                <w:rFonts w:ascii="Calibri" w:hAnsi="Calibri"/>
                <w:b/>
                <w:i w:val="0"/>
                <w:color w:val="003B71"/>
                <w:sz w:val="17"/>
              </w:rPr>
              <w:t>JIRACEK</w:t>
            </w:r>
          </w:p>
        </w:tc>
        <w:tc>
          <w:tcPr>
            <w:tcW w:type="dxa" w:w="2381"/>
          </w:tcPr>
          <w:p>
            <w:pPr>
              <w:spacing w:before="60" w:after="60"/>
              <w:ind w:left="85"/>
            </w:pPr>
            <w:r>
              <w:rPr>
                <w:rFonts w:ascii="Calibri" w:hAnsi="Calibri"/>
                <w:b w:val="0"/>
                <w:i w:val="0"/>
                <w:color w:val="374151"/>
                <w:sz w:val="17"/>
              </w:rPr>
              <w:t>Esomeprazole 40mg</w:t>
            </w:r>
          </w:p>
        </w:tc>
        <w:tc>
          <w:tcPr>
            <w:tcW w:type="dxa" w:w="1134"/>
          </w:tcPr>
          <w:p>
            <w:pPr>
              <w:spacing w:before="60" w:after="60"/>
              <w:ind w:left="85"/>
            </w:pPr>
            <w:r>
              <w:rPr>
                <w:rFonts w:ascii="Calibri" w:hAnsi="Calibri"/>
                <w:b w:val="0"/>
                <w:i w:val="0"/>
                <w:color w:val="374151"/>
                <w:sz w:val="17"/>
              </w:rPr>
              <w:t>89,600 VND /hộp</w:t>
            </w:r>
          </w:p>
        </w:tc>
        <w:tc>
          <w:tcPr>
            <w:tcW w:type="dxa" w:w="1247"/>
            <w:shd w:val="clear" w:color="auto" w:fill="FFF7ED"/>
          </w:tcPr>
          <w:p>
            <w:pPr>
              <w:spacing w:before="60" w:after="60"/>
              <w:ind w:left="85"/>
            </w:pPr>
            <w:r>
              <w:rPr>
                <w:rFonts w:ascii="Calibri" w:hAnsi="Calibri"/>
                <w:b/>
                <w:i w:val="0"/>
                <w:color w:val="D97706"/>
                <w:sz w:val="17"/>
              </w:rPr>
              <w:t>Cạnh tranh</w:t>
            </w:r>
          </w:p>
        </w:tc>
        <w:tc>
          <w:tcPr>
            <w:tcW w:type="dxa" w:w="2608"/>
          </w:tcPr>
          <w:p>
            <w:pPr>
              <w:spacing w:before="60" w:after="60"/>
              <w:ind w:left="85"/>
            </w:pPr>
            <w:r>
              <w:rPr>
                <w:rFonts w:ascii="Calibri" w:hAnsi="Calibri"/>
                <w:b w:val="0"/>
                <w:i w:val="0"/>
                <w:color w:val="374151"/>
                <w:sz w:val="17"/>
              </w:rPr>
              <w:t>PPI – thị trường cạnh tranh, bảo vệ ETC</w:t>
            </w:r>
          </w:p>
        </w:tc>
      </w:tr>
      <w:tr>
        <w:tc>
          <w:tcPr>
            <w:tcW w:type="dxa" w:w="1701"/>
          </w:tcPr>
          <w:p>
            <w:pPr>
              <w:spacing w:before="60" w:after="60"/>
              <w:ind w:left="85"/>
            </w:pPr>
            <w:r>
              <w:rPr>
                <w:rFonts w:ascii="Calibri" w:hAnsi="Calibri"/>
                <w:b/>
                <w:i w:val="0"/>
                <w:color w:val="003B71"/>
                <w:sz w:val="17"/>
              </w:rPr>
              <w:t>SERNAL-4</w:t>
            </w:r>
          </w:p>
        </w:tc>
        <w:tc>
          <w:tcPr>
            <w:tcW w:type="dxa" w:w="2381"/>
          </w:tcPr>
          <w:p>
            <w:pPr>
              <w:spacing w:before="60" w:after="60"/>
              <w:ind w:left="85"/>
            </w:pPr>
            <w:r>
              <w:rPr>
                <w:rFonts w:ascii="Calibri" w:hAnsi="Calibri"/>
                <w:b w:val="0"/>
                <w:i w:val="0"/>
                <w:color w:val="374151"/>
                <w:sz w:val="17"/>
              </w:rPr>
              <w:t>Risperidone 4mg</w:t>
            </w:r>
          </w:p>
        </w:tc>
        <w:tc>
          <w:tcPr>
            <w:tcW w:type="dxa" w:w="1134"/>
          </w:tcPr>
          <w:p>
            <w:pPr>
              <w:spacing w:before="60" w:after="60"/>
              <w:ind w:left="85"/>
            </w:pPr>
            <w:r>
              <w:rPr>
                <w:rFonts w:ascii="Calibri" w:hAnsi="Calibri"/>
                <w:b w:val="0"/>
                <w:i w:val="0"/>
                <w:color w:val="374151"/>
                <w:sz w:val="17"/>
              </w:rPr>
              <w:t>315,000 VND /hộp</w:t>
            </w:r>
          </w:p>
        </w:tc>
        <w:tc>
          <w:tcPr>
            <w:tcW w:type="dxa" w:w="1247"/>
            <w:shd w:val="clear" w:color="auto" w:fill="EFF6FF"/>
          </w:tcPr>
          <w:p>
            <w:pPr>
              <w:spacing w:before="60" w:after="60"/>
              <w:ind w:left="85"/>
            </w:pPr>
            <w:r>
              <w:rPr>
                <w:rFonts w:ascii="Calibri" w:hAnsi="Calibri"/>
                <w:b/>
                <w:i w:val="0"/>
                <w:color w:val="0056D2"/>
                <w:sz w:val="17"/>
              </w:rPr>
              <w:t>Ổn định</w:t>
            </w:r>
          </w:p>
        </w:tc>
        <w:tc>
          <w:tcPr>
            <w:tcW w:type="dxa" w:w="2608"/>
          </w:tcPr>
          <w:p>
            <w:pPr>
              <w:spacing w:before="60" w:after="60"/>
              <w:ind w:left="85"/>
            </w:pPr>
            <w:r>
              <w:rPr>
                <w:rFonts w:ascii="Calibri" w:hAnsi="Calibri"/>
                <w:b w:val="0"/>
                <w:i w:val="0"/>
                <w:color w:val="374151"/>
                <w:sz w:val="17"/>
              </w:rPr>
              <w:t>Duy trì kênh ETC bệnh viện chuyên khoa</w:t>
            </w:r>
          </w:p>
        </w:tc>
      </w:tr>
      <w:tr>
        <w:tc>
          <w:tcPr>
            <w:tcW w:type="dxa" w:w="1701"/>
          </w:tcPr>
          <w:p>
            <w:pPr>
              <w:spacing w:before="60" w:after="60"/>
              <w:ind w:left="85"/>
            </w:pPr>
            <w:r>
              <w:rPr>
                <w:rFonts w:ascii="Calibri" w:hAnsi="Calibri"/>
                <w:b/>
                <w:i w:val="0"/>
                <w:color w:val="003B71"/>
                <w:sz w:val="17"/>
              </w:rPr>
              <w:t>LAFAXOR</w:t>
            </w:r>
          </w:p>
        </w:tc>
        <w:tc>
          <w:tcPr>
            <w:tcW w:type="dxa" w:w="2381"/>
          </w:tcPr>
          <w:p>
            <w:pPr>
              <w:spacing w:before="60" w:after="60"/>
              <w:ind w:left="85"/>
            </w:pPr>
            <w:r>
              <w:rPr>
                <w:rFonts w:ascii="Calibri" w:hAnsi="Calibri"/>
                <w:b w:val="0"/>
                <w:i w:val="0"/>
                <w:color w:val="374151"/>
                <w:sz w:val="17"/>
              </w:rPr>
              <w:t>Venlafaxine</w:t>
            </w:r>
          </w:p>
        </w:tc>
        <w:tc>
          <w:tcPr>
            <w:tcW w:type="dxa" w:w="1134"/>
          </w:tcPr>
          <w:p>
            <w:pPr>
              <w:spacing w:before="60" w:after="60"/>
              <w:ind w:left="85"/>
            </w:pPr>
            <w:r>
              <w:rPr>
                <w:rFonts w:ascii="Calibri" w:hAnsi="Calibri"/>
                <w:b w:val="0"/>
                <w:i w:val="0"/>
                <w:color w:val="374151"/>
                <w:sz w:val="17"/>
              </w:rPr>
              <w:t>159,000 VND /hộp</w:t>
            </w:r>
          </w:p>
        </w:tc>
        <w:tc>
          <w:tcPr>
            <w:tcW w:type="dxa" w:w="1247"/>
            <w:shd w:val="clear" w:color="auto" w:fill="EFF6FF"/>
          </w:tcPr>
          <w:p>
            <w:pPr>
              <w:spacing w:before="60" w:after="60"/>
              <w:ind w:left="85"/>
            </w:pPr>
            <w:r>
              <w:rPr>
                <w:rFonts w:ascii="Calibri" w:hAnsi="Calibri"/>
                <w:b/>
                <w:i w:val="0"/>
                <w:color w:val="0056D2"/>
                <w:sz w:val="17"/>
              </w:rPr>
              <w:t>Ổn định</w:t>
            </w:r>
          </w:p>
        </w:tc>
        <w:tc>
          <w:tcPr>
            <w:tcW w:type="dxa" w:w="2608"/>
          </w:tcPr>
          <w:p>
            <w:pPr>
              <w:spacing w:before="60" w:after="60"/>
              <w:ind w:left="85"/>
            </w:pPr>
            <w:r>
              <w:rPr>
                <w:rFonts w:ascii="Calibri" w:hAnsi="Calibri"/>
                <w:b w:val="0"/>
                <w:i w:val="0"/>
                <w:color w:val="374151"/>
                <w:sz w:val="17"/>
              </w:rPr>
              <w:t>Kênh phòng khám tư nhân – tiềm năng tăng</w:t>
            </w:r>
          </w:p>
        </w:tc>
      </w:tr>
      <w:tr>
        <w:tc>
          <w:tcPr>
            <w:tcW w:type="dxa" w:w="1701"/>
          </w:tcPr>
          <w:p>
            <w:pPr>
              <w:spacing w:before="60" w:after="60"/>
              <w:ind w:left="85"/>
            </w:pPr>
            <w:r>
              <w:rPr>
                <w:rFonts w:ascii="Calibri" w:hAnsi="Calibri"/>
                <w:b/>
                <w:i w:val="0"/>
                <w:color w:val="003B71"/>
                <w:sz w:val="17"/>
              </w:rPr>
              <w:t>HYYR</w:t>
            </w:r>
          </w:p>
        </w:tc>
        <w:tc>
          <w:tcPr>
            <w:tcW w:type="dxa" w:w="2381"/>
          </w:tcPr>
          <w:p>
            <w:pPr>
              <w:spacing w:before="60" w:after="60"/>
              <w:ind w:left="85"/>
            </w:pPr>
            <w:r>
              <w:rPr>
                <w:rFonts w:ascii="Calibri" w:hAnsi="Calibri"/>
                <w:b w:val="0"/>
                <w:i w:val="0"/>
                <w:color w:val="374151"/>
                <w:sz w:val="17"/>
              </w:rPr>
              <w:t>Erlotinib</w:t>
            </w:r>
          </w:p>
        </w:tc>
        <w:tc>
          <w:tcPr>
            <w:tcW w:type="dxa" w:w="1134"/>
          </w:tcPr>
          <w:p>
            <w:pPr>
              <w:spacing w:before="60" w:after="60"/>
              <w:ind w:left="85"/>
            </w:pPr>
            <w:r>
              <w:rPr>
                <w:rFonts w:ascii="Calibri" w:hAnsi="Calibri"/>
                <w:b w:val="0"/>
                <w:i w:val="0"/>
                <w:color w:val="374151"/>
                <w:sz w:val="17"/>
              </w:rPr>
              <w:t>1,500,000 VND /hộp</w:t>
            </w:r>
          </w:p>
        </w:tc>
        <w:tc>
          <w:tcPr>
            <w:tcW w:type="dxa" w:w="1247"/>
            <w:shd w:val="clear" w:color="auto" w:fill="E7F9EE"/>
          </w:tcPr>
          <w:p>
            <w:pPr>
              <w:spacing w:before="60" w:after="60"/>
              <w:ind w:left="85"/>
            </w:pPr>
            <w:r>
              <w:rPr>
                <w:rFonts w:ascii="Calibri" w:hAnsi="Calibri"/>
                <w:b/>
                <w:i w:val="0"/>
                <w:color w:val="166534"/>
                <w:sz w:val="17"/>
              </w:rPr>
              <w:t>Cơ hội cao</w:t>
            </w:r>
          </w:p>
        </w:tc>
        <w:tc>
          <w:tcPr>
            <w:tcW w:type="dxa" w:w="2608"/>
          </w:tcPr>
          <w:p>
            <w:pPr>
              <w:spacing w:before="60" w:after="60"/>
              <w:ind w:left="85"/>
            </w:pPr>
            <w:r>
              <w:rPr>
                <w:rFonts w:ascii="Calibri" w:hAnsi="Calibri"/>
                <w:b w:val="0"/>
                <w:i w:val="0"/>
                <w:color w:val="374151"/>
                <w:sz w:val="17"/>
              </w:rPr>
              <w:t>Thuốc đặc trị – ưu tiên thầu bệnh viện ung bướu</w:t>
            </w:r>
          </w:p>
        </w:tc>
      </w:tr>
      <w:tr>
        <w:tc>
          <w:tcPr>
            <w:tcW w:type="dxa" w:w="1701"/>
          </w:tcPr>
          <w:p>
            <w:pPr>
              <w:spacing w:before="60" w:after="60"/>
              <w:ind w:left="85"/>
            </w:pPr>
            <w:r>
              <w:rPr>
                <w:rFonts w:ascii="Calibri" w:hAnsi="Calibri"/>
                <w:b/>
                <w:i w:val="0"/>
                <w:color w:val="003B71"/>
                <w:sz w:val="17"/>
              </w:rPr>
              <w:t>LARRIVEY</w:t>
            </w:r>
          </w:p>
        </w:tc>
        <w:tc>
          <w:tcPr>
            <w:tcW w:type="dxa" w:w="2381"/>
          </w:tcPr>
          <w:p>
            <w:pPr>
              <w:spacing w:before="60" w:after="60"/>
              <w:ind w:left="85"/>
            </w:pPr>
            <w:r>
              <w:rPr>
                <w:rFonts w:ascii="Calibri" w:hAnsi="Calibri"/>
                <w:b w:val="0"/>
                <w:i w:val="0"/>
                <w:color w:val="374151"/>
                <w:sz w:val="17"/>
              </w:rPr>
              <w:t>Bicalutamide</w:t>
            </w:r>
          </w:p>
        </w:tc>
        <w:tc>
          <w:tcPr>
            <w:tcW w:type="dxa" w:w="1134"/>
          </w:tcPr>
          <w:p>
            <w:pPr>
              <w:spacing w:before="60" w:after="60"/>
              <w:ind w:left="85"/>
            </w:pPr>
            <w:r>
              <w:rPr>
                <w:rFonts w:ascii="Calibri" w:hAnsi="Calibri"/>
                <w:b w:val="0"/>
                <w:i w:val="0"/>
                <w:color w:val="374151"/>
                <w:sz w:val="17"/>
              </w:rPr>
              <w:t>823,200 VND /hộp</w:t>
            </w:r>
          </w:p>
        </w:tc>
        <w:tc>
          <w:tcPr>
            <w:tcW w:type="dxa" w:w="1247"/>
            <w:shd w:val="clear" w:color="auto" w:fill="EFF6FF"/>
          </w:tcPr>
          <w:p>
            <w:pPr>
              <w:spacing w:before="60" w:after="60"/>
              <w:ind w:left="85"/>
            </w:pPr>
            <w:r>
              <w:rPr>
                <w:rFonts w:ascii="Calibri" w:hAnsi="Calibri"/>
                <w:b/>
                <w:i w:val="0"/>
                <w:color w:val="0056D2"/>
                <w:sz w:val="17"/>
              </w:rPr>
              <w:t>Ổn định</w:t>
            </w:r>
          </w:p>
        </w:tc>
        <w:tc>
          <w:tcPr>
            <w:tcW w:type="dxa" w:w="2608"/>
          </w:tcPr>
          <w:p>
            <w:pPr>
              <w:spacing w:before="60" w:after="60"/>
              <w:ind w:left="85"/>
            </w:pPr>
            <w:r>
              <w:rPr>
                <w:rFonts w:ascii="Calibri" w:hAnsi="Calibri"/>
                <w:b w:val="0"/>
                <w:i w:val="0"/>
                <w:color w:val="374151"/>
                <w:sz w:val="17"/>
              </w:rPr>
              <w:t>Theo dõi phác đồ bệnh viện – biên lợi nhuận cao</w:t>
            </w:r>
          </w:p>
        </w:tc>
      </w:tr>
      <w:tr>
        <w:tc>
          <w:tcPr>
            <w:tcW w:type="dxa" w:w="1701"/>
          </w:tcPr>
          <w:p>
            <w:pPr>
              <w:spacing w:before="60" w:after="60"/>
              <w:ind w:left="85"/>
            </w:pPr>
            <w:r>
              <w:rPr>
                <w:rFonts w:ascii="Calibri" w:hAnsi="Calibri"/>
                <w:b/>
                <w:i w:val="0"/>
                <w:color w:val="003B71"/>
                <w:sz w:val="17"/>
              </w:rPr>
              <w:t>METILONE-4</w:t>
            </w:r>
          </w:p>
        </w:tc>
        <w:tc>
          <w:tcPr>
            <w:tcW w:type="dxa" w:w="2381"/>
          </w:tcPr>
          <w:p>
            <w:pPr>
              <w:spacing w:before="60" w:after="60"/>
              <w:ind w:left="85"/>
            </w:pPr>
            <w:r>
              <w:rPr>
                <w:rFonts w:ascii="Calibri" w:hAnsi="Calibri"/>
                <w:b w:val="0"/>
                <w:i w:val="0"/>
                <w:color w:val="374151"/>
                <w:sz w:val="17"/>
              </w:rPr>
              <w:t>Methylprednisolone 4mg</w:t>
            </w:r>
          </w:p>
        </w:tc>
        <w:tc>
          <w:tcPr>
            <w:tcW w:type="dxa" w:w="1134"/>
          </w:tcPr>
          <w:p>
            <w:pPr>
              <w:spacing w:before="60" w:after="60"/>
              <w:ind w:left="85"/>
            </w:pPr>
            <w:r>
              <w:rPr>
                <w:rFonts w:ascii="Calibri" w:hAnsi="Calibri"/>
                <w:b w:val="0"/>
                <w:i w:val="0"/>
                <w:color w:val="374151"/>
                <w:sz w:val="17"/>
              </w:rPr>
              <w:t>74,000 VND /hộp</w:t>
            </w:r>
          </w:p>
        </w:tc>
        <w:tc>
          <w:tcPr>
            <w:tcW w:type="dxa" w:w="1247"/>
            <w:shd w:val="clear" w:color="auto" w:fill="EFF6FF"/>
          </w:tcPr>
          <w:p>
            <w:pPr>
              <w:spacing w:before="60" w:after="60"/>
              <w:ind w:left="85"/>
            </w:pPr>
            <w:r>
              <w:rPr>
                <w:rFonts w:ascii="Calibri" w:hAnsi="Calibri"/>
                <w:b/>
                <w:i w:val="0"/>
                <w:color w:val="0056D2"/>
                <w:sz w:val="17"/>
              </w:rPr>
              <w:t>Ổn định</w:t>
            </w:r>
          </w:p>
        </w:tc>
        <w:tc>
          <w:tcPr>
            <w:tcW w:type="dxa" w:w="2608"/>
          </w:tcPr>
          <w:p>
            <w:pPr>
              <w:spacing w:before="60" w:after="60"/>
              <w:ind w:left="85"/>
            </w:pPr>
            <w:r>
              <w:rPr>
                <w:rFonts w:ascii="Calibri" w:hAnsi="Calibri"/>
                <w:b w:val="0"/>
                <w:i w:val="0"/>
                <w:color w:val="374151"/>
                <w:sz w:val="17"/>
              </w:rPr>
              <w:t>Duy trì kênh ETC – theo dõi thầu TT Corticoid</w:t>
            </w:r>
          </w:p>
        </w:tc>
      </w:tr>
    </w:tbl>
    <w:p>
      <w:pPr>
        <w:spacing w:after="200"/>
      </w:pPr>
    </w:p>
    <w:p>
      <w:pPr>
        <w:spacing w:before="320" w:after="120"/>
        <w:pBdr>
          <w:bottom w:val="single" w:sz="8" w:color="003B71"/>
        </w:pBdr>
      </w:pPr>
      <w:r>
        <w:rPr>
          <w:rFonts w:ascii="Calibri" w:hAnsi="Calibri"/>
          <w:b/>
          <w:i w:val="0"/>
          <w:color w:val="003B71"/>
          <w:sz w:val="22"/>
        </w:rPr>
        <w:t>TOP 5 MOST SEARCHED PRODUCTS — DAVIPHARM.INFO</w:t>
      </w:r>
    </w:p>
    <w:p>
      <w:pPr>
        <w:spacing w:before="40" w:after="60"/>
      </w:pPr>
      <w:r>
        <w:rPr>
          <w:rFonts w:ascii="Calibri" w:hAnsi="Calibri"/>
          <w:b w:val="0"/>
          <w:i/>
          <w:color w:val="9CA3AF"/>
          <w:sz w:val="17"/>
        </w:rPr>
        <w:t>Google Search Console  ·  Last 30 days  ·  Data: 13/05/2026</w:t>
      </w:r>
    </w:p>
    <w:p>
      <w:pPr>
        <w:spacing w:before="120" w:after="120"/>
        <w:jc w:val="center"/>
      </w:pPr>
      <w:r>
        <w:drawing>
          <wp:inline xmlns:a="http://schemas.openxmlformats.org/drawingml/2006/main" xmlns:pic="http://schemas.openxmlformats.org/drawingml/2006/picture">
            <wp:extent cx="5580000" cy="2444219"/>
            <wp:docPr id="2" name="Picture 2"/>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580000" cy="2444219"/>
                    </a:xfrm>
                    <a:prstGeom prst="rect"/>
                  </pic:spPr>
                </pic:pic>
              </a:graphicData>
            </a:graphic>
          </wp:inline>
        </w:drawing>
      </w:r>
    </w:p>
    <w:p>
      <w:r>
        <w:br w:type="page"/>
      </w:r>
    </w:p>
    <w:p>
      <w:pPr>
        <w:spacing w:before="320" w:after="120"/>
        <w:pBdr>
          <w:bottom w:val="single" w:sz="8" w:color="003B71"/>
        </w:pBdr>
      </w:pPr>
      <w:r>
        <w:rPr>
          <w:rFonts w:ascii="Calibri" w:hAnsi="Calibri"/>
          <w:b/>
          <w:i w:val="0"/>
          <w:color w:val="003B71"/>
          <w:sz w:val="22"/>
        </w:rPr>
        <w:t>ACTION RECOMMENDATIONS</w:t>
      </w:r>
    </w:p>
    <w:tbl>
      <w:tblPr>
        <w:tblStyle w:val="TableGrid"/>
        <w:tblW w:type="auto" w:w="0"/>
        <w:jc w:val="left"/>
        <w:tblLook w:firstColumn="1" w:firstRow="1" w:lastColumn="0" w:lastRow="0" w:noHBand="0" w:noVBand="1" w:val="04A0"/>
      </w:tblPr>
      <w:tblGrid>
        <w:gridCol w:w="1814"/>
        <w:gridCol w:w="1814"/>
        <w:gridCol w:w="1814"/>
        <w:gridCol w:w="1814"/>
        <w:gridCol w:w="1814"/>
      </w:tblGrid>
      <w:tr>
        <w:tc>
          <w:tcPr>
            <w:tcW w:type="dxa" w:w="454"/>
            <w:shd w:val="clear" w:color="auto" w:fill="003B71"/>
            <w:tcBorders>
              <w:top w:val="none" w:sz="6" w:color="auto"/>
              <w:bottom w:val="none" w:sz="6" w:color="auto"/>
              <w:left w:val="none" w:sz="6" w:color="auto"/>
              <w:right w:val="none" w:sz="6" w:color="auto"/>
            </w:tcBorders>
          </w:tcPr>
          <w:p>
            <w:pPr>
              <w:spacing w:before="80" w:after="80"/>
              <w:ind w:left="0"/>
              <w:jc w:val="center"/>
            </w:pPr>
          </w:p>
        </w:tc>
        <w:tc>
          <w:tcPr>
            <w:tcW w:type="dxa" w:w="4422"/>
            <w:shd w:val="clear" w:color="auto" w:fill="003B71"/>
            <w:tcBorders>
              <w:top w:val="none" w:sz="6" w:color="auto"/>
              <w:bottom w:val="none" w:sz="6" w:color="auto"/>
              <w:left w:val="none" w:sz="6" w:color="auto"/>
              <w:right w:val="none" w:sz="6" w:color="auto"/>
            </w:tcBorders>
          </w:tcPr>
          <w:p>
            <w:pPr>
              <w:spacing w:before="80" w:after="80"/>
              <w:ind w:left="85"/>
              <w:jc w:val="left"/>
            </w:pPr>
            <w:r>
              <w:rPr>
                <w:rFonts w:ascii="Calibri" w:hAnsi="Calibri"/>
                <w:b/>
                <w:i w:val="0"/>
                <w:color w:val="FFFFFF"/>
                <w:sz w:val="17"/>
              </w:rPr>
              <w:t>Strategic Action</w:t>
            </w:r>
          </w:p>
        </w:tc>
        <w:tc>
          <w:tcPr>
            <w:tcW w:type="dxa" w:w="1417"/>
            <w:shd w:val="clear" w:color="auto" w:fill="003B71"/>
            <w:tcBorders>
              <w:top w:val="none" w:sz="6" w:color="auto"/>
              <w:bottom w:val="none" w:sz="6" w:color="auto"/>
              <w:left w:val="none" w:sz="6" w:color="auto"/>
              <w:right w:val="none" w:sz="6" w:color="auto"/>
            </w:tcBorders>
          </w:tcPr>
          <w:p>
            <w:pPr>
              <w:spacing w:before="80" w:after="80"/>
              <w:ind w:left="0"/>
              <w:jc w:val="center"/>
            </w:pPr>
            <w:r>
              <w:rPr>
                <w:rFonts w:ascii="Calibri" w:hAnsi="Calibri"/>
                <w:b/>
                <w:i w:val="0"/>
                <w:color w:val="FFFFFF"/>
                <w:sz w:val="17"/>
              </w:rPr>
              <w:t>Team</w:t>
            </w:r>
          </w:p>
        </w:tc>
        <w:tc>
          <w:tcPr>
            <w:tcW w:type="dxa" w:w="1134"/>
            <w:shd w:val="clear" w:color="auto" w:fill="003B71"/>
            <w:tcBorders>
              <w:top w:val="none" w:sz="6" w:color="auto"/>
              <w:bottom w:val="none" w:sz="6" w:color="auto"/>
              <w:left w:val="none" w:sz="6" w:color="auto"/>
              <w:right w:val="none" w:sz="6" w:color="auto"/>
            </w:tcBorders>
          </w:tcPr>
          <w:p>
            <w:pPr>
              <w:spacing w:before="80" w:after="80"/>
              <w:ind w:left="0"/>
              <w:jc w:val="center"/>
            </w:pPr>
            <w:r>
              <w:rPr>
                <w:rFonts w:ascii="Calibri" w:hAnsi="Calibri"/>
                <w:b/>
                <w:i w:val="0"/>
                <w:color w:val="FFFFFF"/>
                <w:sz w:val="17"/>
              </w:rPr>
              <w:t>Source</w:t>
            </w:r>
          </w:p>
        </w:tc>
        <w:tc>
          <w:tcPr>
            <w:tcW w:type="dxa" w:w="1644"/>
            <w:shd w:val="clear" w:color="auto" w:fill="003B71"/>
            <w:tcBorders>
              <w:top w:val="none" w:sz="6" w:color="auto"/>
              <w:bottom w:val="none" w:sz="6" w:color="auto"/>
              <w:left w:val="none" w:sz="6" w:color="auto"/>
              <w:right w:val="none" w:sz="6" w:color="auto"/>
            </w:tcBorders>
          </w:tcPr>
          <w:p>
            <w:pPr>
              <w:spacing w:before="80" w:after="80"/>
              <w:ind w:left="0"/>
              <w:jc w:val="center"/>
            </w:pPr>
            <w:r>
              <w:rPr>
                <w:rFonts w:ascii="Calibri" w:hAnsi="Calibri"/>
                <w:b/>
                <w:i w:val="0"/>
                <w:color w:val="FFFFFF"/>
                <w:sz w:val="17"/>
              </w:rPr>
              <w:t>Priority</w:t>
            </w:r>
          </w:p>
        </w:tc>
      </w:tr>
      <w:tr>
        <w:tc>
          <w:tcPr>
            <w:tcW w:type="dxa" w:w="454"/>
            <w:shd w:val="clear" w:color="auto" w:fill="DCFCE7"/>
            <w:tcBorders>
              <w:top w:val="none" w:sz="6" w:color="auto"/>
              <w:bottom w:val="none" w:sz="6" w:color="auto"/>
              <w:left w:val="none" w:sz="6" w:color="auto"/>
              <w:right w:val="none" w:sz="6" w:color="auto"/>
            </w:tcBorders>
          </w:tcPr>
          <w:p>
            <w:pPr>
              <w:spacing w:before="100" w:after="100"/>
              <w:jc w:val="center"/>
            </w:pPr>
            <w:r>
              <w:t>🟢</w:t>
            </w:r>
          </w:p>
        </w:tc>
        <w:tc>
          <w:tcPr>
            <w:tcW w:type="dxa" w:w="4422"/>
            <w:shd w:val="clear" w:color="auto" w:fill="FFFFFF"/>
            <w:tcBorders>
              <w:top w:val="none" w:sz="6" w:color="auto"/>
              <w:bottom w:val="none" w:sz="6" w:color="auto"/>
              <w:left w:val="none" w:sz="6" w:color="auto"/>
              <w:right w:val="none" w:sz="6" w:color="auto"/>
            </w:tcBorders>
          </w:tcPr>
          <w:p>
            <w:pPr>
              <w:spacing w:before="80" w:after="80"/>
              <w:ind w:left="85"/>
            </w:pPr>
            <w:r>
              <w:rPr>
                <w:rFonts w:ascii="Calibri" w:hAnsi="Calibri"/>
                <w:b/>
                <w:i w:val="0"/>
                <w:color w:val="111827"/>
                <w:sz w:val="18"/>
              </w:rPr>
              <w:t>Prepare PECHAUNOX, TABAREX, EIMLER-10, ZLATKO tender dossiers for district/commune BHYT packages Q3–Q4/2026 aligned with MoH free screening rollout</w:t>
            </w:r>
          </w:p>
        </w:tc>
        <w:tc>
          <w:tcPr>
            <w:tcW w:type="dxa" w:w="1417"/>
            <w:shd w:val="clear" w:color="auto" w:fill="FFFFFF"/>
            <w:tcBorders>
              <w:top w:val="none" w:sz="6" w:color="auto"/>
              <w:bottom w:val="none" w:sz="6" w:color="auto"/>
              <w:left w:val="none" w:sz="6" w:color="auto"/>
              <w:right w:val="none" w:sz="6" w:color="auto"/>
            </w:tcBorders>
          </w:tcPr>
          <w:p>
            <w:pPr>
              <w:spacing w:before="80" w:after="80"/>
              <w:jc w:val="center"/>
            </w:pPr>
            <w:r>
              <w:rPr>
                <w:rFonts w:ascii="Calibri" w:hAnsi="Calibri"/>
                <w:b w:val="0"/>
                <w:i w:val="0"/>
                <w:color w:val="003B71"/>
                <w:sz w:val="17"/>
              </w:rPr>
              <w:t>Sales / Strategy</w:t>
            </w:r>
          </w:p>
        </w:tc>
        <w:tc>
          <w:tcPr>
            <w:tcW w:type="dxa" w:w="1134"/>
            <w:shd w:val="clear" w:color="auto" w:fill="FFFFFF"/>
            <w:tcBorders>
              <w:top w:val="none" w:sz="6" w:color="auto"/>
              <w:bottom w:val="none" w:sz="6" w:color="auto"/>
              <w:left w:val="none" w:sz="6" w:color="auto"/>
              <w:right w:val="none" w:sz="6" w:color="auto"/>
            </w:tcBorders>
          </w:tcPr>
          <w:p>
            <w:pPr>
              <w:spacing w:before="80" w:after="80"/>
              <w:jc w:val="center"/>
            </w:pPr>
            <w:r>
              <w:rPr>
                <w:rFonts w:ascii="Calibri" w:hAnsi="Calibri"/>
                <w:b w:val="0"/>
                <w:i w:val="0"/>
                <w:color w:val="6B7280"/>
                <w:sz w:val="17"/>
              </w:rPr>
              <w:t>MoH Free Annual Health Screening Policy 2026</w:t>
            </w:r>
          </w:p>
        </w:tc>
        <w:tc>
          <w:tcPr>
            <w:tcW w:type="dxa" w:w="1644"/>
            <w:shd w:val="clear" w:color="auto" w:fill="DCFCE7"/>
            <w:tcBorders>
              <w:top w:val="none" w:sz="6" w:color="auto"/>
              <w:bottom w:val="none" w:sz="6" w:color="auto"/>
              <w:left w:val="none" w:sz="6" w:color="auto"/>
              <w:right w:val="none" w:sz="6" w:color="auto"/>
            </w:tcBorders>
          </w:tcPr>
          <w:p>
            <w:pPr>
              <w:spacing w:before="80" w:after="80"/>
              <w:jc w:val="center"/>
            </w:pPr>
            <w:r>
              <w:rPr>
                <w:rFonts w:ascii="Calibri" w:hAnsi="Calibri"/>
                <w:b/>
                <w:i w:val="0"/>
                <w:color w:val="22C55E"/>
                <w:sz w:val="17"/>
              </w:rPr>
              <w:t>🔴 High</w:t>
            </w:r>
          </w:p>
        </w:tc>
      </w:tr>
      <w:tr>
        <w:tc>
          <w:tcPr>
            <w:tcW w:type="dxa" w:w="454"/>
            <w:shd w:val="clear" w:color="auto" w:fill="DCFCE7"/>
            <w:tcBorders>
              <w:top w:val="none" w:sz="6" w:color="auto"/>
              <w:bottom w:val="none" w:sz="6" w:color="auto"/>
              <w:left w:val="none" w:sz="6" w:color="auto"/>
              <w:right w:val="none" w:sz="6" w:color="auto"/>
            </w:tcBorders>
          </w:tcPr>
          <w:p>
            <w:pPr>
              <w:spacing w:before="100" w:after="100"/>
              <w:jc w:val="center"/>
            </w:pPr>
            <w:r>
              <w:t>🟢</w:t>
            </w:r>
          </w:p>
        </w:tc>
        <w:tc>
          <w:tcPr>
            <w:tcW w:type="dxa" w:w="4422"/>
            <w:shd w:val="clear" w:color="auto" w:fill="FAFBFF"/>
            <w:tcBorders>
              <w:top w:val="none" w:sz="6" w:color="auto"/>
              <w:bottom w:val="none" w:sz="6" w:color="auto"/>
              <w:left w:val="none" w:sz="6" w:color="auto"/>
              <w:right w:val="none" w:sz="6" w:color="auto"/>
            </w:tcBorders>
          </w:tcPr>
          <w:p>
            <w:pPr>
              <w:spacing w:before="80" w:after="80"/>
              <w:ind w:left="85"/>
            </w:pPr>
            <w:r>
              <w:rPr>
                <w:rFonts w:ascii="Calibri" w:hAnsi="Calibri"/>
                <w:b/>
                <w:i w:val="0"/>
                <w:color w:val="111827"/>
                <w:sz w:val="18"/>
              </w:rPr>
              <w:t>Activate Medical Education for PECHAUNOX, HATLOP at primary care facilities on World Hypertension Day May 17</w:t>
            </w:r>
          </w:p>
        </w:tc>
        <w:tc>
          <w:tcPr>
            <w:tcW w:type="dxa" w:w="1417"/>
            <w:shd w:val="clear" w:color="auto" w:fill="FAFBFF"/>
            <w:tcBorders>
              <w:top w:val="none" w:sz="6" w:color="auto"/>
              <w:bottom w:val="none" w:sz="6" w:color="auto"/>
              <w:left w:val="none" w:sz="6" w:color="auto"/>
              <w:right w:val="none" w:sz="6" w:color="auto"/>
            </w:tcBorders>
          </w:tcPr>
          <w:p>
            <w:pPr>
              <w:spacing w:before="80" w:after="80"/>
              <w:jc w:val="center"/>
            </w:pPr>
            <w:r>
              <w:rPr>
                <w:rFonts w:ascii="Calibri" w:hAnsi="Calibri"/>
                <w:b w:val="0"/>
                <w:i w:val="0"/>
                <w:color w:val="003B71"/>
                <w:sz w:val="17"/>
              </w:rPr>
              <w:t>Marketing / Sales</w:t>
            </w:r>
          </w:p>
        </w:tc>
        <w:tc>
          <w:tcPr>
            <w:tcW w:type="dxa" w:w="1134"/>
            <w:shd w:val="clear" w:color="auto" w:fill="FAFBFF"/>
            <w:tcBorders>
              <w:top w:val="none" w:sz="6" w:color="auto"/>
              <w:bottom w:val="none" w:sz="6" w:color="auto"/>
              <w:left w:val="none" w:sz="6" w:color="auto"/>
              <w:right w:val="none" w:sz="6" w:color="auto"/>
            </w:tcBorders>
          </w:tcPr>
          <w:p>
            <w:pPr>
              <w:spacing w:before="80" w:after="80"/>
              <w:jc w:val="center"/>
            </w:pPr>
            <w:r>
              <w:rPr>
                <w:rFonts w:ascii="Calibri" w:hAnsi="Calibri"/>
                <w:b w:val="0"/>
                <w:i w:val="0"/>
                <w:color w:val="6B7280"/>
                <w:sz w:val="17"/>
              </w:rPr>
              <w:t>Hypertension Underdiagnosis in Vietnam</w:t>
            </w:r>
          </w:p>
        </w:tc>
        <w:tc>
          <w:tcPr>
            <w:tcW w:type="dxa" w:w="1644"/>
            <w:shd w:val="clear" w:color="auto" w:fill="DCFCE7"/>
            <w:tcBorders>
              <w:top w:val="none" w:sz="6" w:color="auto"/>
              <w:bottom w:val="none" w:sz="6" w:color="auto"/>
              <w:left w:val="none" w:sz="6" w:color="auto"/>
              <w:right w:val="none" w:sz="6" w:color="auto"/>
            </w:tcBorders>
          </w:tcPr>
          <w:p>
            <w:pPr>
              <w:spacing w:before="80" w:after="80"/>
              <w:jc w:val="center"/>
            </w:pPr>
            <w:r>
              <w:rPr>
                <w:rFonts w:ascii="Calibri" w:hAnsi="Calibri"/>
                <w:b/>
                <w:i w:val="0"/>
                <w:color w:val="22C55E"/>
                <w:sz w:val="17"/>
              </w:rPr>
              <w:t>🔴 High</w:t>
            </w:r>
          </w:p>
        </w:tc>
      </w:tr>
      <w:tr>
        <w:tc>
          <w:tcPr>
            <w:tcW w:type="dxa" w:w="454"/>
            <w:shd w:val="clear" w:color="auto" w:fill="DCFCE7"/>
            <w:tcBorders>
              <w:top w:val="none" w:sz="6" w:color="auto"/>
              <w:bottom w:val="none" w:sz="6" w:color="auto"/>
              <w:left w:val="none" w:sz="6" w:color="auto"/>
              <w:right w:val="none" w:sz="6" w:color="auto"/>
            </w:tcBorders>
          </w:tcPr>
          <w:p>
            <w:pPr>
              <w:spacing w:before="100" w:after="100"/>
              <w:jc w:val="center"/>
            </w:pPr>
            <w:r>
              <w:t>🟢</w:t>
            </w:r>
          </w:p>
        </w:tc>
        <w:tc>
          <w:tcPr>
            <w:tcW w:type="dxa" w:w="4422"/>
            <w:shd w:val="clear" w:color="auto" w:fill="FFFFFF"/>
            <w:tcBorders>
              <w:top w:val="none" w:sz="6" w:color="auto"/>
              <w:bottom w:val="none" w:sz="6" w:color="auto"/>
              <w:left w:val="none" w:sz="6" w:color="auto"/>
              <w:right w:val="none" w:sz="6" w:color="auto"/>
            </w:tcBorders>
          </w:tcPr>
          <w:p>
            <w:pPr>
              <w:spacing w:before="80" w:after="80"/>
              <w:ind w:left="85"/>
            </w:pPr>
            <w:r>
              <w:rPr>
                <w:rFonts w:ascii="Calibri" w:hAnsi="Calibri"/>
                <w:b/>
                <w:i w:val="0"/>
                <w:color w:val="111827"/>
                <w:sz w:val="18"/>
              </w:rPr>
              <w:t>Refresh MAGRAX (Etoricoxib) COX-2 vs NSAID messaging; detail rheumatology departments ahead of Q4 tender</w:t>
            </w:r>
          </w:p>
        </w:tc>
        <w:tc>
          <w:tcPr>
            <w:tcW w:type="dxa" w:w="1417"/>
            <w:shd w:val="clear" w:color="auto" w:fill="FFFFFF"/>
            <w:tcBorders>
              <w:top w:val="none" w:sz="6" w:color="auto"/>
              <w:bottom w:val="none" w:sz="6" w:color="auto"/>
              <w:left w:val="none" w:sz="6" w:color="auto"/>
              <w:right w:val="none" w:sz="6" w:color="auto"/>
            </w:tcBorders>
          </w:tcPr>
          <w:p>
            <w:pPr>
              <w:spacing w:before="80" w:after="80"/>
              <w:jc w:val="center"/>
            </w:pPr>
            <w:r>
              <w:rPr>
                <w:rFonts w:ascii="Calibri" w:hAnsi="Calibri"/>
                <w:b w:val="0"/>
                <w:i w:val="0"/>
                <w:color w:val="003B71"/>
                <w:sz w:val="17"/>
              </w:rPr>
              <w:t>Marketing / Sales</w:t>
            </w:r>
          </w:p>
        </w:tc>
        <w:tc>
          <w:tcPr>
            <w:tcW w:type="dxa" w:w="1134"/>
            <w:shd w:val="clear" w:color="auto" w:fill="FFFFFF"/>
            <w:tcBorders>
              <w:top w:val="none" w:sz="6" w:color="auto"/>
              <w:bottom w:val="none" w:sz="6" w:color="auto"/>
              <w:left w:val="none" w:sz="6" w:color="auto"/>
              <w:right w:val="none" w:sz="6" w:color="auto"/>
            </w:tcBorders>
          </w:tcPr>
          <w:p>
            <w:pPr>
              <w:spacing w:before="80" w:after="80"/>
              <w:jc w:val="center"/>
            </w:pPr>
            <w:r>
              <w:rPr>
                <w:rFonts w:ascii="Calibri" w:hAnsi="Calibri"/>
                <w:b w:val="0"/>
                <w:i w:val="0"/>
                <w:color w:val="6B7280"/>
                <w:sz w:val="17"/>
              </w:rPr>
              <w:t>Musculoskeletal Disease Rejuvenation &amp; COX-2 Trend</w:t>
            </w:r>
          </w:p>
        </w:tc>
        <w:tc>
          <w:tcPr>
            <w:tcW w:type="dxa" w:w="1644"/>
            <w:shd w:val="clear" w:color="auto" w:fill="DCFCE7"/>
            <w:tcBorders>
              <w:top w:val="none" w:sz="6" w:color="auto"/>
              <w:bottom w:val="none" w:sz="6" w:color="auto"/>
              <w:left w:val="none" w:sz="6" w:color="auto"/>
              <w:right w:val="none" w:sz="6" w:color="auto"/>
            </w:tcBorders>
          </w:tcPr>
          <w:p>
            <w:pPr>
              <w:spacing w:before="80" w:after="80"/>
              <w:jc w:val="center"/>
            </w:pPr>
            <w:r>
              <w:rPr>
                <w:rFonts w:ascii="Calibri" w:hAnsi="Calibri"/>
                <w:b/>
                <w:i w:val="0"/>
                <w:color w:val="22C55E"/>
                <w:sz w:val="17"/>
              </w:rPr>
              <w:t>🟡 Medium</w:t>
            </w:r>
          </w:p>
        </w:tc>
      </w:tr>
      <w:tr>
        <w:tc>
          <w:tcPr>
            <w:tcW w:type="dxa" w:w="454"/>
            <w:shd w:val="clear" w:color="auto" w:fill="DCFCE7"/>
            <w:tcBorders>
              <w:top w:val="none" w:sz="6" w:color="auto"/>
              <w:bottom w:val="none" w:sz="6" w:color="auto"/>
              <w:left w:val="none" w:sz="6" w:color="auto"/>
              <w:right w:val="none" w:sz="6" w:color="auto"/>
            </w:tcBorders>
          </w:tcPr>
          <w:p>
            <w:pPr>
              <w:spacing w:before="100" w:after="100"/>
              <w:jc w:val="center"/>
            </w:pPr>
            <w:r>
              <w:t>🟢</w:t>
            </w:r>
          </w:p>
        </w:tc>
        <w:tc>
          <w:tcPr>
            <w:tcW w:type="dxa" w:w="4422"/>
            <w:shd w:val="clear" w:color="auto" w:fill="FAFBFF"/>
            <w:tcBorders>
              <w:top w:val="none" w:sz="6" w:color="auto"/>
              <w:bottom w:val="none" w:sz="6" w:color="auto"/>
              <w:left w:val="none" w:sz="6" w:color="auto"/>
              <w:right w:val="none" w:sz="6" w:color="auto"/>
            </w:tcBorders>
          </w:tcPr>
          <w:p>
            <w:pPr>
              <w:spacing w:before="80" w:after="80"/>
              <w:ind w:left="85"/>
            </w:pPr>
            <w:r>
              <w:rPr>
                <w:rFonts w:ascii="Calibri" w:hAnsi="Calibri"/>
                <w:b/>
                <w:i w:val="0"/>
                <w:color w:val="111827"/>
                <w:sz w:val="18"/>
              </w:rPr>
              <w:t>Develop PPI/HP eradication MedAffairs materials; push JIRACEK into Bach Mai &amp; Cho Ray tender lists 2026–2027</w:t>
            </w:r>
          </w:p>
        </w:tc>
        <w:tc>
          <w:tcPr>
            <w:tcW w:type="dxa" w:w="1417"/>
            <w:shd w:val="clear" w:color="auto" w:fill="FAFBFF"/>
            <w:tcBorders>
              <w:top w:val="none" w:sz="6" w:color="auto"/>
              <w:bottom w:val="none" w:sz="6" w:color="auto"/>
              <w:left w:val="none" w:sz="6" w:color="auto"/>
              <w:right w:val="none" w:sz="6" w:color="auto"/>
            </w:tcBorders>
          </w:tcPr>
          <w:p>
            <w:pPr>
              <w:spacing w:before="80" w:after="80"/>
              <w:jc w:val="center"/>
            </w:pPr>
            <w:r>
              <w:rPr>
                <w:rFonts w:ascii="Calibri" w:hAnsi="Calibri"/>
                <w:b w:val="0"/>
                <w:i w:val="0"/>
                <w:color w:val="003B71"/>
                <w:sz w:val="17"/>
              </w:rPr>
              <w:t>Marketing / Sales</w:t>
            </w:r>
          </w:p>
        </w:tc>
        <w:tc>
          <w:tcPr>
            <w:tcW w:type="dxa" w:w="1134"/>
            <w:shd w:val="clear" w:color="auto" w:fill="FAFBFF"/>
            <w:tcBorders>
              <w:top w:val="none" w:sz="6" w:color="auto"/>
              <w:bottom w:val="none" w:sz="6" w:color="auto"/>
              <w:left w:val="none" w:sz="6" w:color="auto"/>
              <w:right w:val="none" w:sz="6" w:color="auto"/>
            </w:tcBorders>
          </w:tcPr>
          <w:p>
            <w:pPr>
              <w:spacing w:before="80" w:after="80"/>
              <w:jc w:val="center"/>
            </w:pPr>
            <w:r>
              <w:rPr>
                <w:rFonts w:ascii="Calibri" w:hAnsi="Calibri"/>
                <w:b w:val="0"/>
                <w:i w:val="0"/>
                <w:color w:val="6B7280"/>
                <w:sz w:val="17"/>
              </w:rPr>
              <w:t>Rising HP/Gastric Cancer Awareness — PPI Opportunity</w:t>
            </w:r>
          </w:p>
        </w:tc>
        <w:tc>
          <w:tcPr>
            <w:tcW w:type="dxa" w:w="1644"/>
            <w:shd w:val="clear" w:color="auto" w:fill="DCFCE7"/>
            <w:tcBorders>
              <w:top w:val="none" w:sz="6" w:color="auto"/>
              <w:bottom w:val="none" w:sz="6" w:color="auto"/>
              <w:left w:val="none" w:sz="6" w:color="auto"/>
              <w:right w:val="none" w:sz="6" w:color="auto"/>
            </w:tcBorders>
          </w:tcPr>
          <w:p>
            <w:pPr>
              <w:spacing w:before="80" w:after="80"/>
              <w:jc w:val="center"/>
            </w:pPr>
            <w:r>
              <w:rPr>
                <w:rFonts w:ascii="Calibri" w:hAnsi="Calibri"/>
                <w:b/>
                <w:i w:val="0"/>
                <w:color w:val="22C55E"/>
                <w:sz w:val="17"/>
              </w:rPr>
              <w:t>🟡 Medium</w:t>
            </w:r>
          </w:p>
        </w:tc>
      </w:tr>
    </w:tbl>
    <w:p>
      <w:pPr>
        <w:spacing w:after="200"/>
      </w:pPr>
    </w:p>
    <w:tbl>
      <w:tblPr>
        <w:tblStyle w:val="TableGrid"/>
        <w:tblW w:type="auto" w:w="0"/>
        <w:tblLook w:firstColumn="1" w:firstRow="1" w:lastColumn="0" w:lastRow="0" w:noHBand="0" w:noVBand="1" w:val="04A0"/>
      </w:tblPr>
      <w:tblGrid>
        <w:gridCol w:w="9072"/>
      </w:tblGrid>
      <w:tr>
        <w:tc>
          <w:tcPr>
            <w:tcW w:type="dxa" w:w="9072"/>
            <w:shd w:val="clear" w:color="auto" w:fill="F1F5F9"/>
            <w:tcBorders>
              <w:top w:val="none" w:sz="6" w:color="auto"/>
              <w:bottom w:val="none" w:sz="6" w:color="auto"/>
              <w:left w:val="none" w:sz="6" w:color="auto"/>
              <w:right w:val="none" w:sz="6" w:color="auto"/>
            </w:tcBorders>
          </w:tcPr>
          <w:p>
            <w:pPr>
              <w:spacing w:before="120" w:after="120"/>
              <w:jc w:val="center"/>
            </w:pPr>
            <w:r>
              <w:rPr>
                <w:rFonts w:ascii="Calibri" w:hAnsi="Calibri"/>
                <w:b w:val="0"/>
                <w:i/>
                <w:color w:val="9CA3AF"/>
                <w:sz w:val="15"/>
              </w:rPr>
              <w:t>Davipharm Market Intelligence System  ·  Powered by Claude Sonnet 4.6  ·  13/05/2026  ·  CONFIDENTIAL</w:t>
            </w:r>
          </w:p>
        </w:tc>
      </w:tr>
    </w:tbl>
    <w:sectPr w:rsidR="00FC693F" w:rsidRPr="0006063C" w:rsidSect="00034616">
      <w:footerReference w:type="default" r:id="rId9"/>
      <w:pgSz w:w="11906" w:h="16838"/>
      <w:pgMar w:top="1134" w:right="1417" w:bottom="1134" w:left="1417"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b w:val="0"/>
        <w:i w:val="0"/>
        <w:color w:val="9CA3AF"/>
        <w:sz w:val="16"/>
      </w:rPr>
      <w:fldChar w:fldCharType="begin"/>
      <w:instrText xml:space="preserve">PAGE</w:instrText>
      <w:fldChar w:fldCharType="separate"/>
      <w:fldChar w:fldCharType="end"/>
    </w:r>
    <w:r>
      <w:rPr>
        <w:rFonts w:ascii="Calibri" w:hAnsi="Calibri"/>
        <w:b w:val="0"/>
        <w:i w:val="0"/>
        <w:color w:val="9CA3AF"/>
        <w:sz w:val="16"/>
      </w:rPr>
      <w:t xml:space="preserve"> / </w:t>
    </w:r>
    <w:r>
      <w:rPr>
        <w:rFonts w:ascii="Calibri" w:hAnsi="Calibri"/>
        <w:b w:val="0"/>
        <w:i w:val="0"/>
        <w:color w:val="9CA3AF"/>
        <w:sz w:val="16"/>
      </w:rPr>
      <w:fldChar w:fldCharType="begin"/>
      <w:instrText xml:space="preserve">NUMPAGES</w:instrText>
      <w:fldChar w:fldCharType="separate"/>
      <w:fldChar w:fldCharType="end"/>
    </w:r>
    <w:r>
      <w:rPr>
        <w:rFonts w:ascii="Calibri" w:hAnsi="Calibri"/>
        <w:b w:val="0"/>
        <w:i w:val="0"/>
        <w:color w:val="9CA3AF"/>
        <w:sz w:val="14"/>
      </w:rPr>
      <w:t xml:space="preserve">  |  Davipharm Market Intelligence  |  CONFIDENTIAL</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