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left"/>
        <w:tblLook w:firstColumn="1" w:firstRow="1" w:lastColumn="0" w:lastRow="0" w:noHBand="0" w:noVBand="1" w:val="04A0"/>
      </w:tblPr>
      <w:tblGrid>
        <w:gridCol w:w="9072"/>
      </w:tblGrid>
      <w:tr>
        <w:tc>
          <w:tcPr>
            <w:tcW w:type="dxa" w:w="9071"/>
            <w:shd w:val="clear" w:color="auto" w:fill="003B71"/>
            <w:tcBorders>
              <w:top w:val="none" w:sz="6" w:color="auto"/>
              <w:bottom w:val="none" w:sz="6" w:color="auto"/>
              <w:left w:val="none" w:sz="6" w:color="auto"/>
              <w:right w:val="none" w:sz="6" w:color="auto"/>
            </w:tcBorders>
          </w:tcPr>
          <w:p>
            <w:pPr>
              <w:spacing w:before="120" w:after="120"/>
              <w:ind w:left="170"/>
            </w:pPr>
            <w:r>
              <w:rPr>
                <w:rFonts w:ascii="Calibri" w:hAnsi="Calibri"/>
                <w:b/>
                <w:i w:val="0"/>
                <w:color w:val="FFFFFF"/>
                <w:sz w:val="16"/>
              </w:rPr>
              <w:t>MARKET INTELLIGENCE  ·  BÁO CÁO TUẦN</w:t>
            </w:r>
          </w:p>
        </w:tc>
      </w:tr>
    </w:tbl>
    <w:p>
      <w:pPr>
        <w:spacing w:before="720" w:after="360"/>
        <w:jc w:val="center"/>
      </w:pPr>
      <w:r>
        <w:drawing>
          <wp:inline xmlns:a="http://schemas.openxmlformats.org/drawingml/2006/main" xmlns:pic="http://schemas.openxmlformats.org/drawingml/2006/picture">
            <wp:extent cx="3060000" cy="484691"/>
            <wp:docPr id="1" name="Picture 1"/>
            <wp:cNvGraphicFramePr>
              <a:graphicFrameLocks noChangeAspect="1"/>
            </wp:cNvGraphicFramePr>
            <a:graphic>
              <a:graphicData uri="http://schemas.openxmlformats.org/drawingml/2006/picture">
                <pic:pic>
                  <pic:nvPicPr>
                    <pic:cNvPr id="0" name="logo.png"/>
                    <pic:cNvPicPr/>
                  </pic:nvPicPr>
                  <pic:blipFill>
                    <a:blip r:embed="rId10"/>
                    <a:stretch>
                      <a:fillRect/>
                    </a:stretch>
                  </pic:blipFill>
                  <pic:spPr>
                    <a:xfrm>
                      <a:off x="0" y="0"/>
                      <a:ext cx="3060000" cy="484691"/>
                    </a:xfrm>
                    <a:prstGeom prst="rect"/>
                  </pic:spPr>
                </pic:pic>
              </a:graphicData>
            </a:graphic>
          </wp:inline>
        </w:drawing>
      </w:r>
    </w:p>
    <w:tbl>
      <w:tblPr>
        <w:tblW w:type="auto" w:w="0"/>
        <w:jc w:val="center"/>
        <w:tblLook w:firstColumn="1" w:firstRow="1" w:lastColumn="0" w:lastRow="0" w:noHBand="0" w:noVBand="1" w:val="04A0"/>
      </w:tblPr>
      <w:tblGrid>
        <w:gridCol w:w="4536"/>
        <w:gridCol w:w="4536"/>
      </w:tblGrid>
      <w:tr>
        <w:tc>
          <w:tcPr>
            <w:tcW w:type="dxa" w:w="1984"/>
            <w:shd w:val="clear" w:color="auto" w:fill="F1F5F9"/>
            <w:tcBorders>
              <w:top w:val="none" w:sz="6" w:color="auto"/>
              <w:bottom w:val="none" w:sz="6" w:color="auto"/>
              <w:left w:val="none" w:sz="6" w:color="auto"/>
              <w:right w:val="none" w:sz="6" w:color="auto"/>
            </w:tcBorders>
          </w:tcPr>
          <w:p>
            <w:pPr>
              <w:spacing w:before="80" w:after="80"/>
              <w:ind w:left="113"/>
            </w:pPr>
            <w:r>
              <w:rPr>
                <w:rFonts w:ascii="Calibri" w:hAnsi="Calibri"/>
                <w:b/>
                <w:i w:val="0"/>
                <w:color w:val="9CA3AF"/>
                <w:sz w:val="16"/>
              </w:rPr>
              <w:t>BÁO CÁO</w:t>
            </w:r>
          </w:p>
        </w:tc>
        <w:tc>
          <w:tcPr>
            <w:tcW w:type="dxa" w:w="4819"/>
            <w:tcBorders>
              <w:top w:val="none" w:sz="6" w:color="auto"/>
              <w:bottom w:val="none" w:sz="6" w:color="auto"/>
              <w:left w:val="none" w:sz="6" w:color="auto"/>
              <w:right w:val="none" w:sz="6" w:color="auto"/>
            </w:tcBorders>
          </w:tcPr>
          <w:p>
            <w:pPr>
              <w:spacing w:before="80" w:after="80"/>
              <w:ind w:left="113"/>
            </w:pPr>
            <w:r>
              <w:rPr>
                <w:rFonts w:ascii="Calibri" w:hAnsi="Calibri"/>
                <w:b/>
                <w:i w:val="0"/>
                <w:color w:val="003B71"/>
                <w:sz w:val="19"/>
              </w:rPr>
              <w:t>Market Intelligence Report</w:t>
            </w:r>
          </w:p>
        </w:tc>
      </w:tr>
      <w:tr>
        <w:tc>
          <w:tcPr>
            <w:tcW w:type="dxa" w:w="1984"/>
            <w:shd w:val="clear" w:color="auto" w:fill="F1F5F9"/>
            <w:tcBorders>
              <w:top w:val="none" w:sz="6" w:color="auto"/>
              <w:bottom w:val="none" w:sz="6" w:color="auto"/>
              <w:left w:val="none" w:sz="6" w:color="auto"/>
              <w:right w:val="none" w:sz="6" w:color="auto"/>
            </w:tcBorders>
          </w:tcPr>
          <w:p>
            <w:pPr>
              <w:spacing w:before="80" w:after="80"/>
              <w:ind w:left="113"/>
            </w:pPr>
            <w:r>
              <w:rPr>
                <w:rFonts w:ascii="Calibri" w:hAnsi="Calibri"/>
                <w:b/>
                <w:i w:val="0"/>
                <w:color w:val="9CA3AF"/>
                <w:sz w:val="16"/>
              </w:rPr>
              <w:t>TUẦN</w:t>
            </w:r>
          </w:p>
        </w:tc>
        <w:tc>
          <w:tcPr>
            <w:tcW w:type="dxa" w:w="4819"/>
            <w:tcBorders>
              <w:top w:val="none" w:sz="6" w:color="auto"/>
              <w:bottom w:val="none" w:sz="6" w:color="auto"/>
              <w:left w:val="none" w:sz="6" w:color="auto"/>
              <w:right w:val="none" w:sz="6" w:color="auto"/>
            </w:tcBorders>
          </w:tcPr>
          <w:p>
            <w:pPr>
              <w:spacing w:before="80" w:after="80"/>
              <w:ind w:left="113"/>
            </w:pPr>
            <w:r>
              <w:rPr>
                <w:rFonts w:ascii="Calibri" w:hAnsi="Calibri"/>
                <w:b w:val="0"/>
                <w:i w:val="0"/>
                <w:color w:val="111827"/>
                <w:sz w:val="19"/>
              </w:rPr>
              <w:t>12/05 – 18/05/2026</w:t>
            </w:r>
          </w:p>
        </w:tc>
      </w:tr>
      <w:tr>
        <w:tc>
          <w:tcPr>
            <w:tcW w:type="dxa" w:w="1984"/>
            <w:shd w:val="clear" w:color="auto" w:fill="F1F5F9"/>
            <w:tcBorders>
              <w:top w:val="none" w:sz="6" w:color="auto"/>
              <w:bottom w:val="none" w:sz="6" w:color="auto"/>
              <w:left w:val="none" w:sz="6" w:color="auto"/>
              <w:right w:val="none" w:sz="6" w:color="auto"/>
            </w:tcBorders>
          </w:tcPr>
          <w:p>
            <w:pPr>
              <w:spacing w:before="80" w:after="80"/>
              <w:ind w:left="113"/>
            </w:pPr>
            <w:r>
              <w:rPr>
                <w:rFonts w:ascii="Calibri" w:hAnsi="Calibri"/>
                <w:b/>
                <w:i w:val="0"/>
                <w:color w:val="9CA3AF"/>
                <w:sz w:val="16"/>
              </w:rPr>
              <w:t>NGÀY</w:t>
            </w:r>
          </w:p>
        </w:tc>
        <w:tc>
          <w:tcPr>
            <w:tcW w:type="dxa" w:w="4819"/>
            <w:tcBorders>
              <w:top w:val="none" w:sz="6" w:color="auto"/>
              <w:bottom w:val="none" w:sz="6" w:color="auto"/>
              <w:left w:val="none" w:sz="6" w:color="auto"/>
              <w:right w:val="none" w:sz="6" w:color="auto"/>
            </w:tcBorders>
          </w:tcPr>
          <w:p>
            <w:pPr>
              <w:spacing w:before="80" w:after="80"/>
              <w:ind w:left="113"/>
            </w:pPr>
            <w:r>
              <w:rPr>
                <w:rFonts w:ascii="Calibri" w:hAnsi="Calibri"/>
                <w:b w:val="0"/>
                <w:i w:val="0"/>
                <w:color w:val="111827"/>
                <w:sz w:val="19"/>
              </w:rPr>
              <w:t>13/05/2026</w:t>
            </w:r>
          </w:p>
        </w:tc>
      </w:tr>
    </w:tbl>
    <w:p>
      <w:pPr>
        <w:spacing w:before="360"/>
        <w:jc w:val="center"/>
      </w:pPr>
      <w:r>
        <w:rPr>
          <w:rFonts w:ascii="Calibri" w:hAnsi="Calibri"/>
          <w:b w:val="0"/>
          <w:i/>
          <w:color w:val="CCCCCC"/>
          <w:sz w:val="16"/>
        </w:rPr>
        <w:t>Adamed Group  ·  Davipharm  ·  CONFIDENTIAL</w:t>
      </w:r>
    </w:p>
    <w:p>
      <w:r>
        <w:br w:type="page"/>
      </w:r>
    </w:p>
    <w:p>
      <w:pPr>
        <w:spacing w:before="320" w:after="120"/>
        <w:pBdr>
          <w:bottom w:val="single" w:sz="8" w:color="003B71"/>
        </w:pBdr>
      </w:pPr>
      <w:r>
        <w:rPr>
          <w:rFonts w:ascii="Calibri" w:hAnsi="Calibri"/>
          <w:b/>
          <w:i w:val="0"/>
          <w:color w:val="003B71"/>
          <w:sz w:val="22"/>
        </w:rPr>
        <w:t>TÓM TẮT ĐIỀU HÀNH</w:t>
      </w:r>
    </w:p>
    <w:tbl>
      <w:tblPr>
        <w:tblStyle w:val="TableGrid"/>
        <w:tblW w:type="auto" w:w="0"/>
        <w:jc w:val="left"/>
        <w:tblLook w:firstColumn="1" w:firstRow="1" w:lastColumn="0" w:lastRow="0" w:noHBand="0" w:noVBand="1" w:val="04A0"/>
      </w:tblPr>
      <w:tblGrid>
        <w:gridCol w:w="9072"/>
      </w:tblGrid>
      <w:tr>
        <w:tc>
          <w:tcPr>
            <w:tcW w:type="dxa" w:w="9071"/>
            <w:shd w:val="clear" w:color="auto" w:fill="EFF6FF"/>
            <w:tcBorders>
              <w:top w:val="none" w:sz="6" w:color="auto"/>
              <w:bottom w:val="none" w:sz="6" w:color="auto"/>
              <w:left w:val="single" w:sz="18" w:color="0056D2"/>
              <w:right w:val="none" w:sz="6" w:color="auto"/>
            </w:tcBorders>
          </w:tcPr>
          <w:p>
            <w:pPr>
              <w:spacing w:before="80" w:after="80"/>
              <w:ind w:left="170"/>
            </w:pPr>
            <w:r>
              <w:rPr>
                <w:rFonts w:ascii="Calibri" w:hAnsi="Calibri"/>
                <w:b/>
                <w:i w:val="0"/>
                <w:color w:val="111827"/>
                <w:sz w:val="20"/>
              </w:rPr>
              <w:t>Tuần 11–17/05/2026: Chính sách khám sức khỏe định kỳ miễn phí toàn dân của Bộ Y tế tạo cú hích lớn nhất cho danh mục tim mạch và đái tháo đường của Davipharm, đúng thời điểm Ngày Tăng huyết áp Thế giới 17/5 và chu kỳ thầu địa phương cận kề.</w:t>
            </w:r>
          </w:p>
        </w:tc>
      </w:tr>
    </w:tbl>
    <w:p>
      <w:pPr>
        <w:spacing w:before="80"/>
      </w:pPr>
    </w:p>
    <w:p>
      <w:pPr>
        <w:spacing w:after="80"/>
      </w:pPr>
    </w:p>
    <w:tbl>
      <w:tblPr>
        <w:tblStyle w:val="TableGrid"/>
        <w:tblW w:type="auto" w:w="0"/>
        <w:jc w:val="left"/>
        <w:tblLook w:firstColumn="1" w:firstRow="1" w:lastColumn="0" w:lastRow="0" w:noHBand="0" w:noVBand="1" w:val="04A0"/>
      </w:tblPr>
      <w:tblGrid>
        <w:gridCol w:w="4536"/>
        <w:gridCol w:w="4536"/>
      </w:tblGrid>
      <w:tr>
        <w:tc>
          <w:tcPr>
            <w:tcW w:type="dxa" w:w="4535"/>
            <w:tcBorders>
              <w:top w:val="none" w:sz="6" w:color="auto"/>
              <w:bottom w:val="none" w:sz="6" w:color="auto"/>
              <w:left w:val="none" w:sz="6" w:color="auto"/>
              <w:right w:val="none" w:sz="6" w:color="auto"/>
            </w:tcBorders>
            <w:shd w:val="clear" w:color="auto" w:fill="FAFBFF"/>
          </w:tcPr>
          <w:p>
            <w:pPr>
              <w:spacing w:before="80"/>
              <w:ind w:left="113"/>
            </w:pPr>
            <w:r>
              <w:rPr>
                <w:rFonts w:ascii="Calibri" w:hAnsi="Calibri"/>
                <w:b/>
                <w:i w:val="0"/>
                <w:color w:val="003B71"/>
                <w:sz w:val="17"/>
              </w:rPr>
              <w:t>💡  INSIGHTS TUẦN NÀY</w:t>
            </w:r>
          </w:p>
          <w:p>
            <w:pPr>
              <w:spacing w:before="20" w:after="60"/>
              <w:ind w:left="142"/>
            </w:pPr>
            <w:r>
              <w:rPr>
                <w:rFonts w:ascii="Calibri" w:hAnsi="Calibri"/>
                <w:b w:val="0"/>
                <w:i w:val="0"/>
                <w:color w:val="111827"/>
                <w:sz w:val="17"/>
              </w:rPr>
              <w:t>▸  Sàng lọc toàn dân:Chính sách khám định kỳ miễn phí sẽ mở rộng đáng kể pool bệnh nhân tăng huyết áp, rối loạn lipid máu và tiểu đường — hưởng lợi trực tiếp PECHAUNOX, RAVASTEL, TABAREX, EIMLER-10, ZLATKO tại kênh ETC tuyến huyện/xã.</w:t>
            </w:r>
          </w:p>
          <w:p>
            <w:pPr>
              <w:spacing w:before="20" w:after="60"/>
              <w:ind w:left="142"/>
            </w:pPr>
            <w:r>
              <w:rPr>
                <w:rFonts w:ascii="Calibri" w:hAnsi="Calibri"/>
                <w:b w:val="0"/>
                <w:i w:val="0"/>
                <w:color w:val="111827"/>
                <w:sz w:val="17"/>
              </w:rPr>
              <w:t>▸  Tim mạch — nhu cầu nền vững:25–30% người Việt mắc tăng huyết áp còn bỏ sót và xu hướng trẻ hóa bệnh xương khớp củng cố luận điểm thầu cho PECHAUNOX/HATLOP/TABAREX và MAGRAX trong chu kỳ 2026–2027.</w:t>
            </w:r>
          </w:p>
          <w:p>
            <w:pPr>
              <w:spacing w:before="20" w:after="60"/>
              <w:ind w:left="142"/>
            </w:pPr>
            <w:r>
              <w:rPr>
                <w:rFonts w:ascii="Calibri" w:hAnsi="Calibri"/>
                <w:b w:val="0"/>
                <w:i w:val="0"/>
                <w:color w:val="111827"/>
                <w:sz w:val="17"/>
              </w:rPr>
              <w:t>▸  Tiêu hóa &amp; Ung thư — tín hiệu dài hạn:Nhận thức HP/ung thư dạ dày tăng và mở rộng nội soi tiên tiến tại kênh tư tạo lực đẩy gián tiếp cho JIRACEK, MARTAZ và pipeline oncology HYYR/LARRIVEY, nhưng tác động ngắn hạn còn hạn chế.</w:t>
            </w:r>
          </w:p>
        </w:tc>
        <w:tc>
          <w:tcPr>
            <w:tcW w:type="dxa" w:w="4535"/>
            <w:tcBorders>
              <w:top w:val="none" w:sz="6" w:color="auto"/>
              <w:bottom w:val="none" w:sz="6" w:color="auto"/>
              <w:left w:val="none" w:sz="6" w:color="auto"/>
              <w:right w:val="none" w:sz="6" w:color="auto"/>
            </w:tcBorders>
            <w:shd w:val="clear" w:color="auto" w:fill="FAFBFF"/>
          </w:tcPr>
          <w:p>
            <w:pPr>
              <w:spacing w:before="80"/>
              <w:ind w:left="113"/>
            </w:pPr>
            <w:r>
              <w:rPr>
                <w:rFonts w:ascii="Calibri" w:hAnsi="Calibri"/>
                <w:b/>
                <w:i w:val="0"/>
                <w:color w:val="0056D2"/>
                <w:sz w:val="17"/>
              </w:rPr>
              <w:t>⚡  HÀNH ĐỘNG ƯU TIÊN</w:t>
            </w:r>
          </w:p>
        </w:tc>
      </w:tr>
    </w:tbl>
    <w:p>
      <w:pPr>
        <w:spacing w:after="120"/>
      </w:pPr>
    </w:p>
    <w:p>
      <w:pPr>
        <w:spacing w:after="40"/>
      </w:pPr>
    </w:p>
    <w:p>
      <w:pPr>
        <w:spacing w:before="320" w:after="120"/>
        <w:pBdr>
          <w:bottom w:val="single" w:sz="8" w:color="003B71"/>
        </w:pBdr>
      </w:pPr>
      <w:r>
        <w:rPr>
          <w:rFonts w:ascii="Calibri" w:hAnsi="Calibri"/>
          <w:b/>
          <w:i w:val="0"/>
          <w:color w:val="003B71"/>
          <w:sz w:val="22"/>
        </w:rPr>
        <w:t>TÂM LÝ THỊ TRƯỜNG TUẦN NÀY</w:t>
      </w:r>
    </w:p>
    <w:tbl>
      <w:tblPr>
        <w:tblStyle w:val="TableGrid"/>
        <w:tblW w:type="auto" w:w="0"/>
        <w:jc w:val="left"/>
        <w:tblLook w:firstColumn="1" w:firstRow="1" w:lastColumn="0" w:lastRow="0" w:noHBand="0" w:noVBand="1" w:val="04A0"/>
      </w:tblPr>
      <w:tblGrid>
        <w:gridCol w:w="2268"/>
        <w:gridCol w:w="2268"/>
        <w:gridCol w:w="2268"/>
        <w:gridCol w:w="2268"/>
      </w:tblGrid>
      <w:tr>
        <w:tc>
          <w:tcPr>
            <w:tcW w:type="dxa" w:w="3118"/>
            <w:shd w:val="clear" w:color="auto" w:fill="003B71"/>
            <w:tcBorders>
              <w:top w:val="none" w:sz="6" w:color="auto"/>
              <w:bottom w:val="none" w:sz="6" w:color="auto"/>
              <w:left w:val="none" w:sz="6" w:color="auto"/>
              <w:right w:val="none" w:sz="6" w:color="auto"/>
            </w:tcBorders>
          </w:tcPr>
          <w:p>
            <w:pPr>
              <w:spacing w:before="80" w:after="80"/>
              <w:ind w:left="85"/>
              <w:jc w:val="left"/>
            </w:pPr>
            <w:r>
              <w:rPr>
                <w:rFonts w:ascii="Calibri" w:hAnsi="Calibri"/>
                <w:b/>
                <w:i w:val="0"/>
                <w:color w:val="FFFFFF"/>
                <w:sz w:val="17"/>
              </w:rPr>
              <w:t>Nhóm tin</w:t>
            </w:r>
          </w:p>
        </w:tc>
        <w:tc>
          <w:tcPr>
            <w:tcW w:type="dxa" w:w="1701"/>
            <w:shd w:val="clear" w:color="auto" w:fill="166534"/>
            <w:tcBorders>
              <w:top w:val="none" w:sz="6" w:color="auto"/>
              <w:bottom w:val="none" w:sz="6" w:color="auto"/>
              <w:left w:val="none" w:sz="6" w:color="auto"/>
              <w:right w:val="none" w:sz="6" w:color="auto"/>
            </w:tcBorders>
          </w:tcPr>
          <w:p>
            <w:pPr>
              <w:spacing w:before="80" w:after="80"/>
              <w:ind w:left="0"/>
              <w:jc w:val="center"/>
            </w:pPr>
            <w:r>
              <w:rPr>
                <w:rFonts w:ascii="Calibri" w:hAnsi="Calibri"/>
                <w:b/>
                <w:i w:val="0"/>
                <w:color w:val="FFFFFF"/>
                <w:sz w:val="17"/>
              </w:rPr>
              <w:t>✅  Tích cực</w:t>
            </w:r>
          </w:p>
        </w:tc>
        <w:tc>
          <w:tcPr>
            <w:tcW w:type="dxa" w:w="1984"/>
            <w:shd w:val="clear" w:color="auto" w:fill="374151"/>
            <w:tcBorders>
              <w:top w:val="none" w:sz="6" w:color="auto"/>
              <w:bottom w:val="none" w:sz="6" w:color="auto"/>
              <w:left w:val="none" w:sz="6" w:color="auto"/>
              <w:right w:val="none" w:sz="6" w:color="auto"/>
            </w:tcBorders>
          </w:tcPr>
          <w:p>
            <w:pPr>
              <w:spacing w:before="80" w:after="80"/>
              <w:ind w:left="0"/>
              <w:jc w:val="center"/>
            </w:pPr>
            <w:r>
              <w:rPr>
                <w:rFonts w:ascii="Calibri" w:hAnsi="Calibri"/>
                <w:b/>
                <w:i w:val="0"/>
                <w:color w:val="FFFFFF"/>
                <w:sz w:val="17"/>
              </w:rPr>
              <w:t>⚪  Trung tính</w:t>
            </w:r>
          </w:p>
        </w:tc>
        <w:tc>
          <w:tcPr>
            <w:tcW w:type="dxa" w:w="2268"/>
            <w:shd w:val="clear" w:color="auto" w:fill="991B1B"/>
            <w:tcBorders>
              <w:top w:val="none" w:sz="6" w:color="auto"/>
              <w:bottom w:val="none" w:sz="6" w:color="auto"/>
              <w:left w:val="none" w:sz="6" w:color="auto"/>
              <w:right w:val="none" w:sz="6" w:color="auto"/>
            </w:tcBorders>
          </w:tcPr>
          <w:p>
            <w:pPr>
              <w:spacing w:before="80" w:after="80"/>
              <w:ind w:left="0"/>
              <w:jc w:val="center"/>
            </w:pPr>
            <w:r>
              <w:rPr>
                <w:rFonts w:ascii="Calibri" w:hAnsi="Calibri"/>
                <w:b/>
                <w:i w:val="0"/>
                <w:color w:val="FFFFFF"/>
                <w:sz w:val="17"/>
              </w:rPr>
              <w:t>⚠️  Rủi ro / Thách thức</w:t>
            </w:r>
          </w:p>
        </w:tc>
      </w:tr>
      <w:tr>
        <w:tc>
          <w:tcPr>
            <w:tcW w:type="dxa" w:w="3118"/>
            <w:shd w:val="clear" w:color="auto" w:fill="FAFBFF"/>
            <w:tcBorders>
              <w:top w:val="none" w:sz="6" w:color="auto"/>
              <w:bottom w:val="none" w:sz="6" w:color="auto"/>
              <w:left w:val="none" w:sz="6" w:color="auto"/>
              <w:right w:val="none" w:sz="6" w:color="auto"/>
            </w:tcBorders>
          </w:tcPr>
          <w:p>
            <w:pPr>
              <w:spacing w:before="100" w:after="100"/>
              <w:ind w:left="113"/>
            </w:pPr>
            <w:r>
              <w:rPr>
                <w:rFonts w:ascii="Calibri" w:hAnsi="Calibri"/>
                <w:b/>
                <w:i w:val="0"/>
                <w:color w:val="111827"/>
                <w:sz w:val="18"/>
              </w:rPr>
              <w:t>Chính sách &amp; PL</w:t>
            </w:r>
          </w:p>
        </w:tc>
        <w:tc>
          <w:tcPr>
            <w:tcW w:type="dxa" w:w="1701"/>
            <w:shd w:val="clear" w:color="auto" w:fill="E9FBF0"/>
            <w:tcBorders>
              <w:top w:val="none" w:sz="6" w:color="auto"/>
              <w:bottom w:val="none" w:sz="6" w:color="auto"/>
              <w:left w:val="none" w:sz="6" w:color="auto"/>
              <w:right w:val="none" w:sz="6" w:color="auto"/>
            </w:tcBorders>
          </w:tcPr>
          <w:p>
            <w:pPr>
              <w:spacing w:before="80" w:after="80"/>
              <w:jc w:val="center"/>
            </w:pPr>
            <w:r>
              <w:rPr>
                <w:rFonts w:ascii="Calibri" w:hAnsi="Calibri"/>
                <w:b w:val="0"/>
                <w:i w:val="0"/>
                <w:color w:val="CCCCCC"/>
                <w:sz w:val="22"/>
              </w:rPr>
              <w:t>—</w:t>
            </w:r>
          </w:p>
        </w:tc>
        <w:tc>
          <w:tcPr>
            <w:tcW w:type="dxa" w:w="1984"/>
            <w:shd w:val="clear" w:color="auto" w:fill="F9FAFB"/>
            <w:tcBorders>
              <w:top w:val="none" w:sz="6" w:color="auto"/>
              <w:bottom w:val="none" w:sz="6" w:color="auto"/>
              <w:left w:val="none" w:sz="6" w:color="auto"/>
              <w:right w:val="none" w:sz="6" w:color="auto"/>
            </w:tcBorders>
          </w:tcPr>
          <w:p>
            <w:pPr>
              <w:spacing w:before="80" w:after="80"/>
              <w:jc w:val="center"/>
            </w:pPr>
            <w:r>
              <w:rPr>
                <w:rFonts w:ascii="Calibri" w:hAnsi="Calibri"/>
                <w:b w:val="0"/>
                <w:i w:val="0"/>
                <w:color w:val="CCCCCC"/>
                <w:sz w:val="22"/>
              </w:rPr>
              <w:t>—</w:t>
            </w:r>
          </w:p>
        </w:tc>
        <w:tc>
          <w:tcPr>
            <w:tcW w:type="dxa" w:w="2268"/>
            <w:shd w:val="clear" w:color="auto" w:fill="FFF0F0"/>
            <w:tcBorders>
              <w:top w:val="none" w:sz="6" w:color="auto"/>
              <w:bottom w:val="none" w:sz="6" w:color="auto"/>
              <w:left w:val="none" w:sz="6" w:color="auto"/>
              <w:right w:val="none" w:sz="6" w:color="auto"/>
            </w:tcBorders>
          </w:tcPr>
          <w:p>
            <w:pPr>
              <w:spacing w:before="80" w:after="80"/>
              <w:jc w:val="center"/>
            </w:pPr>
            <w:r>
              <w:rPr>
                <w:rFonts w:ascii="Calibri" w:hAnsi="Calibri"/>
                <w:b w:val="0"/>
                <w:i w:val="0"/>
                <w:color w:val="CCCCCC"/>
                <w:sz w:val="22"/>
              </w:rPr>
              <w:t>—</w:t>
            </w:r>
          </w:p>
        </w:tc>
      </w:tr>
      <w:tr>
        <w:tc>
          <w:tcPr>
            <w:tcW w:type="dxa" w:w="3118"/>
            <w:shd w:val="clear" w:color="auto" w:fill="F5F7FF"/>
            <w:tcBorders>
              <w:top w:val="none" w:sz="6" w:color="auto"/>
              <w:bottom w:val="none" w:sz="6" w:color="auto"/>
              <w:left w:val="none" w:sz="6" w:color="auto"/>
              <w:right w:val="none" w:sz="6" w:color="auto"/>
            </w:tcBorders>
          </w:tcPr>
          <w:p>
            <w:pPr>
              <w:spacing w:before="100" w:after="100"/>
              <w:ind w:left="113"/>
            </w:pPr>
            <w:r>
              <w:rPr>
                <w:rFonts w:ascii="Calibri" w:hAnsi="Calibri"/>
                <w:b/>
                <w:i w:val="0"/>
                <w:color w:val="111827"/>
                <w:sz w:val="18"/>
              </w:rPr>
              <w:t>Tin ngành Dược</w:t>
            </w:r>
          </w:p>
        </w:tc>
        <w:tc>
          <w:tcPr>
            <w:tcW w:type="dxa" w:w="1701"/>
            <w:shd w:val="clear" w:color="auto" w:fill="DCFCE7"/>
            <w:tcBorders>
              <w:top w:val="none" w:sz="6" w:color="auto"/>
              <w:bottom w:val="none" w:sz="6" w:color="auto"/>
              <w:left w:val="none" w:sz="6" w:color="auto"/>
              <w:right w:val="none" w:sz="6" w:color="auto"/>
            </w:tcBorders>
          </w:tcPr>
          <w:p>
            <w:pPr>
              <w:spacing w:before="80" w:after="80"/>
              <w:jc w:val="center"/>
            </w:pPr>
            <w:r>
              <w:rPr>
                <w:rFonts w:ascii="Calibri" w:hAnsi="Calibri"/>
                <w:b/>
                <w:i w:val="0"/>
                <w:color w:val="166534"/>
                <w:sz w:val="22"/>
              </w:rPr>
              <w:t>4</w:t>
            </w:r>
          </w:p>
        </w:tc>
        <w:tc>
          <w:tcPr>
            <w:tcW w:type="dxa" w:w="1984"/>
            <w:shd w:val="clear" w:color="auto" w:fill="F3F4F6"/>
            <w:tcBorders>
              <w:top w:val="none" w:sz="6" w:color="auto"/>
              <w:bottom w:val="none" w:sz="6" w:color="auto"/>
              <w:left w:val="none" w:sz="6" w:color="auto"/>
              <w:right w:val="none" w:sz="6" w:color="auto"/>
            </w:tcBorders>
          </w:tcPr>
          <w:p>
            <w:pPr>
              <w:spacing w:before="80" w:after="80"/>
              <w:jc w:val="center"/>
            </w:pPr>
            <w:r>
              <w:rPr>
                <w:rFonts w:ascii="Calibri" w:hAnsi="Calibri"/>
                <w:b/>
                <w:i w:val="0"/>
                <w:color w:val="374151"/>
                <w:sz w:val="22"/>
              </w:rPr>
              <w:t>6</w:t>
            </w:r>
          </w:p>
        </w:tc>
        <w:tc>
          <w:tcPr>
            <w:tcW w:type="dxa" w:w="2268"/>
            <w:shd w:val="clear" w:color="auto" w:fill="FFF0F0"/>
            <w:tcBorders>
              <w:top w:val="none" w:sz="6" w:color="auto"/>
              <w:bottom w:val="none" w:sz="6" w:color="auto"/>
              <w:left w:val="none" w:sz="6" w:color="auto"/>
              <w:right w:val="none" w:sz="6" w:color="auto"/>
            </w:tcBorders>
          </w:tcPr>
          <w:p>
            <w:pPr>
              <w:spacing w:before="80" w:after="80"/>
              <w:jc w:val="center"/>
            </w:pPr>
            <w:r>
              <w:rPr>
                <w:rFonts w:ascii="Calibri" w:hAnsi="Calibri"/>
                <w:b w:val="0"/>
                <w:i w:val="0"/>
                <w:color w:val="CCCCCC"/>
                <w:sz w:val="22"/>
              </w:rPr>
              <w:t>—</w:t>
            </w:r>
          </w:p>
        </w:tc>
      </w:tr>
      <w:tr>
        <w:tc>
          <w:tcPr>
            <w:tcW w:type="dxa" w:w="3118"/>
            <w:shd w:val="clear" w:color="auto" w:fill="FAFBFF"/>
            <w:tcBorders>
              <w:top w:val="none" w:sz="6" w:color="auto"/>
              <w:bottom w:val="none" w:sz="6" w:color="auto"/>
              <w:left w:val="none" w:sz="6" w:color="auto"/>
              <w:right w:val="none" w:sz="6" w:color="auto"/>
            </w:tcBorders>
          </w:tcPr>
          <w:p>
            <w:pPr>
              <w:spacing w:before="100" w:after="100"/>
              <w:ind w:left="113"/>
            </w:pPr>
            <w:r>
              <w:rPr>
                <w:rFonts w:ascii="Calibri" w:hAnsi="Calibri"/>
                <w:b/>
                <w:i w:val="0"/>
                <w:color w:val="111827"/>
                <w:sz w:val="18"/>
              </w:rPr>
              <w:t>Đối thủ</w:t>
            </w:r>
          </w:p>
        </w:tc>
        <w:tc>
          <w:tcPr>
            <w:tcW w:type="dxa" w:w="1701"/>
            <w:shd w:val="clear" w:color="auto" w:fill="E9FBF0"/>
            <w:tcBorders>
              <w:top w:val="none" w:sz="6" w:color="auto"/>
              <w:bottom w:val="none" w:sz="6" w:color="auto"/>
              <w:left w:val="none" w:sz="6" w:color="auto"/>
              <w:right w:val="none" w:sz="6" w:color="auto"/>
            </w:tcBorders>
          </w:tcPr>
          <w:p>
            <w:pPr>
              <w:spacing w:before="80" w:after="80"/>
              <w:jc w:val="center"/>
            </w:pPr>
            <w:r>
              <w:rPr>
                <w:rFonts w:ascii="Calibri" w:hAnsi="Calibri"/>
                <w:b w:val="0"/>
                <w:i w:val="0"/>
                <w:color w:val="CCCCCC"/>
                <w:sz w:val="22"/>
              </w:rPr>
              <w:t>—</w:t>
            </w:r>
          </w:p>
        </w:tc>
        <w:tc>
          <w:tcPr>
            <w:tcW w:type="dxa" w:w="1984"/>
            <w:shd w:val="clear" w:color="auto" w:fill="F9FAFB"/>
            <w:tcBorders>
              <w:top w:val="none" w:sz="6" w:color="auto"/>
              <w:bottom w:val="none" w:sz="6" w:color="auto"/>
              <w:left w:val="none" w:sz="6" w:color="auto"/>
              <w:right w:val="none" w:sz="6" w:color="auto"/>
            </w:tcBorders>
          </w:tcPr>
          <w:p>
            <w:pPr>
              <w:spacing w:before="80" w:after="80"/>
              <w:jc w:val="center"/>
            </w:pPr>
            <w:r>
              <w:rPr>
                <w:rFonts w:ascii="Calibri" w:hAnsi="Calibri"/>
                <w:b w:val="0"/>
                <w:i w:val="0"/>
                <w:color w:val="CCCCCC"/>
                <w:sz w:val="22"/>
              </w:rPr>
              <w:t>—</w:t>
            </w:r>
          </w:p>
        </w:tc>
        <w:tc>
          <w:tcPr>
            <w:tcW w:type="dxa" w:w="2268"/>
            <w:shd w:val="clear" w:color="auto" w:fill="FFF0F0"/>
            <w:tcBorders>
              <w:top w:val="none" w:sz="6" w:color="auto"/>
              <w:bottom w:val="none" w:sz="6" w:color="auto"/>
              <w:left w:val="none" w:sz="6" w:color="auto"/>
              <w:right w:val="none" w:sz="6" w:color="auto"/>
            </w:tcBorders>
          </w:tcPr>
          <w:p>
            <w:pPr>
              <w:spacing w:before="80" w:after="80"/>
              <w:jc w:val="center"/>
            </w:pPr>
            <w:r>
              <w:rPr>
                <w:rFonts w:ascii="Calibri" w:hAnsi="Calibri"/>
                <w:b w:val="0"/>
                <w:i w:val="0"/>
                <w:color w:val="CCCCCC"/>
                <w:sz w:val="22"/>
              </w:rPr>
              <w:t>—</w:t>
            </w:r>
          </w:p>
        </w:tc>
      </w:tr>
    </w:tbl>
    <w:p>
      <w:pPr>
        <w:spacing w:after="80"/>
      </w:pPr>
    </w:p>
    <w:p>
      <w:r>
        <w:br w:type="page"/>
      </w:r>
    </w:p>
    <w:p>
      <w:pPr>
        <w:spacing w:before="320" w:after="120"/>
        <w:pBdr>
          <w:bottom w:val="single" w:sz="8" w:color="003B71"/>
        </w:pBdr>
      </w:pPr>
      <w:r>
        <w:rPr>
          <w:rFonts w:ascii="Calibri" w:hAnsi="Calibri"/>
          <w:b/>
          <w:i w:val="0"/>
          <w:color w:val="003B71"/>
          <w:sz w:val="22"/>
        </w:rPr>
        <w:t>CHÍNH SÁCH &amp; PHÁP LÝ</w:t>
      </w:r>
    </w:p>
    <w:p>
      <w:r>
        <w:br w:type="page"/>
      </w:r>
    </w:p>
    <w:p>
      <w:pPr>
        <w:spacing w:before="320" w:after="120"/>
        <w:pBdr>
          <w:bottom w:val="single" w:sz="8" w:color="003B71"/>
        </w:pBdr>
      </w:pPr>
      <w:r>
        <w:rPr>
          <w:rFonts w:ascii="Calibri" w:hAnsi="Calibri"/>
          <w:b/>
          <w:i w:val="0"/>
          <w:color w:val="003B71"/>
          <w:sz w:val="22"/>
        </w:rPr>
        <w:t>TIN NGÀNH DƯỢC</w:t>
      </w:r>
    </w:p>
    <w:tbl>
      <w:tblPr>
        <w:tblStyle w:val="TableGrid"/>
        <w:tblW w:type="auto" w:w="0"/>
        <w:jc w:val="left"/>
        <w:tblLook w:firstColumn="1" w:firstRow="1" w:lastColumn="0" w:lastRow="0" w:noHBand="0" w:noVBand="1" w:val="04A0"/>
      </w:tblPr>
      <w:tblGrid>
        <w:gridCol w:w="4536"/>
        <w:gridCol w:w="4536"/>
      </w:tblGrid>
      <w:tr>
        <w:tc>
          <w:tcPr>
            <w:tcW w:type="dxa" w:w="1984"/>
            <w:shd w:val="clear" w:color="auto" w:fill="EEF2FF"/>
            <w:tcBorders>
              <w:top w:val="none" w:sz="6" w:color="auto"/>
              <w:bottom w:val="none" w:sz="6" w:color="auto"/>
              <w:left w:val="none" w:sz="6" w:color="auto"/>
              <w:right w:val="none" w:sz="6" w:color="auto"/>
            </w:tcBorders>
          </w:tcPr>
          <w:p>
            <w:pPr>
              <w:spacing w:before="80" w:after="80"/>
              <w:ind w:left="85"/>
            </w:pPr>
            <w:r>
              <w:rPr>
                <w:rFonts w:ascii="Calibri" w:hAnsi="Calibri"/>
                <w:b/>
                <w:i w:val="0"/>
                <w:color w:val="4338CA"/>
                <w:sz w:val="15"/>
              </w:rPr>
              <w:t>DÂN TRÍ – SỨC KHỎE</w:t>
            </w:r>
          </w:p>
        </w:tc>
        <w:tc>
          <w:tcPr>
            <w:tcW w:type="dxa" w:w="4536"/>
            <w:tcBorders>
              <w:top w:val="none" w:sz="6" w:color="auto"/>
              <w:bottom w:val="none" w:sz="6" w:color="auto"/>
              <w:left w:val="none" w:sz="6" w:color="auto"/>
              <w:right w:val="none" w:sz="6" w:color="auto"/>
            </w:tcBorders>
          </w:tcPr>
          <w:p>
            <w:pPr>
              <w:spacing w:before="60" w:after="60"/>
              <w:ind w:left="113"/>
            </w:pPr>
            <w:r>
              <w:rPr>
                <w:rFonts w:ascii="Calibri" w:hAnsi="Calibri"/>
                <w:b/>
                <w:i w:val="0"/>
                <w:color w:val="111827"/>
                <w:sz w:val="21"/>
              </w:rPr>
              <w:t>Nhận thức ung thư dạ dày tăng — cơ hội cho nhóm thuốc tiêu hóa Davipharm (Esomeprazole, Rabeprazole)</w:t>
            </w:r>
          </w:p>
        </w:tc>
      </w:tr>
    </w:tbl>
    <w:p>
      <w:pPr>
        <w:spacing w:before="40" w:after="40"/>
        <w:ind w:left="170"/>
      </w:pPr>
      <w:r>
        <w:rPr>
          <w:rFonts w:ascii="Calibri" w:hAnsi="Calibri"/>
          <w:b w:val="0"/>
          <w:i/>
          <w:color w:val="6B7280"/>
          <w:sz w:val="18"/>
        </w:rPr>
        <w:t>Bài viết từ chuyên gia Bệnh viện Bạch Mai nhấn mạnh mối liên hệ giữa nhiễm HP, viêm dạ dày mạn và nguy cơ ung thư dạ dày, khuyến nghị nội soi sớm — phản ánh xu hướng tăng cầu điều trị tiêu hóa tại kênh bệnh viện. Xu hướng này có thể thúc đẩy tăng sử dụng nhóm thuốc ức chế bơm proton (PPI) trong phác đồ diệt HP và điều trị viêm loét dạ dày, có lợi cho JIRACEK (Esomeprazole) và MARTAZ (Rabeprazole) của Davipharm.</w:t>
      </w:r>
    </w:p>
    <w:p>
      <w:pPr>
        <w:spacing w:before="20" w:after="40"/>
        <w:ind w:left="170"/>
      </w:pPr>
      <w:r>
        <w:rPr>
          <w:rFonts w:ascii="Calibri" w:hAnsi="Calibri"/>
          <w:b/>
          <w:i w:val="0"/>
          <w:color w:val="166534"/>
          <w:sz w:val="17"/>
        </w:rPr>
        <w:t>📈 Nhận thức HP/ung thư dạ dày tăng cao tạo lực đẩy gián tiếp cho JIRACEK và MARTAZ trong đấu thầu và kê đơn tại bệnh viện tuyến trung ương và tỉnh.</w:t>
      </w:r>
    </w:p>
    <w:tbl>
      <w:tblPr>
        <w:tblStyle w:val="TableGrid"/>
        <w:tblW w:type="auto" w:w="0"/>
        <w:tblLook w:firstColumn="1" w:firstRow="1" w:lastColumn="0" w:lastRow="0" w:noHBand="0" w:noVBand="1" w:val="04A0"/>
      </w:tblPr>
      <w:tblGrid>
        <w:gridCol w:w="9072"/>
      </w:tblGrid>
      <w:tr>
        <w:tc>
          <w:tcPr>
            <w:tcW w:type="dxa" w:w="9072"/>
            <w:shd w:val="clear" w:color="auto" w:fill="F8FAFC"/>
            <w:tcBorders>
              <w:top w:val="none" w:sz="6" w:color="auto"/>
              <w:bottom w:val="none" w:sz="6" w:color="auto"/>
              <w:left w:val="single" w:sz="12" w:color="003B71"/>
              <w:right w:val="none" w:sz="6" w:color="auto"/>
            </w:tcBorders>
          </w:tcPr>
          <w:p>
            <w:pPr>
              <w:spacing w:before="60" w:after="60"/>
              <w:ind w:left="142"/>
            </w:pPr>
            <w:r>
              <w:rPr>
                <w:rFonts w:ascii="Calibri" w:hAnsi="Calibri"/>
                <w:b/>
                <w:i w:val="0"/>
                <w:color w:val="003B71"/>
                <w:sz w:val="17"/>
              </w:rPr>
              <w:t xml:space="preserve">Strategy  </w:t>
            </w:r>
            <w:r>
              <w:rPr>
                <w:rFonts w:ascii="Calibri" w:hAnsi="Calibri"/>
                <w:b w:val="0"/>
                <w:i w:val="0"/>
                <w:color w:val="334155"/>
                <w:sz w:val="17"/>
              </w:rPr>
              <w:t>Team Marketing ETC phối hợp Medical Affairs cập nhật tài liệu khoa học về vai trò PPI trong phác đồ diệt HP (triple/quadruple therapy) và trình bày tại hội nghị tiêu hóa Q3/2026; ưu tiên đẩy JIRACEK vào danh mục đấu thầu bệnh viện tuyến trung ương (Bạch Mai, Chợ Rẫy) trong chu kỳ thầu 2026–2027.</w:t>
            </w:r>
          </w:p>
        </w:tc>
      </w:tr>
    </w:tbl>
    <w:p>
      <w:pPr>
        <w:spacing w:before="40" w:after="120"/>
      </w:pPr>
    </w:p>
    <w:tbl>
      <w:tblPr>
        <w:tblStyle w:val="TableGrid"/>
        <w:tblW w:type="auto" w:w="0"/>
        <w:jc w:val="left"/>
        <w:tblLook w:firstColumn="1" w:firstRow="1" w:lastColumn="0" w:lastRow="0" w:noHBand="0" w:noVBand="1" w:val="04A0"/>
      </w:tblPr>
      <w:tblGrid>
        <w:gridCol w:w="4536"/>
        <w:gridCol w:w="4536"/>
      </w:tblGrid>
      <w:tr>
        <w:tc>
          <w:tcPr>
            <w:tcW w:type="dxa" w:w="1984"/>
            <w:shd w:val="clear" w:color="auto" w:fill="EEF2FF"/>
            <w:tcBorders>
              <w:top w:val="none" w:sz="6" w:color="auto"/>
              <w:bottom w:val="none" w:sz="6" w:color="auto"/>
              <w:left w:val="none" w:sz="6" w:color="auto"/>
              <w:right w:val="none" w:sz="6" w:color="auto"/>
            </w:tcBorders>
          </w:tcPr>
          <w:p>
            <w:pPr>
              <w:spacing w:before="80" w:after="80"/>
              <w:ind w:left="85"/>
            </w:pPr>
            <w:r>
              <w:rPr>
                <w:rFonts w:ascii="Calibri" w:hAnsi="Calibri"/>
                <w:b/>
                <w:i w:val="0"/>
                <w:color w:val="4338CA"/>
                <w:sz w:val="15"/>
              </w:rPr>
              <w:t>DÂN TRÍ – SỨC KHỎE</w:t>
            </w:r>
          </w:p>
        </w:tc>
        <w:tc>
          <w:tcPr>
            <w:tcW w:type="dxa" w:w="4536"/>
            <w:tcBorders>
              <w:top w:val="none" w:sz="6" w:color="auto"/>
              <w:bottom w:val="none" w:sz="6" w:color="auto"/>
              <w:left w:val="none" w:sz="6" w:color="auto"/>
              <w:right w:val="none" w:sz="6" w:color="auto"/>
            </w:tcBorders>
          </w:tcPr>
          <w:p>
            <w:pPr>
              <w:spacing w:before="60" w:after="60"/>
              <w:ind w:left="113"/>
            </w:pPr>
            <w:r>
              <w:rPr>
                <w:rFonts w:ascii="Calibri" w:hAnsi="Calibri"/>
                <w:b/>
                <w:i w:val="0"/>
                <w:color w:val="111827"/>
                <w:sz w:val="21"/>
              </w:rPr>
              <w:t>Xác ve sầu (thuyền thoái) bị tạm giữ tại Lạng Sơn — Tín hiệu về nguồn cung dược liệu y học cổ truyền</w:t>
            </w:r>
          </w:p>
        </w:tc>
      </w:tr>
    </w:tbl>
    <w:p>
      <w:pPr>
        <w:spacing w:before="40" w:after="40"/>
        <w:ind w:left="170"/>
      </w:pPr>
      <w:r>
        <w:rPr>
          <w:rFonts w:ascii="Calibri" w:hAnsi="Calibri"/>
          <w:b w:val="0"/>
          <w:i/>
          <w:color w:val="6B7280"/>
          <w:sz w:val="18"/>
        </w:rPr>
        <w:t>Vụ tạm giữ 80kg xác ve sầu khô tại Lạng Sơn cho thấy hoạt động thu gom dược liệu y học cổ truyền từ Trung Quốc đang diễn ra mạnh nhưng thiếu kiểm soát giấy tờ nguồn gốc. Bài viết thuộc phân khúc Đông dược/dược liệu thô, không liên quan trực tiếp đến danh mục generic tân dược của Davipharm.</w:t>
      </w:r>
    </w:p>
    <w:p>
      <w:pPr>
        <w:spacing w:before="20" w:after="40"/>
        <w:ind w:left="170"/>
      </w:pPr>
      <w:r>
        <w:rPr>
          <w:rFonts w:ascii="Calibri" w:hAnsi="Calibri"/>
          <w:b/>
          <w:i w:val="0"/>
          <w:color w:val="374151"/>
          <w:sz w:val="17"/>
        </w:rPr>
        <w:t>⚪ Không có tác động trực tiếp đến sản phẩm hay hoạt động đấu thầu của Davipharm — theo dõi thụ động.</w:t>
      </w:r>
    </w:p>
    <w:tbl>
      <w:tblPr>
        <w:tblStyle w:val="TableGrid"/>
        <w:tblW w:type="auto" w:w="0"/>
        <w:tblLook w:firstColumn="1" w:firstRow="1" w:lastColumn="0" w:lastRow="0" w:noHBand="0" w:noVBand="1" w:val="04A0"/>
      </w:tblPr>
      <w:tblGrid>
        <w:gridCol w:w="9072"/>
      </w:tblGrid>
      <w:tr>
        <w:tc>
          <w:tcPr>
            <w:tcW w:type="dxa" w:w="9072"/>
            <w:shd w:val="clear" w:color="auto" w:fill="F8FAFC"/>
            <w:tcBorders>
              <w:top w:val="none" w:sz="6" w:color="auto"/>
              <w:bottom w:val="none" w:sz="6" w:color="auto"/>
              <w:left w:val="single" w:sz="12" w:color="003B71"/>
              <w:right w:val="none" w:sz="6" w:color="auto"/>
            </w:tcBorders>
          </w:tcPr>
          <w:p>
            <w:pPr>
              <w:spacing w:before="60" w:after="60"/>
              <w:ind w:left="142"/>
            </w:pPr>
            <w:r>
              <w:rPr>
                <w:rFonts w:ascii="Calibri" w:hAnsi="Calibri"/>
                <w:b/>
                <w:i w:val="0"/>
                <w:color w:val="003B71"/>
                <w:sz w:val="17"/>
              </w:rPr>
              <w:t xml:space="preserve">Strategy  </w:t>
            </w:r>
            <w:r>
              <w:rPr>
                <w:rFonts w:ascii="Calibri" w:hAnsi="Calibri"/>
                <w:b w:val="0"/>
                <w:i w:val="0"/>
                <w:color w:val="334155"/>
                <w:sz w:val="17"/>
              </w:rPr>
              <w:t>Không cần hành động. Bài không liên quan đến danh mục tim mạch, đái tháo đường, giảm đau hay bất kỳ hoạt chất nào của Davipharm; Market Intelligence ghi nhận và đóng hồ sơ.</w:t>
            </w:r>
          </w:p>
        </w:tc>
      </w:tr>
    </w:tbl>
    <w:p>
      <w:pPr>
        <w:spacing w:before="40" w:after="120"/>
      </w:pPr>
    </w:p>
    <w:tbl>
      <w:tblPr>
        <w:tblStyle w:val="TableGrid"/>
        <w:tblW w:type="auto" w:w="0"/>
        <w:jc w:val="left"/>
        <w:tblLook w:firstColumn="1" w:firstRow="1" w:lastColumn="0" w:lastRow="0" w:noHBand="0" w:noVBand="1" w:val="04A0"/>
      </w:tblPr>
      <w:tblGrid>
        <w:gridCol w:w="4536"/>
        <w:gridCol w:w="4536"/>
      </w:tblGrid>
      <w:tr>
        <w:tc>
          <w:tcPr>
            <w:tcW w:type="dxa" w:w="1984"/>
            <w:shd w:val="clear" w:color="auto" w:fill="EEF2FF"/>
            <w:tcBorders>
              <w:top w:val="none" w:sz="6" w:color="auto"/>
              <w:bottom w:val="none" w:sz="6" w:color="auto"/>
              <w:left w:val="none" w:sz="6" w:color="auto"/>
              <w:right w:val="none" w:sz="6" w:color="auto"/>
            </w:tcBorders>
          </w:tcPr>
          <w:p>
            <w:pPr>
              <w:spacing w:before="80" w:after="80"/>
              <w:ind w:left="85"/>
            </w:pPr>
            <w:r>
              <w:rPr>
                <w:rFonts w:ascii="Calibri" w:hAnsi="Calibri"/>
                <w:b/>
                <w:i w:val="0"/>
                <w:color w:val="4338CA"/>
                <w:sz w:val="15"/>
              </w:rPr>
              <w:t>DÂN TRÍ – SỨC KHỎE</w:t>
            </w:r>
          </w:p>
        </w:tc>
        <w:tc>
          <w:tcPr>
            <w:tcW w:type="dxa" w:w="4536"/>
            <w:tcBorders>
              <w:top w:val="none" w:sz="6" w:color="auto"/>
              <w:bottom w:val="none" w:sz="6" w:color="auto"/>
              <w:left w:val="none" w:sz="6" w:color="auto"/>
              <w:right w:val="none" w:sz="6" w:color="auto"/>
            </w:tcBorders>
          </w:tcPr>
          <w:p>
            <w:pPr>
              <w:spacing w:before="60" w:after="60"/>
              <w:ind w:left="113"/>
            </w:pPr>
            <w:r>
              <w:rPr>
                <w:rFonts w:ascii="Calibri" w:hAnsi="Calibri"/>
                <w:b/>
                <w:i w:val="0"/>
                <w:color w:val="111827"/>
                <w:sz w:val="21"/>
              </w:rPr>
              <w:t>Ngộ độc Lidocaine sau hút mỡ tại phòng khám — áp lực siết chặt quản lý thẩm mỹ xâm lấn</w:t>
            </w:r>
          </w:p>
        </w:tc>
      </w:tr>
    </w:tbl>
    <w:p>
      <w:pPr>
        <w:spacing w:before="40" w:after="40"/>
        <w:ind w:left="170"/>
      </w:pPr>
      <w:r>
        <w:rPr>
          <w:rFonts w:ascii="Calibri" w:hAnsi="Calibri"/>
          <w:b w:val="0"/>
          <w:i/>
          <w:color w:val="6B7280"/>
          <w:sz w:val="18"/>
        </w:rPr>
        <w:t>Một phụ nữ 53 tuổi ngộ độc Lidocaine nguy kịch sau hút mỡ tại phòng khám TPHCM, phản ánh thực trạng 25.000–35.000 ca biến chứng thẩm mỹ/năm tại Việt Nam từ các cơ sở không phép. Sự kiện này thúc đẩy xu hướng tăng cường chế tài và giám sát phòng khám thẩm mỹ, có thể ảnh hưởng gián tiếp đến nhu cầu thuốc an thần/kiểm soát co giật trong bối cảnh ICU gia tăng tải.</w:t>
      </w:r>
    </w:p>
    <w:p>
      <w:pPr>
        <w:spacing w:before="20" w:after="40"/>
        <w:ind w:left="170"/>
      </w:pPr>
      <w:r>
        <w:rPr>
          <w:rFonts w:ascii="Calibri" w:hAnsi="Calibri"/>
          <w:b/>
          <w:i w:val="0"/>
          <w:color w:val="374151"/>
          <w:sz w:val="17"/>
        </w:rPr>
        <w:t>🔍 Tác động gián tiếp và thấp đối với Davipharm — không có sản phẩm nào trong danh mục bị ảnh hưởng trực tiếp, nhưng cần theo dõi nếu xu hướng siết phòng khám dẫn đến thay đổi kênh ETC nhóm thuốc tâm thần/an thần (SERNAL – Risperidone, LAFAXOR – Venlafaxine).</w:t>
      </w:r>
    </w:p>
    <w:tbl>
      <w:tblPr>
        <w:tblStyle w:val="TableGrid"/>
        <w:tblW w:type="auto" w:w="0"/>
        <w:tblLook w:firstColumn="1" w:firstRow="1" w:lastColumn="0" w:lastRow="0" w:noHBand="0" w:noVBand="1" w:val="04A0"/>
      </w:tblPr>
      <w:tblGrid>
        <w:gridCol w:w="9072"/>
      </w:tblGrid>
      <w:tr>
        <w:tc>
          <w:tcPr>
            <w:tcW w:type="dxa" w:w="9072"/>
            <w:shd w:val="clear" w:color="auto" w:fill="F8FAFC"/>
            <w:tcBorders>
              <w:top w:val="none" w:sz="6" w:color="auto"/>
              <w:bottom w:val="none" w:sz="6" w:color="auto"/>
              <w:left w:val="single" w:sz="12" w:color="003B71"/>
              <w:right w:val="none" w:sz="6" w:color="auto"/>
            </w:tcBorders>
          </w:tcPr>
          <w:p>
            <w:pPr>
              <w:spacing w:before="60" w:after="60"/>
              <w:ind w:left="142"/>
            </w:pPr>
            <w:r>
              <w:rPr>
                <w:rFonts w:ascii="Calibri" w:hAnsi="Calibri"/>
                <w:b/>
                <w:i w:val="0"/>
                <w:color w:val="003B71"/>
                <w:sz w:val="17"/>
              </w:rPr>
              <w:t xml:space="preserve">Strategy  </w:t>
            </w:r>
            <w:r>
              <w:rPr>
                <w:rFonts w:ascii="Calibri" w:hAnsi="Calibri"/>
                <w:b w:val="0"/>
                <w:i w:val="0"/>
                <w:color w:val="334155"/>
                <w:sz w:val="17"/>
              </w:rPr>
              <w:t>Medical Affairs theo dõi diễn biến chính sách siết phòng khám thẩm mỹ trong Q2–Q3/2026; đánh giá xem liệu làn sóng thanh tra có mở rộng sang phòng khám đa khoa — ảnh hưởng đến kênh phân phối OTC/ETC cho SERNAL và LAFAXOR hay không.</w:t>
            </w:r>
          </w:p>
        </w:tc>
      </w:tr>
    </w:tbl>
    <w:p>
      <w:pPr>
        <w:spacing w:before="40" w:after="120"/>
      </w:pPr>
    </w:p>
    <w:tbl>
      <w:tblPr>
        <w:tblStyle w:val="TableGrid"/>
        <w:tblW w:type="auto" w:w="0"/>
        <w:jc w:val="left"/>
        <w:tblLook w:firstColumn="1" w:firstRow="1" w:lastColumn="0" w:lastRow="0" w:noHBand="0" w:noVBand="1" w:val="04A0"/>
      </w:tblPr>
      <w:tblGrid>
        <w:gridCol w:w="4536"/>
        <w:gridCol w:w="4536"/>
      </w:tblGrid>
      <w:tr>
        <w:tc>
          <w:tcPr>
            <w:tcW w:type="dxa" w:w="1984"/>
            <w:shd w:val="clear" w:color="auto" w:fill="EEF2FF"/>
            <w:tcBorders>
              <w:top w:val="none" w:sz="6" w:color="auto"/>
              <w:bottom w:val="none" w:sz="6" w:color="auto"/>
              <w:left w:val="none" w:sz="6" w:color="auto"/>
              <w:right w:val="none" w:sz="6" w:color="auto"/>
            </w:tcBorders>
          </w:tcPr>
          <w:p>
            <w:pPr>
              <w:spacing w:before="80" w:after="80"/>
              <w:ind w:left="85"/>
            </w:pPr>
            <w:r>
              <w:rPr>
                <w:rFonts w:ascii="Calibri" w:hAnsi="Calibri"/>
                <w:b/>
                <w:i w:val="0"/>
                <w:color w:val="4338CA"/>
                <w:sz w:val="15"/>
              </w:rPr>
              <w:t>DÂN TRÍ – SỨC KHỎE</w:t>
            </w:r>
          </w:p>
        </w:tc>
        <w:tc>
          <w:tcPr>
            <w:tcW w:type="dxa" w:w="4536"/>
            <w:tcBorders>
              <w:top w:val="none" w:sz="6" w:color="auto"/>
              <w:bottom w:val="none" w:sz="6" w:color="auto"/>
              <w:left w:val="none" w:sz="6" w:color="auto"/>
              <w:right w:val="none" w:sz="6" w:color="auto"/>
            </w:tcBorders>
          </w:tcPr>
          <w:p>
            <w:pPr>
              <w:spacing w:before="60" w:after="60"/>
              <w:ind w:left="113"/>
            </w:pPr>
            <w:r>
              <w:rPr>
                <w:rFonts w:ascii="Calibri" w:hAnsi="Calibri"/>
                <w:b/>
                <w:i w:val="0"/>
                <w:color w:val="111827"/>
                <w:sz w:val="21"/>
              </w:rPr>
              <w:t>Piperin từ hạt tiêu: tác dụng hỗ trợ giảm mỡ, tim mạch và lưu ý tương tác thuốc</w:t>
            </w:r>
          </w:p>
        </w:tc>
      </w:tr>
    </w:tbl>
    <w:p>
      <w:pPr>
        <w:spacing w:before="40" w:after="40"/>
        <w:ind w:left="170"/>
      </w:pPr>
      <w:r>
        <w:rPr>
          <w:rFonts w:ascii="Calibri" w:hAnsi="Calibri"/>
          <w:b w:val="0"/>
          <w:i/>
          <w:color w:val="6B7280"/>
          <w:sz w:val="18"/>
        </w:rPr>
        <w:t>Bài báo đại chúng phổ biến thông tin về piperin trong hạt tiêu giúp giảm LDL, tăng HDL và hỗ trợ chuyển hóa mỡ — đồng thời cảnh báo piperin có thể ảnh hưởng chuyển hóa thuốc và quá trình đông máu khi dùng liều cao. Thông tin này gián tiếp củng cố nhận thức người dùng về quản lý mỡ máu và tim mạch qua chế độ ăn, có thể ảnh hưởng đến hành vi điều trị bằng thuốc kê đơn như Rosuvastatin (RAVASTEL) và Etoricoxib (MAGRAX).</w:t>
      </w:r>
    </w:p>
    <w:p>
      <w:pPr>
        <w:spacing w:before="20" w:after="40"/>
        <w:ind w:left="170"/>
      </w:pPr>
      <w:r>
        <w:rPr>
          <w:rFonts w:ascii="Calibri" w:hAnsi="Calibri"/>
          <w:b/>
          <w:i w:val="0"/>
          <w:color w:val="374151"/>
          <w:sz w:val="17"/>
        </w:rPr>
        <w:t>⚪ Tác động hạn chế đến doanh thu ngắn hạn, nhưng xu hướng tự điều trị bằng thực phẩm tự nhiên cần được Marketing theo dõi trong dài hạn, đặc biệt với phân khúc bệnh nhân mỡ máu OTC/ETC.</w:t>
      </w:r>
    </w:p>
    <w:tbl>
      <w:tblPr>
        <w:tblStyle w:val="TableGrid"/>
        <w:tblW w:type="auto" w:w="0"/>
        <w:tblLook w:firstColumn="1" w:firstRow="1" w:lastColumn="0" w:lastRow="0" w:noHBand="0" w:noVBand="1" w:val="04A0"/>
      </w:tblPr>
      <w:tblGrid>
        <w:gridCol w:w="9072"/>
      </w:tblGrid>
      <w:tr>
        <w:tc>
          <w:tcPr>
            <w:tcW w:type="dxa" w:w="9072"/>
            <w:shd w:val="clear" w:color="auto" w:fill="F8FAFC"/>
            <w:tcBorders>
              <w:top w:val="none" w:sz="6" w:color="auto"/>
              <w:bottom w:val="none" w:sz="6" w:color="auto"/>
              <w:left w:val="single" w:sz="12" w:color="003B71"/>
              <w:right w:val="none" w:sz="6" w:color="auto"/>
            </w:tcBorders>
          </w:tcPr>
          <w:p>
            <w:pPr>
              <w:spacing w:before="60" w:after="60"/>
              <w:ind w:left="142"/>
            </w:pPr>
            <w:r>
              <w:rPr>
                <w:rFonts w:ascii="Calibri" w:hAnsi="Calibri"/>
                <w:b/>
                <w:i w:val="0"/>
                <w:color w:val="003B71"/>
                <w:sz w:val="17"/>
              </w:rPr>
              <w:t xml:space="preserve">Strategy  </w:t>
            </w:r>
            <w:r>
              <w:rPr>
                <w:rFonts w:ascii="Calibri" w:hAnsi="Calibri"/>
                <w:b w:val="0"/>
                <w:i w:val="0"/>
                <w:color w:val="334155"/>
                <w:sz w:val="17"/>
              </w:rPr>
              <w:t>Team Marketing nên theo dõi xu hướng truyền thông "thực phẩm thay thuốc" để chuẩn bị tài liệu giáo dục HCP nhấn mạnh vai trò không thể thay thế của Rosuvastatin (RAVASTEL) trong kiểm soát LDL theo guideline; lưu ý tương tác piperin–thuốc kê đơn có thể được khai thác trong MedEd cho bác sĩ kê MAGRAX (Etoricoxib) và ZABALES (Clopidogrel).</w:t>
            </w:r>
          </w:p>
        </w:tc>
      </w:tr>
    </w:tbl>
    <w:p>
      <w:pPr>
        <w:spacing w:before="40" w:after="120"/>
      </w:pPr>
    </w:p>
    <w:tbl>
      <w:tblPr>
        <w:tblStyle w:val="TableGrid"/>
        <w:tblW w:type="auto" w:w="0"/>
        <w:jc w:val="left"/>
        <w:tblLook w:firstColumn="1" w:firstRow="1" w:lastColumn="0" w:lastRow="0" w:noHBand="0" w:noVBand="1" w:val="04A0"/>
      </w:tblPr>
      <w:tblGrid>
        <w:gridCol w:w="4536"/>
        <w:gridCol w:w="4536"/>
      </w:tblGrid>
      <w:tr>
        <w:tc>
          <w:tcPr>
            <w:tcW w:type="dxa" w:w="1984"/>
            <w:shd w:val="clear" w:color="auto" w:fill="EEF2FF"/>
            <w:tcBorders>
              <w:top w:val="none" w:sz="6" w:color="auto"/>
              <w:bottom w:val="none" w:sz="6" w:color="auto"/>
              <w:left w:val="none" w:sz="6" w:color="auto"/>
              <w:right w:val="none" w:sz="6" w:color="auto"/>
            </w:tcBorders>
          </w:tcPr>
          <w:p>
            <w:pPr>
              <w:spacing w:before="80" w:after="80"/>
              <w:ind w:left="85"/>
            </w:pPr>
            <w:r>
              <w:rPr>
                <w:rFonts w:ascii="Calibri" w:hAnsi="Calibri"/>
                <w:b/>
                <w:i w:val="0"/>
                <w:color w:val="4338CA"/>
                <w:sz w:val="15"/>
              </w:rPr>
              <w:t>DÂN TRÍ – SỨC KHỎE</w:t>
            </w:r>
          </w:p>
        </w:tc>
        <w:tc>
          <w:tcPr>
            <w:tcW w:type="dxa" w:w="4536"/>
            <w:tcBorders>
              <w:top w:val="none" w:sz="6" w:color="auto"/>
              <w:bottom w:val="none" w:sz="6" w:color="auto"/>
              <w:left w:val="none" w:sz="6" w:color="auto"/>
              <w:right w:val="none" w:sz="6" w:color="auto"/>
            </w:tcBorders>
          </w:tcPr>
          <w:p>
            <w:pPr>
              <w:spacing w:before="60" w:after="60"/>
              <w:ind w:left="113"/>
            </w:pPr>
            <w:r>
              <w:rPr>
                <w:rFonts w:ascii="Calibri" w:hAnsi="Calibri"/>
                <w:b/>
                <w:i w:val="0"/>
                <w:color w:val="111827"/>
                <w:sz w:val="21"/>
              </w:rPr>
              <w:t>Bộ Y tế ban hành hướng dẫn khám sức khỏe định kỳ miễn phí toàn dân từ 2026 — cơ hội sàng lọc bệnh tim mạch, tiểu đường</w:t>
            </w:r>
          </w:p>
        </w:tc>
      </w:tr>
    </w:tbl>
    <w:p>
      <w:pPr>
        <w:spacing w:before="40" w:after="40"/>
        <w:ind w:left="170"/>
      </w:pPr>
      <w:r>
        <w:rPr>
          <w:rFonts w:ascii="Calibri" w:hAnsi="Calibri"/>
          <w:b w:val="0"/>
          <w:i/>
          <w:color w:val="6B7280"/>
          <w:sz w:val="18"/>
        </w:rPr>
        <w:t>Bộ Y tế ban hành hướng dẫn khám sức khỏe định kỳ miễn phí ít nhất 1 lần/năm cho người từ 18 tuổi, bao gồm xét nghiệm đường máu, huyết áp và chụp X-quang tim phổi — trực tiếp tạo làn sóng phát hiện sớm bệnh tăng huyết áp, rối loạn lipid máu và tiểu đường. Chính sách này dự kiến gia tăng đáng kể số bệnh nhân mới được chẩn đoán và đưa vào điều trị, mở rộng thị trường cho các nhóm thuốc tim mạch (Perindopril+Amlodipin, Rosuvastatin, Valsartan) và đái tháo đường (Empagliflozin, Sitagliptin) của Davipharm.</w:t>
      </w:r>
    </w:p>
    <w:p>
      <w:pPr>
        <w:spacing w:before="20" w:after="40"/>
        <w:ind w:left="170"/>
      </w:pPr>
      <w:r>
        <w:rPr>
          <w:rFonts w:ascii="Calibri" w:hAnsi="Calibri"/>
          <w:b/>
          <w:i w:val="0"/>
          <w:color w:val="166534"/>
          <w:sz w:val="17"/>
        </w:rPr>
        <w:t>🟢 Cơ hội trung-dài hạn rõ ràng: hàng triệu bệnh nhân mới được sàng lọc sẽ gia tăng nhu cầu điều trị bằng PECHAUNOX, RAVASTEL, TABAREX, EIMLER-10 và ZLATKO qua kênh ETC.</w:t>
      </w:r>
    </w:p>
    <w:tbl>
      <w:tblPr>
        <w:tblStyle w:val="TableGrid"/>
        <w:tblW w:type="auto" w:w="0"/>
        <w:tblLook w:firstColumn="1" w:firstRow="1" w:lastColumn="0" w:lastRow="0" w:noHBand="0" w:noVBand="1" w:val="04A0"/>
      </w:tblPr>
      <w:tblGrid>
        <w:gridCol w:w="9072"/>
      </w:tblGrid>
      <w:tr>
        <w:tc>
          <w:tcPr>
            <w:tcW w:type="dxa" w:w="9072"/>
            <w:shd w:val="clear" w:color="auto" w:fill="F8FAFC"/>
            <w:tcBorders>
              <w:top w:val="none" w:sz="6" w:color="auto"/>
              <w:bottom w:val="none" w:sz="6" w:color="auto"/>
              <w:left w:val="single" w:sz="12" w:color="003B71"/>
              <w:right w:val="none" w:sz="6" w:color="auto"/>
            </w:tcBorders>
          </w:tcPr>
          <w:p>
            <w:pPr>
              <w:spacing w:before="60" w:after="60"/>
              <w:ind w:left="142"/>
            </w:pPr>
            <w:r>
              <w:rPr>
                <w:rFonts w:ascii="Calibri" w:hAnsi="Calibri"/>
                <w:b/>
                <w:i w:val="0"/>
                <w:color w:val="003B71"/>
                <w:sz w:val="17"/>
              </w:rPr>
              <w:t xml:space="preserve">Strategy  </w:t>
            </w:r>
            <w:r>
              <w:rPr>
                <w:rFonts w:ascii="Calibri" w:hAnsi="Calibri"/>
                <w:b w:val="0"/>
                <w:i w:val="0"/>
                <w:color w:val="334155"/>
                <w:sz w:val="17"/>
              </w:rPr>
              <w:t>Marketing &amp; Medical Affairs cần theo dõi sát lộ trình ban hành Nghị định hướng dẫn Luật Phòng bệnh (hiện chưa ban hành) để dự báo thời điểm chính sách có hiệu lực và chuẩn bị tài liệu y khoa (detailing) cho bác sĩ tuyến cơ sở về PECHAUNOX, RAVASTEL, EIMLER-10 ngay khi làn sóng sàng lọc triển khai. Business Development cần đánh giá khả năng mở rộng danh mục vào gói thầu BHYT tuyến huyện/xã song song với đợt khám sàng lọc đại trà, dự kiến Q3-Q4/2026.&lt;/p</w:t>
            </w:r>
          </w:p>
        </w:tc>
      </w:tr>
    </w:tbl>
    <w:p>
      <w:pPr>
        <w:spacing w:before="40" w:after="120"/>
      </w:pPr>
    </w:p>
    <w:tbl>
      <w:tblPr>
        <w:tblStyle w:val="TableGrid"/>
        <w:tblW w:type="auto" w:w="0"/>
        <w:jc w:val="left"/>
        <w:tblLook w:firstColumn="1" w:firstRow="1" w:lastColumn="0" w:lastRow="0" w:noHBand="0" w:noVBand="1" w:val="04A0"/>
      </w:tblPr>
      <w:tblGrid>
        <w:gridCol w:w="4536"/>
        <w:gridCol w:w="4536"/>
      </w:tblGrid>
      <w:tr>
        <w:tc>
          <w:tcPr>
            <w:tcW w:type="dxa" w:w="1984"/>
            <w:shd w:val="clear" w:color="auto" w:fill="EEF2FF"/>
            <w:tcBorders>
              <w:top w:val="none" w:sz="6" w:color="auto"/>
              <w:bottom w:val="none" w:sz="6" w:color="auto"/>
              <w:left w:val="none" w:sz="6" w:color="auto"/>
              <w:right w:val="none" w:sz="6" w:color="auto"/>
            </w:tcBorders>
          </w:tcPr>
          <w:p>
            <w:pPr>
              <w:spacing w:before="80" w:after="80"/>
              <w:ind w:left="85"/>
            </w:pPr>
            <w:r>
              <w:rPr>
                <w:rFonts w:ascii="Calibri" w:hAnsi="Calibri"/>
                <w:b/>
                <w:i w:val="0"/>
                <w:color w:val="4338CA"/>
                <w:sz w:val="15"/>
              </w:rPr>
              <w:t>DÂN TRÍ – SỨC KHỎE</w:t>
            </w:r>
          </w:p>
        </w:tc>
        <w:tc>
          <w:tcPr>
            <w:tcW w:type="dxa" w:w="4536"/>
            <w:tcBorders>
              <w:top w:val="none" w:sz="6" w:color="auto"/>
              <w:bottom w:val="none" w:sz="6" w:color="auto"/>
              <w:left w:val="none" w:sz="6" w:color="auto"/>
              <w:right w:val="none" w:sz="6" w:color="auto"/>
            </w:tcBorders>
          </w:tcPr>
          <w:p>
            <w:pPr>
              <w:spacing w:before="60" w:after="60"/>
              <w:ind w:left="113"/>
            </w:pPr>
            <w:r>
              <w:rPr>
                <w:rFonts w:ascii="Calibri" w:hAnsi="Calibri"/>
                <w:b/>
                <w:i w:val="0"/>
                <w:color w:val="111827"/>
                <w:sz w:val="21"/>
              </w:rPr>
              <w:t>90% người dân Việt gặp vấn đề răng miệng — Tín hiệu thị trường ngoài danh mục Davipharm</w:t>
            </w:r>
          </w:p>
        </w:tc>
      </w:tr>
    </w:tbl>
    <w:p>
      <w:pPr>
        <w:spacing w:before="40" w:after="40"/>
        <w:ind w:left="170"/>
      </w:pPr>
      <w:r>
        <w:rPr>
          <w:rFonts w:ascii="Calibri" w:hAnsi="Calibri"/>
          <w:b w:val="0"/>
          <w:i/>
          <w:color w:val="6B7280"/>
          <w:sz w:val="18"/>
        </w:rPr>
        <w:t>Hội nghị Nha khoa Châu Á-Thái Bình Dương lần thứ 47 tại Hà Nội công bố tỷ lệ bệnh răng miệng ở mức báo động: 90% dân số có vấn đề, 60% người trưởng thành bị viêm lợi/quanh răng, 79% người cao tuổi mất răng. Danh mục Davipharm hiện không có sản phẩm nào trong phân khúc nha khoa/kháng khuẩn miệng, nên tín hiệu thị trường này không tạo tác động doanh thu trực tiếp.</w:t>
      </w:r>
    </w:p>
    <w:p>
      <w:pPr>
        <w:spacing w:before="20" w:after="40"/>
        <w:ind w:left="170"/>
      </w:pPr>
      <w:r>
        <w:rPr>
          <w:rFonts w:ascii="Calibri" w:hAnsi="Calibri"/>
          <w:b/>
          <w:i w:val="0"/>
          <w:color w:val="374151"/>
          <w:sz w:val="17"/>
        </w:rPr>
        <w:t>➖ Thông tin nền về gánh nặng bệnh tật; không có sản phẩm Davipharm nào được hưởng lợi trực tiếp trong ngắn hạn.</w:t>
      </w:r>
    </w:p>
    <w:tbl>
      <w:tblPr>
        <w:tblStyle w:val="TableGrid"/>
        <w:tblW w:type="auto" w:w="0"/>
        <w:tblLook w:firstColumn="1" w:firstRow="1" w:lastColumn="0" w:lastRow="0" w:noHBand="0" w:noVBand="1" w:val="04A0"/>
      </w:tblPr>
      <w:tblGrid>
        <w:gridCol w:w="9072"/>
      </w:tblGrid>
      <w:tr>
        <w:tc>
          <w:tcPr>
            <w:tcW w:type="dxa" w:w="9072"/>
            <w:shd w:val="clear" w:color="auto" w:fill="F8FAFC"/>
            <w:tcBorders>
              <w:top w:val="none" w:sz="6" w:color="auto"/>
              <w:bottom w:val="none" w:sz="6" w:color="auto"/>
              <w:left w:val="single" w:sz="12" w:color="003B71"/>
              <w:right w:val="none" w:sz="6" w:color="auto"/>
            </w:tcBorders>
          </w:tcPr>
          <w:p>
            <w:pPr>
              <w:spacing w:before="60" w:after="60"/>
              <w:ind w:left="142"/>
            </w:pPr>
            <w:r>
              <w:rPr>
                <w:rFonts w:ascii="Calibri" w:hAnsi="Calibri"/>
                <w:b/>
                <w:i w:val="0"/>
                <w:color w:val="003B71"/>
                <w:sz w:val="17"/>
              </w:rPr>
              <w:t xml:space="preserve">Strategy  </w:t>
            </w:r>
            <w:r>
              <w:rPr>
                <w:rFonts w:ascii="Calibri" w:hAnsi="Calibri"/>
                <w:b w:val="0"/>
                <w:i w:val="0"/>
                <w:color w:val="334155"/>
                <w:sz w:val="17"/>
              </w:rPr>
              <w:t>Không cần hành động ưu tiên. Business Development có thể ghi nhận như tín hiệu dài hạn nếu Davipharm cân nhắc mở rộng danh mục sang kháng sinh/kháng viêm dạng bào chế chuyên dụng cho nha khoa (ví dụ: Metronidazole, Amoxicillin đóng gói nha khoa) trong chu kỳ pipeline 3–5 năm tới.</w:t>
            </w:r>
          </w:p>
        </w:tc>
      </w:tr>
    </w:tbl>
    <w:p>
      <w:pPr>
        <w:spacing w:before="40" w:after="120"/>
      </w:pPr>
    </w:p>
    <w:tbl>
      <w:tblPr>
        <w:tblStyle w:val="TableGrid"/>
        <w:tblW w:type="auto" w:w="0"/>
        <w:jc w:val="left"/>
        <w:tblLook w:firstColumn="1" w:firstRow="1" w:lastColumn="0" w:lastRow="0" w:noHBand="0" w:noVBand="1" w:val="04A0"/>
      </w:tblPr>
      <w:tblGrid>
        <w:gridCol w:w="4536"/>
        <w:gridCol w:w="4536"/>
      </w:tblGrid>
      <w:tr>
        <w:tc>
          <w:tcPr>
            <w:tcW w:type="dxa" w:w="1984"/>
            <w:shd w:val="clear" w:color="auto" w:fill="EEF2FF"/>
            <w:tcBorders>
              <w:top w:val="none" w:sz="6" w:color="auto"/>
              <w:bottom w:val="none" w:sz="6" w:color="auto"/>
              <w:left w:val="none" w:sz="6" w:color="auto"/>
              <w:right w:val="none" w:sz="6" w:color="auto"/>
            </w:tcBorders>
          </w:tcPr>
          <w:p>
            <w:pPr>
              <w:spacing w:before="80" w:after="80"/>
              <w:ind w:left="85"/>
            </w:pPr>
            <w:r>
              <w:rPr>
                <w:rFonts w:ascii="Calibri" w:hAnsi="Calibri"/>
                <w:b/>
                <w:i w:val="0"/>
                <w:color w:val="4338CA"/>
                <w:sz w:val="15"/>
              </w:rPr>
              <w:t>DÂN TRÍ – SỨC KHỎE</w:t>
            </w:r>
          </w:p>
        </w:tc>
        <w:tc>
          <w:tcPr>
            <w:tcW w:type="dxa" w:w="4536"/>
            <w:tcBorders>
              <w:top w:val="none" w:sz="6" w:color="auto"/>
              <w:bottom w:val="none" w:sz="6" w:color="auto"/>
              <w:left w:val="none" w:sz="6" w:color="auto"/>
              <w:right w:val="none" w:sz="6" w:color="auto"/>
            </w:tcBorders>
          </w:tcPr>
          <w:p>
            <w:pPr>
              <w:spacing w:before="60" w:after="60"/>
              <w:ind w:left="113"/>
            </w:pPr>
            <w:r>
              <w:rPr>
                <w:rFonts w:ascii="Calibri" w:hAnsi="Calibri"/>
                <w:b/>
                <w:i w:val="0"/>
                <w:color w:val="111827"/>
                <w:sz w:val="21"/>
              </w:rPr>
              <w:t>Bộ Y tế đề xuất chính sách đãi ngộ đặc thù cho y tế biển đảo Trường Sa</w:t>
            </w:r>
          </w:p>
        </w:tc>
      </w:tr>
    </w:tbl>
    <w:p>
      <w:pPr>
        <w:spacing w:before="40" w:after="40"/>
        <w:ind w:left="170"/>
      </w:pPr>
      <w:r>
        <w:rPr>
          <w:rFonts w:ascii="Calibri" w:hAnsi="Calibri"/>
          <w:b w:val="0"/>
          <w:i/>
          <w:color w:val="6B7280"/>
          <w:sz w:val="18"/>
        </w:rPr>
        <w:t>Bộ Y tế sẽ tham mưu Chính phủ hoàn thiện khung pháp lý về chế độ đãi ngộ đặc thù cho y tế hải đảo sau chuyến thị sát Trường Sa (4–10/5), đồng thời hỗ trợ thiết bị y tế và cơ số thuốc trị giá ~3,3 tỷ đồng cho các đảo. Đây là tín hiệu cho thấy Nhà nước đang đầu tư mở rộng năng lực y tế tuyến cơ sở vùng xa, song không trực tiếp liên quan đến cơ chế đấu thầu hay danh mục thuốc ETC.</w:t>
      </w:r>
    </w:p>
    <w:p>
      <w:pPr>
        <w:spacing w:before="20" w:after="40"/>
        <w:ind w:left="170"/>
      </w:pPr>
      <w:r>
        <w:rPr>
          <w:rFonts w:ascii="Calibri" w:hAnsi="Calibri"/>
          <w:b/>
          <w:i w:val="0"/>
          <w:color w:val="374151"/>
          <w:sz w:val="17"/>
        </w:rPr>
        <w:t>➖ Không có tác động trực tiếp đến doanh thu hay danh mục ETC của Davipharm; y tế biển đảo do quân y (Bộ Quốc phòng) quản lý, nằm ngoài kênh đấu thầu dân sự.</w:t>
      </w:r>
    </w:p>
    <w:tbl>
      <w:tblPr>
        <w:tblStyle w:val="TableGrid"/>
        <w:tblW w:type="auto" w:w="0"/>
        <w:tblLook w:firstColumn="1" w:firstRow="1" w:lastColumn="0" w:lastRow="0" w:noHBand="0" w:noVBand="1" w:val="04A0"/>
      </w:tblPr>
      <w:tblGrid>
        <w:gridCol w:w="9072"/>
      </w:tblGrid>
      <w:tr>
        <w:tc>
          <w:tcPr>
            <w:tcW w:type="dxa" w:w="9072"/>
            <w:shd w:val="clear" w:color="auto" w:fill="F8FAFC"/>
            <w:tcBorders>
              <w:top w:val="none" w:sz="6" w:color="auto"/>
              <w:bottom w:val="none" w:sz="6" w:color="auto"/>
              <w:left w:val="single" w:sz="12" w:color="003B71"/>
              <w:right w:val="none" w:sz="6" w:color="auto"/>
            </w:tcBorders>
          </w:tcPr>
          <w:p>
            <w:pPr>
              <w:spacing w:before="60" w:after="60"/>
              <w:ind w:left="142"/>
            </w:pPr>
            <w:r>
              <w:rPr>
                <w:rFonts w:ascii="Calibri" w:hAnsi="Calibri"/>
                <w:b/>
                <w:i w:val="0"/>
                <w:color w:val="003B71"/>
                <w:sz w:val="17"/>
              </w:rPr>
              <w:t xml:space="preserve">Strategy  </w:t>
            </w:r>
            <w:r>
              <w:rPr>
                <w:rFonts w:ascii="Calibri" w:hAnsi="Calibri"/>
                <w:b w:val="0"/>
                <w:i w:val="0"/>
                <w:color w:val="334155"/>
                <w:sz w:val="17"/>
              </w:rPr>
              <w:t>Không cần hành động tức thời; team Government Affairs có thể theo dõi khung pháp lý đãi ngộ y tế hải đảo để đánh giá xem có mở ra kênh cung ứng thuốc thiết yếu (generic cơ bản) cho Bộ Quốc phòng trong dài hạn hay không.</w:t>
            </w:r>
          </w:p>
        </w:tc>
      </w:tr>
    </w:tbl>
    <w:p>
      <w:pPr>
        <w:spacing w:before="40" w:after="120"/>
      </w:pPr>
    </w:p>
    <w:tbl>
      <w:tblPr>
        <w:tblStyle w:val="TableGrid"/>
        <w:tblW w:type="auto" w:w="0"/>
        <w:jc w:val="left"/>
        <w:tblLook w:firstColumn="1" w:firstRow="1" w:lastColumn="0" w:lastRow="0" w:noHBand="0" w:noVBand="1" w:val="04A0"/>
      </w:tblPr>
      <w:tblGrid>
        <w:gridCol w:w="4536"/>
        <w:gridCol w:w="4536"/>
      </w:tblGrid>
      <w:tr>
        <w:tc>
          <w:tcPr>
            <w:tcW w:type="dxa" w:w="1984"/>
            <w:shd w:val="clear" w:color="auto" w:fill="EEF2FF"/>
            <w:tcBorders>
              <w:top w:val="none" w:sz="6" w:color="auto"/>
              <w:bottom w:val="none" w:sz="6" w:color="auto"/>
              <w:left w:val="none" w:sz="6" w:color="auto"/>
              <w:right w:val="none" w:sz="6" w:color="auto"/>
            </w:tcBorders>
          </w:tcPr>
          <w:p>
            <w:pPr>
              <w:spacing w:before="80" w:after="80"/>
              <w:ind w:left="85"/>
            </w:pPr>
            <w:r>
              <w:rPr>
                <w:rFonts w:ascii="Calibri" w:hAnsi="Calibri"/>
                <w:b/>
                <w:i w:val="0"/>
                <w:color w:val="4338CA"/>
                <w:sz w:val="15"/>
              </w:rPr>
              <w:t>DÂN TRÍ – SỨC KHỎE</w:t>
            </w:r>
          </w:p>
        </w:tc>
        <w:tc>
          <w:tcPr>
            <w:tcW w:type="dxa" w:w="4536"/>
            <w:tcBorders>
              <w:top w:val="none" w:sz="6" w:color="auto"/>
              <w:bottom w:val="none" w:sz="6" w:color="auto"/>
              <w:left w:val="none" w:sz="6" w:color="auto"/>
              <w:right w:val="none" w:sz="6" w:color="auto"/>
            </w:tcBorders>
          </w:tcPr>
          <w:p>
            <w:pPr>
              <w:spacing w:before="60" w:after="60"/>
              <w:ind w:left="113"/>
            </w:pPr>
            <w:r>
              <w:rPr>
                <w:rFonts w:ascii="Calibri" w:hAnsi="Calibri"/>
                <w:b/>
                <w:i w:val="0"/>
                <w:color w:val="111827"/>
                <w:sz w:val="21"/>
              </w:rPr>
              <w:t>Tăng huyết áp bỏ sót ở hàng triệu người Việt — Cơ hội cho danh mục tim mạch Davipharm</w:t>
            </w:r>
          </w:p>
        </w:tc>
      </w:tr>
    </w:tbl>
    <w:p>
      <w:pPr>
        <w:spacing w:before="40" w:after="40"/>
        <w:ind w:left="170"/>
      </w:pPr>
      <w:r>
        <w:rPr>
          <w:rFonts w:ascii="Calibri" w:hAnsi="Calibri"/>
          <w:b w:val="0"/>
          <w:i/>
          <w:color w:val="6B7280"/>
          <w:sz w:val="18"/>
        </w:rPr>
        <w:t>25–30% người trưởng thành Việt Nam (hàng chục triệu người) mắc tăng huyết áp nhưng tỷ lệ chẩn đoán và tuân thủ điều trị vẫn thấp, xu hướng trẻ hóa bệnh đang mở rộng pool bệnh nhân dài hạn. Điều này trực tiếp hỗ trợ nhu cầu thị trường cho PECHAUNOX (Perindopril+Amlodipin) và TABAREX/HATLOP (Valsartan/Irbesartan) — các sản phẩm phối hợp liều cố định đang được khuyến khích trong điều trị chuẩn hóa.</w:t>
      </w:r>
    </w:p>
    <w:p>
      <w:pPr>
        <w:spacing w:before="20" w:after="40"/>
        <w:ind w:left="170"/>
      </w:pPr>
      <w:r>
        <w:rPr>
          <w:rFonts w:ascii="Calibri" w:hAnsi="Calibri"/>
          <w:b/>
          <w:i w:val="0"/>
          <w:color w:val="166534"/>
          <w:sz w:val="17"/>
        </w:rPr>
        <w:t>🟢 Nhu cầu điều trị tăng huyết áp dài hạn và xu hướng dùng thuốc phối hợp liều cố định tạo cơ hội mở rộng thị phần ETC/OTC cho PECHAUNOX, TABAREX và HATLOP.</w:t>
      </w:r>
    </w:p>
    <w:tbl>
      <w:tblPr>
        <w:tblStyle w:val="TableGrid"/>
        <w:tblW w:type="auto" w:w="0"/>
        <w:tblLook w:firstColumn="1" w:firstRow="1" w:lastColumn="0" w:lastRow="0" w:noHBand="0" w:noVBand="1" w:val="04A0"/>
      </w:tblPr>
      <w:tblGrid>
        <w:gridCol w:w="9072"/>
      </w:tblGrid>
      <w:tr>
        <w:tc>
          <w:tcPr>
            <w:tcW w:type="dxa" w:w="9072"/>
            <w:shd w:val="clear" w:color="auto" w:fill="F8FAFC"/>
            <w:tcBorders>
              <w:top w:val="none" w:sz="6" w:color="auto"/>
              <w:bottom w:val="none" w:sz="6" w:color="auto"/>
              <w:left w:val="single" w:sz="12" w:color="003B71"/>
              <w:right w:val="none" w:sz="6" w:color="auto"/>
            </w:tcBorders>
          </w:tcPr>
          <w:p>
            <w:pPr>
              <w:spacing w:before="60" w:after="60"/>
              <w:ind w:left="142"/>
            </w:pPr>
            <w:r>
              <w:rPr>
                <w:rFonts w:ascii="Calibri" w:hAnsi="Calibri"/>
                <w:b/>
                <w:i w:val="0"/>
                <w:color w:val="003B71"/>
                <w:sz w:val="17"/>
              </w:rPr>
              <w:t xml:space="preserve">Strategy  </w:t>
            </w:r>
            <w:r>
              <w:rPr>
                <w:rFonts w:ascii="Calibri" w:hAnsi="Calibri"/>
                <w:b w:val="0"/>
                <w:i w:val="0"/>
                <w:color w:val="334155"/>
                <w:sz w:val="17"/>
              </w:rPr>
              <w:t>Team Marketing &amp; Medical Affairs cần tận dụng Ngày Tăng huyết áp Thế giới 17/5 để đẩy mạnh hoạt động medical education tại bệnh viện, nhấn mạnh lợi ích tuân thủ điều trị với thuốc phối hợp (PECHAUNOX, TABAREX, HATLOP); đồng thời Team Sales ETC ưu tiên tiếp cận các cơ sở y tế ban đầu — nơi tầm soát và kê đơn lần đầu cho bệnh nhân chưa được chẩn đoán, trước chu kỳ đấu thầu địa phương tiếp theo.</w:t>
            </w:r>
          </w:p>
        </w:tc>
      </w:tr>
    </w:tbl>
    <w:p>
      <w:pPr>
        <w:spacing w:before="40" w:after="120"/>
      </w:pPr>
    </w:p>
    <w:tbl>
      <w:tblPr>
        <w:tblStyle w:val="TableGrid"/>
        <w:tblW w:type="auto" w:w="0"/>
        <w:jc w:val="left"/>
        <w:tblLook w:firstColumn="1" w:firstRow="1" w:lastColumn="0" w:lastRow="0" w:noHBand="0" w:noVBand="1" w:val="04A0"/>
      </w:tblPr>
      <w:tblGrid>
        <w:gridCol w:w="4536"/>
        <w:gridCol w:w="4536"/>
      </w:tblGrid>
      <w:tr>
        <w:tc>
          <w:tcPr>
            <w:tcW w:type="dxa" w:w="1984"/>
            <w:shd w:val="clear" w:color="auto" w:fill="EEF2FF"/>
            <w:tcBorders>
              <w:top w:val="none" w:sz="6" w:color="auto"/>
              <w:bottom w:val="none" w:sz="6" w:color="auto"/>
              <w:left w:val="none" w:sz="6" w:color="auto"/>
              <w:right w:val="none" w:sz="6" w:color="auto"/>
            </w:tcBorders>
          </w:tcPr>
          <w:p>
            <w:pPr>
              <w:spacing w:before="80" w:after="80"/>
              <w:ind w:left="85"/>
            </w:pPr>
            <w:r>
              <w:rPr>
                <w:rFonts w:ascii="Calibri" w:hAnsi="Calibri"/>
                <w:b/>
                <w:i w:val="0"/>
                <w:color w:val="4338CA"/>
                <w:sz w:val="15"/>
              </w:rPr>
              <w:t>DÂN TRÍ – SỨC KHỎE</w:t>
            </w:r>
          </w:p>
        </w:tc>
        <w:tc>
          <w:tcPr>
            <w:tcW w:type="dxa" w:w="4536"/>
            <w:tcBorders>
              <w:top w:val="none" w:sz="6" w:color="auto"/>
              <w:bottom w:val="none" w:sz="6" w:color="auto"/>
              <w:left w:val="none" w:sz="6" w:color="auto"/>
              <w:right w:val="none" w:sz="6" w:color="auto"/>
            </w:tcBorders>
          </w:tcPr>
          <w:p>
            <w:pPr>
              <w:spacing w:before="60" w:after="60"/>
              <w:ind w:left="113"/>
            </w:pPr>
            <w:r>
              <w:rPr>
                <w:rFonts w:ascii="Calibri" w:hAnsi="Calibri"/>
                <w:b/>
                <w:i w:val="0"/>
                <w:color w:val="111827"/>
                <w:sz w:val="21"/>
              </w:rPr>
              <w:t>Xu hướng bệnh cơ xương khớp trẻ hóa &amp; Y học tái tạo — cơ hội cho Etoricoxib (MAGRAX)</w:t>
            </w:r>
          </w:p>
        </w:tc>
      </w:tr>
    </w:tbl>
    <w:p>
      <w:pPr>
        <w:spacing w:before="40" w:after="40"/>
        <w:ind w:left="170"/>
      </w:pPr>
      <w:r>
        <w:rPr>
          <w:rFonts w:ascii="Calibri" w:hAnsi="Calibri"/>
          <w:b w:val="0"/>
          <w:i/>
          <w:color w:val="6B7280"/>
          <w:sz w:val="18"/>
        </w:rPr>
        <w:t>Tọa đàm tại BV Hồng Ngọc (Dân Trí, 12/05/2026) ghi nhận bệnh thoái hóa khớp đang trẻ hóa nhanh — nhóm ngoài 30 tuổi ngày càng phổ biến — và cảnh báo tình trạng tự mua thuốc giảm đau, chống viêm không kê đơn kéo dài. Đây mở rộng pool bệnh nhân tiềm năng cho MAGRAX (Etoricoxib), đồng thời xu hướng giảm phụ thuộc NSAID truyền thống tạo lợi thế cho Etoricoxib là COX-2 chọn lọc có profil an toàn tiêu hóa tốt hơn.</w:t>
      </w:r>
    </w:p>
    <w:p>
      <w:pPr>
        <w:spacing w:before="20" w:after="40"/>
        <w:ind w:left="170"/>
      </w:pPr>
      <w:r>
        <w:rPr>
          <w:rFonts w:ascii="Calibri" w:hAnsi="Calibri"/>
          <w:b/>
          <w:i w:val="0"/>
          <w:color w:val="166534"/>
          <w:sz w:val="17"/>
        </w:rPr>
        <w:t>🟢 Cơ hội: nhu cầu điều trị xương khớp mở rộng sang nhóm tuổi trẻ hơn củng cố luận điểm thầu và detailing cho MAGRAX (Etoricoxib) tại các khoa Cơ xương khớp, Nội tổng quát bệnh viện tuyến quận/huyện và bệnh viện tư.</w:t>
      </w:r>
    </w:p>
    <w:tbl>
      <w:tblPr>
        <w:tblStyle w:val="TableGrid"/>
        <w:tblW w:type="auto" w:w="0"/>
        <w:tblLook w:firstColumn="1" w:firstRow="1" w:lastColumn="0" w:lastRow="0" w:noHBand="0" w:noVBand="1" w:val="04A0"/>
      </w:tblPr>
      <w:tblGrid>
        <w:gridCol w:w="9072"/>
      </w:tblGrid>
      <w:tr>
        <w:tc>
          <w:tcPr>
            <w:tcW w:type="dxa" w:w="9072"/>
            <w:shd w:val="clear" w:color="auto" w:fill="F8FAFC"/>
            <w:tcBorders>
              <w:top w:val="none" w:sz="6" w:color="auto"/>
              <w:bottom w:val="none" w:sz="6" w:color="auto"/>
              <w:left w:val="single" w:sz="12" w:color="003B71"/>
              <w:right w:val="none" w:sz="6" w:color="auto"/>
            </w:tcBorders>
          </w:tcPr>
          <w:p>
            <w:pPr>
              <w:spacing w:before="60" w:after="60"/>
              <w:ind w:left="142"/>
            </w:pPr>
            <w:r>
              <w:rPr>
                <w:rFonts w:ascii="Calibri" w:hAnsi="Calibri"/>
                <w:b/>
                <w:i w:val="0"/>
                <w:color w:val="003B71"/>
                <w:sz w:val="17"/>
              </w:rPr>
              <w:t xml:space="preserve">Strategy  </w:t>
            </w:r>
            <w:r>
              <w:rPr>
                <w:rFonts w:ascii="Calibri" w:hAnsi="Calibri"/>
                <w:b w:val="0"/>
                <w:i w:val="0"/>
                <w:color w:val="334155"/>
                <w:sz w:val="17"/>
              </w:rPr>
              <w:t>Marketing &amp; Medical Affairs cập nhật messaging cho MAGRAX nhấn mạnh profil an toàn COX-2 so với NSAID không chọn lọc, nhắm vào nhóm bệnh nhân trẻ tuổi hoạt động thể thao; Sales team ETC ưu tiên detailing tại BV có khoa Cơ xương khớp và phòng khám thể thao trong Q3/2026, trước chu kỳ thầu địa phương cuối năm.</w:t>
            </w:r>
          </w:p>
        </w:tc>
      </w:tr>
    </w:tbl>
    <w:p>
      <w:pPr>
        <w:spacing w:before="40" w:after="120"/>
      </w:pPr>
    </w:p>
    <w:tbl>
      <w:tblPr>
        <w:tblStyle w:val="TableGrid"/>
        <w:tblW w:type="auto" w:w="0"/>
        <w:jc w:val="left"/>
        <w:tblLook w:firstColumn="1" w:firstRow="1" w:lastColumn="0" w:lastRow="0" w:noHBand="0" w:noVBand="1" w:val="04A0"/>
      </w:tblPr>
      <w:tblGrid>
        <w:gridCol w:w="4536"/>
        <w:gridCol w:w="4536"/>
      </w:tblGrid>
      <w:tr>
        <w:tc>
          <w:tcPr>
            <w:tcW w:type="dxa" w:w="1984"/>
            <w:shd w:val="clear" w:color="auto" w:fill="EEF2FF"/>
            <w:tcBorders>
              <w:top w:val="none" w:sz="6" w:color="auto"/>
              <w:bottom w:val="none" w:sz="6" w:color="auto"/>
              <w:left w:val="none" w:sz="6" w:color="auto"/>
              <w:right w:val="none" w:sz="6" w:color="auto"/>
            </w:tcBorders>
          </w:tcPr>
          <w:p>
            <w:pPr>
              <w:spacing w:before="80" w:after="80"/>
              <w:ind w:left="85"/>
            </w:pPr>
            <w:r>
              <w:rPr>
                <w:rFonts w:ascii="Calibri" w:hAnsi="Calibri"/>
                <w:b/>
                <w:i w:val="0"/>
                <w:color w:val="4338CA"/>
                <w:sz w:val="15"/>
              </w:rPr>
              <w:t>DÂN TRÍ – SỨC KHỎE</w:t>
            </w:r>
          </w:p>
        </w:tc>
        <w:tc>
          <w:tcPr>
            <w:tcW w:type="dxa" w:w="4536"/>
            <w:tcBorders>
              <w:top w:val="none" w:sz="6" w:color="auto"/>
              <w:bottom w:val="none" w:sz="6" w:color="auto"/>
              <w:left w:val="none" w:sz="6" w:color="auto"/>
              <w:right w:val="none" w:sz="6" w:color="auto"/>
            </w:tcBorders>
          </w:tcPr>
          <w:p>
            <w:pPr>
              <w:spacing w:before="60" w:after="60"/>
              <w:ind w:left="113"/>
            </w:pPr>
            <w:r>
              <w:rPr>
                <w:rFonts w:ascii="Calibri" w:hAnsi="Calibri"/>
                <w:b/>
                <w:i w:val="0"/>
                <w:color w:val="111827"/>
                <w:sz w:val="21"/>
              </w:rPr>
              <w:t>Xu hướng nội soi phóng đại cấp độ tế bào trong tầm soát ung thư tiêu hóa tại Việt Nam</w:t>
            </w:r>
          </w:p>
        </w:tc>
      </w:tr>
    </w:tbl>
    <w:p>
      <w:pPr>
        <w:spacing w:before="40" w:after="40"/>
        <w:ind w:left="170"/>
      </w:pPr>
      <w:r>
        <w:rPr>
          <w:rFonts w:ascii="Calibri" w:hAnsi="Calibri"/>
          <w:b w:val="0"/>
          <w:i/>
          <w:color w:val="6B7280"/>
          <w:sz w:val="18"/>
        </w:rPr>
        <w:t>Công nghệ nội soi Endocyto 520x (Olympus) đang được triển khai tại Thu Cúc TCI, cho phép phát hiện tổn thương ung thư tiêu hóa ở cấp độ tế bào — đánh dấu sự chuyển dịch sang chẩn đoán sớm chuyên sâu tại kênh bệnh viện tư. Xu hướng này gián tiếp thúc đẩy nhu cầu điều trị ung thư đường tiêu hóa, mở rộng thị trường tiềm năng cho danh mục ung thư của Davipharm (HYYR – Erlotinib, LARRIVEY – Bicalutamide) tại kênh ETC.</w:t>
      </w:r>
    </w:p>
    <w:p>
      <w:pPr>
        <w:spacing w:before="20" w:after="40"/>
        <w:ind w:left="170"/>
      </w:pPr>
      <w:r>
        <w:rPr>
          <w:rFonts w:ascii="Calibri" w:hAnsi="Calibri"/>
          <w:b/>
          <w:i w:val="0"/>
          <w:color w:val="374151"/>
          <w:sz w:val="17"/>
        </w:rPr>
        <w:t>📡 Tín hiệu dài hạn tích cực: phát hiện sớm ung thư tiêu hóa nhiều hơn có thể làm tăng pool bệnh nhân cho HYYR và LARRIVEY, nhưng tác động ngắn hạn lên doanh thu ETC còn hạn chế.</w:t>
      </w:r>
    </w:p>
    <w:tbl>
      <w:tblPr>
        <w:tblStyle w:val="TableGrid"/>
        <w:tblW w:type="auto" w:w="0"/>
        <w:tblLook w:firstColumn="1" w:firstRow="1" w:lastColumn="0" w:lastRow="0" w:noHBand="0" w:noVBand="1" w:val="04A0"/>
      </w:tblPr>
      <w:tblGrid>
        <w:gridCol w:w="9072"/>
      </w:tblGrid>
      <w:tr>
        <w:tc>
          <w:tcPr>
            <w:tcW w:type="dxa" w:w="9072"/>
            <w:shd w:val="clear" w:color="auto" w:fill="F8FAFC"/>
            <w:tcBorders>
              <w:top w:val="none" w:sz="6" w:color="auto"/>
              <w:bottom w:val="none" w:sz="6" w:color="auto"/>
              <w:left w:val="single" w:sz="12" w:color="003B71"/>
              <w:right w:val="none" w:sz="6" w:color="auto"/>
            </w:tcBorders>
          </w:tcPr>
          <w:p>
            <w:pPr>
              <w:spacing w:before="60" w:after="60"/>
              <w:ind w:left="142"/>
            </w:pPr>
            <w:r>
              <w:rPr>
                <w:rFonts w:ascii="Calibri" w:hAnsi="Calibri"/>
                <w:b/>
                <w:i w:val="0"/>
                <w:color w:val="003B71"/>
                <w:sz w:val="17"/>
              </w:rPr>
              <w:t xml:space="preserve">Strategy  </w:t>
            </w:r>
            <w:r>
              <w:rPr>
                <w:rFonts w:ascii="Calibri" w:hAnsi="Calibri"/>
                <w:b w:val="0"/>
                <w:i w:val="0"/>
                <w:color w:val="334155"/>
                <w:sz w:val="17"/>
              </w:rPr>
              <w:t>Team Medical Affairs phối hợp với team ETC Sales theo dõi sự mở rộng của mạng lưới nội soi tiên tiến (Thu Cúc TCI và tương đương) để định vị HYYR (Erlotinib) và LARRIVEY (Bicalutamide) trong danh mục điều trị sớm tại các bệnh viện/phòng khám tư áp dụng công nghệ tầm soát mới; đánh giá cơ hội listing sản phẩm trong chu kỳ thầu tiếp theo.</w:t>
            </w:r>
          </w:p>
        </w:tc>
      </w:tr>
    </w:tbl>
    <w:p>
      <w:pPr>
        <w:spacing w:before="40" w:after="120"/>
      </w:pPr>
    </w:p>
    <w:p>
      <w:r>
        <w:br w:type="page"/>
      </w:r>
    </w:p>
    <w:p>
      <w:pPr>
        <w:spacing w:before="320" w:after="120"/>
        <w:pBdr>
          <w:bottom w:val="single" w:sz="8" w:color="003B71"/>
        </w:pBdr>
      </w:pPr>
      <w:r>
        <w:rPr>
          <w:rFonts w:ascii="Calibri" w:hAnsi="Calibri"/>
          <w:b/>
          <w:i w:val="0"/>
          <w:color w:val="003B71"/>
          <w:sz w:val="22"/>
        </w:rPr>
        <w:t>ĐỐI THỦ CẠNH TRANH</w:t>
      </w:r>
    </w:p>
    <w:p>
      <w:r>
        <w:br w:type="page"/>
      </w:r>
    </w:p>
    <w:p>
      <w:pPr>
        <w:spacing w:before="320" w:after="120"/>
        <w:pBdr>
          <w:bottom w:val="single" w:sz="8" w:color="003B71"/>
        </w:pBdr>
      </w:pPr>
      <w:r>
        <w:rPr>
          <w:rFonts w:ascii="Calibri" w:hAnsi="Calibri"/>
          <w:b/>
          <w:i w:val="0"/>
          <w:color w:val="003B71"/>
          <w:sz w:val="22"/>
        </w:rPr>
        <w:t>THEO DÕI DANH MỤC SẢN PHẨM</w:t>
      </w:r>
    </w:p>
    <w:tbl>
      <w:tblPr>
        <w:tblStyle w:val="TableGrid"/>
        <w:tblW w:type="auto" w:w="0"/>
        <w:jc w:val="left"/>
        <w:tblLook w:firstColumn="1" w:firstRow="1" w:lastColumn="0" w:lastRow="0" w:noHBand="0" w:noVBand="1" w:val="04A0"/>
      </w:tblPr>
      <w:tblGrid>
        <w:gridCol w:w="1814"/>
        <w:gridCol w:w="1814"/>
        <w:gridCol w:w="1814"/>
        <w:gridCol w:w="1814"/>
        <w:gridCol w:w="1814"/>
      </w:tblGrid>
      <w:tr>
        <w:tc>
          <w:tcPr>
            <w:tcW w:type="dxa" w:w="1701"/>
            <w:shd w:val="clear" w:color="auto" w:fill="003B71"/>
          </w:tcPr>
          <w:p>
            <w:pPr>
              <w:spacing w:before="80" w:after="80"/>
              <w:ind w:left="85"/>
            </w:pPr>
            <w:r>
              <w:rPr>
                <w:rFonts w:ascii="Calibri" w:hAnsi="Calibri"/>
                <w:b/>
                <w:i w:val="0"/>
                <w:color w:val="FFFFFF"/>
                <w:sz w:val="17"/>
              </w:rPr>
              <w:t>Sản phẩm</w:t>
            </w:r>
          </w:p>
        </w:tc>
        <w:tc>
          <w:tcPr>
            <w:tcW w:type="dxa" w:w="2381"/>
            <w:shd w:val="clear" w:color="auto" w:fill="003B71"/>
          </w:tcPr>
          <w:p>
            <w:pPr>
              <w:spacing w:before="80" w:after="80"/>
              <w:ind w:left="85"/>
            </w:pPr>
            <w:r>
              <w:rPr>
                <w:rFonts w:ascii="Calibri" w:hAnsi="Calibri"/>
                <w:b/>
                <w:i w:val="0"/>
                <w:color w:val="FFFFFF"/>
                <w:sz w:val="17"/>
              </w:rPr>
              <w:t>Hoạt chất · Chỉ định</w:t>
            </w:r>
          </w:p>
        </w:tc>
        <w:tc>
          <w:tcPr>
            <w:tcW w:type="dxa" w:w="1134"/>
            <w:shd w:val="clear" w:color="auto" w:fill="003B71"/>
          </w:tcPr>
          <w:p>
            <w:pPr>
              <w:spacing w:before="80" w:after="80"/>
              <w:ind w:left="85"/>
            </w:pPr>
            <w:r>
              <w:rPr>
                <w:rFonts w:ascii="Calibri" w:hAnsi="Calibri"/>
                <w:b/>
                <w:i w:val="0"/>
                <w:color w:val="FFFFFF"/>
                <w:sz w:val="17"/>
              </w:rPr>
              <w:t>Giá bán</w:t>
            </w:r>
          </w:p>
        </w:tc>
        <w:tc>
          <w:tcPr>
            <w:tcW w:type="dxa" w:w="1247"/>
            <w:shd w:val="clear" w:color="auto" w:fill="003B71"/>
          </w:tcPr>
          <w:p>
            <w:pPr>
              <w:spacing w:before="80" w:after="80"/>
              <w:ind w:left="85"/>
            </w:pPr>
            <w:r>
              <w:rPr>
                <w:rFonts w:ascii="Calibri" w:hAnsi="Calibri"/>
                <w:b/>
                <w:i w:val="0"/>
                <w:color w:val="FFFFFF"/>
                <w:sz w:val="17"/>
              </w:rPr>
              <w:t>Trạng thái</w:t>
            </w:r>
          </w:p>
        </w:tc>
        <w:tc>
          <w:tcPr>
            <w:tcW w:type="dxa" w:w="2608"/>
            <w:shd w:val="clear" w:color="auto" w:fill="003B71"/>
          </w:tcPr>
          <w:p>
            <w:pPr>
              <w:spacing w:before="80" w:after="80"/>
              <w:ind w:left="85"/>
            </w:pPr>
            <w:r>
              <w:rPr>
                <w:rFonts w:ascii="Calibri" w:hAnsi="Calibri"/>
                <w:b/>
                <w:i w:val="0"/>
                <w:color w:val="FFFFFF"/>
                <w:sz w:val="17"/>
              </w:rPr>
              <w:t>Ghi chú chiến lược</w:t>
            </w:r>
          </w:p>
        </w:tc>
      </w:tr>
      <w:tr>
        <w:tc>
          <w:tcPr>
            <w:tcW w:type="dxa" w:w="1701"/>
          </w:tcPr>
          <w:p>
            <w:pPr>
              <w:spacing w:before="60" w:after="60"/>
              <w:ind w:left="85"/>
            </w:pPr>
            <w:r>
              <w:rPr>
                <w:rFonts w:ascii="Calibri" w:hAnsi="Calibri"/>
                <w:b/>
                <w:i w:val="0"/>
                <w:color w:val="003B71"/>
                <w:sz w:val="17"/>
              </w:rPr>
              <w:t>EIMLER-10</w:t>
            </w:r>
          </w:p>
        </w:tc>
        <w:tc>
          <w:tcPr>
            <w:tcW w:type="dxa" w:w="2381"/>
          </w:tcPr>
          <w:p>
            <w:pPr>
              <w:spacing w:before="60" w:after="60"/>
              <w:ind w:left="85"/>
            </w:pPr>
            <w:r>
              <w:rPr>
                <w:rFonts w:ascii="Calibri" w:hAnsi="Calibri"/>
                <w:b w:val="0"/>
                <w:i w:val="0"/>
                <w:color w:val="374151"/>
                <w:sz w:val="17"/>
              </w:rPr>
              <w:t>Empagliflozin 10mg</w:t>
            </w:r>
          </w:p>
        </w:tc>
        <w:tc>
          <w:tcPr>
            <w:tcW w:type="dxa" w:w="1134"/>
          </w:tcPr>
          <w:p>
            <w:pPr>
              <w:spacing w:before="60" w:after="60"/>
              <w:ind w:left="85"/>
            </w:pPr>
            <w:r>
              <w:rPr>
                <w:rFonts w:ascii="Calibri" w:hAnsi="Calibri"/>
                <w:b w:val="0"/>
                <w:i w:val="0"/>
                <w:color w:val="374151"/>
                <w:sz w:val="17"/>
              </w:rPr>
              <w:t>597,000đ/hộp</w:t>
            </w:r>
          </w:p>
        </w:tc>
        <w:tc>
          <w:tcPr>
            <w:tcW w:type="dxa" w:w="1247"/>
            <w:shd w:val="clear" w:color="auto" w:fill="E7F9EE"/>
          </w:tcPr>
          <w:p>
            <w:pPr>
              <w:spacing w:before="60" w:after="60"/>
              <w:ind w:left="85"/>
            </w:pPr>
            <w:r>
              <w:rPr>
                <w:rFonts w:ascii="Calibri" w:hAnsi="Calibri"/>
                <w:b/>
                <w:i w:val="0"/>
                <w:color w:val="166534"/>
                <w:sz w:val="17"/>
              </w:rPr>
              <w:t>Cơ hội cao</w:t>
            </w:r>
          </w:p>
        </w:tc>
        <w:tc>
          <w:tcPr>
            <w:tcW w:type="dxa" w:w="2608"/>
          </w:tcPr>
          <w:p>
            <w:pPr>
              <w:spacing w:before="60" w:after="60"/>
              <w:ind w:left="85"/>
            </w:pPr>
            <w:r>
              <w:rPr>
                <w:rFonts w:ascii="Calibri" w:hAnsi="Calibri"/>
                <w:b w:val="0"/>
                <w:i w:val="0"/>
                <w:color w:val="374151"/>
                <w:sz w:val="17"/>
              </w:rPr>
              <w:t>Ưu tiên thầu Nhóm 1 – đấu thầu TT 2026</w:t>
            </w:r>
          </w:p>
        </w:tc>
      </w:tr>
      <w:tr>
        <w:tc>
          <w:tcPr>
            <w:tcW w:type="dxa" w:w="1701"/>
          </w:tcPr>
          <w:p>
            <w:pPr>
              <w:spacing w:before="60" w:after="60"/>
              <w:ind w:left="85"/>
            </w:pPr>
            <w:r>
              <w:rPr>
                <w:rFonts w:ascii="Calibri" w:hAnsi="Calibri"/>
                <w:b/>
                <w:i w:val="0"/>
                <w:color w:val="003B71"/>
                <w:sz w:val="17"/>
              </w:rPr>
              <w:t>ZLATKO-50</w:t>
            </w:r>
          </w:p>
        </w:tc>
        <w:tc>
          <w:tcPr>
            <w:tcW w:type="dxa" w:w="2381"/>
          </w:tcPr>
          <w:p>
            <w:pPr>
              <w:spacing w:before="60" w:after="60"/>
              <w:ind w:left="85"/>
            </w:pPr>
            <w:r>
              <w:rPr>
                <w:rFonts w:ascii="Calibri" w:hAnsi="Calibri"/>
                <w:b w:val="0"/>
                <w:i w:val="0"/>
                <w:color w:val="374151"/>
                <w:sz w:val="17"/>
              </w:rPr>
              <w:t>Sitagliptin 50mg</w:t>
            </w:r>
          </w:p>
        </w:tc>
        <w:tc>
          <w:tcPr>
            <w:tcW w:type="dxa" w:w="1134"/>
          </w:tcPr>
          <w:p>
            <w:pPr>
              <w:spacing w:before="60" w:after="60"/>
              <w:ind w:left="85"/>
            </w:pPr>
            <w:r>
              <w:rPr>
                <w:rFonts w:ascii="Calibri" w:hAnsi="Calibri"/>
                <w:b w:val="0"/>
                <w:i w:val="0"/>
                <w:color w:val="374151"/>
                <w:sz w:val="17"/>
              </w:rPr>
              <w:t>217,500đ/hộp</w:t>
            </w:r>
          </w:p>
        </w:tc>
        <w:tc>
          <w:tcPr>
            <w:tcW w:type="dxa" w:w="1247"/>
            <w:shd w:val="clear" w:color="auto" w:fill="FFF7ED"/>
          </w:tcPr>
          <w:p>
            <w:pPr>
              <w:spacing w:before="60" w:after="60"/>
              <w:ind w:left="85"/>
            </w:pPr>
            <w:r>
              <w:rPr>
                <w:rFonts w:ascii="Calibri" w:hAnsi="Calibri"/>
                <w:b/>
                <w:i w:val="0"/>
                <w:color w:val="D97706"/>
                <w:sz w:val="17"/>
              </w:rPr>
              <w:t>Cạnh tranh</w:t>
            </w:r>
          </w:p>
        </w:tc>
        <w:tc>
          <w:tcPr>
            <w:tcW w:type="dxa" w:w="2608"/>
          </w:tcPr>
          <w:p>
            <w:pPr>
              <w:spacing w:before="60" w:after="60"/>
              <w:ind w:left="85"/>
            </w:pPr>
            <w:r>
              <w:rPr>
                <w:rFonts w:ascii="Calibri" w:hAnsi="Calibri"/>
                <w:b w:val="0"/>
                <w:i w:val="0"/>
                <w:color w:val="374151"/>
                <w:sz w:val="17"/>
              </w:rPr>
              <w:t>Theo dõi DPP-4 generic cạnh tranh</w:t>
            </w:r>
          </w:p>
        </w:tc>
      </w:tr>
      <w:tr>
        <w:tc>
          <w:tcPr>
            <w:tcW w:type="dxa" w:w="1701"/>
          </w:tcPr>
          <w:p>
            <w:pPr>
              <w:spacing w:before="60" w:after="60"/>
              <w:ind w:left="85"/>
            </w:pPr>
            <w:r>
              <w:rPr>
                <w:rFonts w:ascii="Calibri" w:hAnsi="Calibri"/>
                <w:b/>
                <w:i w:val="0"/>
                <w:color w:val="003B71"/>
                <w:sz w:val="17"/>
              </w:rPr>
              <w:t>JANUS-60</w:t>
            </w:r>
          </w:p>
        </w:tc>
        <w:tc>
          <w:tcPr>
            <w:tcW w:type="dxa" w:w="2381"/>
          </w:tcPr>
          <w:p>
            <w:pPr>
              <w:spacing w:before="60" w:after="60"/>
              <w:ind w:left="85"/>
            </w:pPr>
            <w:r>
              <w:rPr>
                <w:rFonts w:ascii="Calibri" w:hAnsi="Calibri"/>
                <w:b w:val="0"/>
                <w:i w:val="0"/>
                <w:color w:val="374151"/>
                <w:sz w:val="17"/>
              </w:rPr>
              <w:t>Dapoxetine 60mg</w:t>
            </w:r>
          </w:p>
        </w:tc>
        <w:tc>
          <w:tcPr>
            <w:tcW w:type="dxa" w:w="1134"/>
          </w:tcPr>
          <w:p>
            <w:pPr>
              <w:spacing w:before="60" w:after="60"/>
              <w:ind w:left="85"/>
            </w:pPr>
            <w:r>
              <w:rPr>
                <w:rFonts w:ascii="Calibri" w:hAnsi="Calibri"/>
                <w:b w:val="0"/>
                <w:i w:val="0"/>
                <w:color w:val="374151"/>
                <w:sz w:val="17"/>
              </w:rPr>
              <w:t>720,000đ/hộp</w:t>
            </w:r>
          </w:p>
        </w:tc>
        <w:tc>
          <w:tcPr>
            <w:tcW w:type="dxa" w:w="1247"/>
            <w:shd w:val="clear" w:color="auto" w:fill="EFF6FF"/>
          </w:tcPr>
          <w:p>
            <w:pPr>
              <w:spacing w:before="60" w:after="60"/>
              <w:ind w:left="85"/>
            </w:pPr>
            <w:r>
              <w:rPr>
                <w:rFonts w:ascii="Calibri" w:hAnsi="Calibri"/>
                <w:b/>
                <w:i w:val="0"/>
                <w:color w:val="0056D2"/>
                <w:sz w:val="17"/>
              </w:rPr>
              <w:t>Ổn định</w:t>
            </w:r>
          </w:p>
        </w:tc>
        <w:tc>
          <w:tcPr>
            <w:tcW w:type="dxa" w:w="2608"/>
          </w:tcPr>
          <w:p>
            <w:pPr>
              <w:spacing w:before="60" w:after="60"/>
              <w:ind w:left="85"/>
            </w:pPr>
            <w:r>
              <w:rPr>
                <w:rFonts w:ascii="Calibri" w:hAnsi="Calibri"/>
                <w:b w:val="0"/>
                <w:i w:val="0"/>
                <w:color w:val="374151"/>
                <w:sz w:val="17"/>
              </w:rPr>
              <w:t>Kiểm tra listing Long Châu / Pharmacity</w:t>
            </w:r>
          </w:p>
        </w:tc>
      </w:tr>
      <w:tr>
        <w:tc>
          <w:tcPr>
            <w:tcW w:type="dxa" w:w="1701"/>
          </w:tcPr>
          <w:p>
            <w:pPr>
              <w:spacing w:before="60" w:after="60"/>
              <w:ind w:left="85"/>
            </w:pPr>
            <w:r>
              <w:rPr>
                <w:rFonts w:ascii="Calibri" w:hAnsi="Calibri"/>
                <w:b/>
                <w:i w:val="0"/>
                <w:color w:val="003B71"/>
                <w:sz w:val="17"/>
              </w:rPr>
              <w:t>TADALAFIL 20MG</w:t>
            </w:r>
          </w:p>
        </w:tc>
        <w:tc>
          <w:tcPr>
            <w:tcW w:type="dxa" w:w="2381"/>
          </w:tcPr>
          <w:p>
            <w:pPr>
              <w:spacing w:before="60" w:after="60"/>
              <w:ind w:left="85"/>
            </w:pPr>
            <w:r>
              <w:rPr>
                <w:rFonts w:ascii="Calibri" w:hAnsi="Calibri"/>
                <w:b w:val="0"/>
                <w:i w:val="0"/>
                <w:color w:val="374151"/>
                <w:sz w:val="17"/>
              </w:rPr>
              <w:t>Tadalafil 20mg</w:t>
            </w:r>
          </w:p>
        </w:tc>
        <w:tc>
          <w:tcPr>
            <w:tcW w:type="dxa" w:w="1134"/>
          </w:tcPr>
          <w:p>
            <w:pPr>
              <w:spacing w:before="60" w:after="60"/>
              <w:ind w:left="85"/>
            </w:pPr>
            <w:r>
              <w:rPr>
                <w:rFonts w:ascii="Calibri" w:hAnsi="Calibri"/>
                <w:b w:val="0"/>
                <w:i w:val="0"/>
                <w:color w:val="374151"/>
                <w:sz w:val="17"/>
              </w:rPr>
              <w:t>42,000đ/viên</w:t>
            </w:r>
          </w:p>
        </w:tc>
        <w:tc>
          <w:tcPr>
            <w:tcW w:type="dxa" w:w="1247"/>
            <w:shd w:val="clear" w:color="auto" w:fill="FFF7ED"/>
          </w:tcPr>
          <w:p>
            <w:pPr>
              <w:spacing w:before="60" w:after="60"/>
              <w:ind w:left="85"/>
            </w:pPr>
            <w:r>
              <w:rPr>
                <w:rFonts w:ascii="Calibri" w:hAnsi="Calibri"/>
                <w:b/>
                <w:i w:val="0"/>
                <w:color w:val="D97706"/>
                <w:sz w:val="17"/>
              </w:rPr>
              <w:t>Cạnh tranh</w:t>
            </w:r>
          </w:p>
        </w:tc>
        <w:tc>
          <w:tcPr>
            <w:tcW w:type="dxa" w:w="2608"/>
          </w:tcPr>
          <w:p>
            <w:pPr>
              <w:spacing w:before="60" w:after="60"/>
              <w:ind w:left="85"/>
            </w:pPr>
            <w:r>
              <w:rPr>
                <w:rFonts w:ascii="Calibri" w:hAnsi="Calibri"/>
                <w:b w:val="0"/>
                <w:i w:val="0"/>
                <w:color w:val="374151"/>
                <w:sz w:val="17"/>
              </w:rPr>
              <w:t>Theo dõi giá Sun Pharma, Cipla generic</w:t>
            </w:r>
          </w:p>
        </w:tc>
      </w:tr>
      <w:tr>
        <w:tc>
          <w:tcPr>
            <w:tcW w:type="dxa" w:w="1701"/>
          </w:tcPr>
          <w:p>
            <w:pPr>
              <w:spacing w:before="60" w:after="60"/>
              <w:ind w:left="85"/>
            </w:pPr>
            <w:r>
              <w:rPr>
                <w:rFonts w:ascii="Calibri" w:hAnsi="Calibri"/>
                <w:b/>
                <w:i w:val="0"/>
                <w:color w:val="003B71"/>
                <w:sz w:val="17"/>
              </w:rPr>
              <w:t>DRYCHES</w:t>
            </w:r>
          </w:p>
        </w:tc>
        <w:tc>
          <w:tcPr>
            <w:tcW w:type="dxa" w:w="2381"/>
          </w:tcPr>
          <w:p>
            <w:pPr>
              <w:spacing w:before="60" w:after="60"/>
              <w:ind w:left="85"/>
            </w:pPr>
            <w:r>
              <w:rPr>
                <w:rFonts w:ascii="Calibri" w:hAnsi="Calibri"/>
                <w:b w:val="0"/>
                <w:i w:val="0"/>
                <w:color w:val="374151"/>
                <w:sz w:val="17"/>
              </w:rPr>
              <w:t>Dutasteride 0.5mg</w:t>
            </w:r>
          </w:p>
        </w:tc>
        <w:tc>
          <w:tcPr>
            <w:tcW w:type="dxa" w:w="1134"/>
          </w:tcPr>
          <w:p>
            <w:pPr>
              <w:spacing w:before="60" w:after="60"/>
              <w:ind w:left="85"/>
            </w:pPr>
            <w:r>
              <w:rPr>
                <w:rFonts w:ascii="Calibri" w:hAnsi="Calibri"/>
                <w:b w:val="0"/>
                <w:i w:val="0"/>
                <w:color w:val="374151"/>
                <w:sz w:val="17"/>
              </w:rPr>
              <w:t>378,000đ/hộp</w:t>
            </w:r>
          </w:p>
        </w:tc>
        <w:tc>
          <w:tcPr>
            <w:tcW w:type="dxa" w:w="1247"/>
            <w:shd w:val="clear" w:color="auto" w:fill="EFF6FF"/>
          </w:tcPr>
          <w:p>
            <w:pPr>
              <w:spacing w:before="60" w:after="60"/>
              <w:ind w:left="85"/>
            </w:pPr>
            <w:r>
              <w:rPr>
                <w:rFonts w:ascii="Calibri" w:hAnsi="Calibri"/>
                <w:b/>
                <w:i w:val="0"/>
                <w:color w:val="0056D2"/>
                <w:sz w:val="17"/>
              </w:rPr>
              <w:t>Cơ hội</w:t>
            </w:r>
          </w:p>
        </w:tc>
        <w:tc>
          <w:tcPr>
            <w:tcW w:type="dxa" w:w="2608"/>
          </w:tcPr>
          <w:p>
            <w:pPr>
              <w:spacing w:before="60" w:after="60"/>
              <w:ind w:left="85"/>
            </w:pPr>
            <w:r>
              <w:rPr>
                <w:rFonts w:ascii="Calibri" w:hAnsi="Calibri"/>
                <w:b w:val="0"/>
                <w:i w:val="0"/>
                <w:color w:val="374151"/>
                <w:sz w:val="17"/>
              </w:rPr>
              <w:t>BPH – thị trường còn ít cạnh tranh</w:t>
            </w:r>
          </w:p>
        </w:tc>
      </w:tr>
      <w:tr>
        <w:tc>
          <w:tcPr>
            <w:tcW w:type="dxa" w:w="1701"/>
          </w:tcPr>
          <w:p>
            <w:pPr>
              <w:spacing w:before="60" w:after="60"/>
              <w:ind w:left="85"/>
            </w:pPr>
            <w:r>
              <w:rPr>
                <w:rFonts w:ascii="Calibri" w:hAnsi="Calibri"/>
                <w:b/>
                <w:i w:val="0"/>
                <w:color w:val="003B71"/>
                <w:sz w:val="17"/>
              </w:rPr>
              <w:t>PECHAUNOX 4/10</w:t>
            </w:r>
          </w:p>
        </w:tc>
        <w:tc>
          <w:tcPr>
            <w:tcW w:type="dxa" w:w="2381"/>
          </w:tcPr>
          <w:p>
            <w:pPr>
              <w:spacing w:before="60" w:after="60"/>
              <w:ind w:left="85"/>
            </w:pPr>
            <w:r>
              <w:rPr>
                <w:rFonts w:ascii="Calibri" w:hAnsi="Calibri"/>
                <w:b w:val="0"/>
                <w:i w:val="0"/>
                <w:color w:val="374151"/>
                <w:sz w:val="17"/>
              </w:rPr>
              <w:t>Perindopril + Amlodipin</w:t>
            </w:r>
          </w:p>
        </w:tc>
        <w:tc>
          <w:tcPr>
            <w:tcW w:type="dxa" w:w="1134"/>
          </w:tcPr>
          <w:p>
            <w:pPr>
              <w:spacing w:before="60" w:after="60"/>
              <w:ind w:left="85"/>
            </w:pPr>
            <w:r>
              <w:rPr>
                <w:rFonts w:ascii="Calibri" w:hAnsi="Calibri"/>
                <w:b w:val="0"/>
                <w:i w:val="0"/>
                <w:color w:val="374151"/>
                <w:sz w:val="17"/>
              </w:rPr>
              <w:t>182,070đ/hộp</w:t>
            </w:r>
          </w:p>
        </w:tc>
        <w:tc>
          <w:tcPr>
            <w:tcW w:type="dxa" w:w="1247"/>
            <w:shd w:val="clear" w:color="auto" w:fill="EFF6FF"/>
          </w:tcPr>
          <w:p>
            <w:pPr>
              <w:spacing w:before="60" w:after="60"/>
              <w:ind w:left="85"/>
            </w:pPr>
            <w:r>
              <w:rPr>
                <w:rFonts w:ascii="Calibri" w:hAnsi="Calibri"/>
                <w:b/>
                <w:i w:val="0"/>
                <w:color w:val="0056D2"/>
                <w:sz w:val="17"/>
              </w:rPr>
              <w:t>Ổn định</w:t>
            </w:r>
          </w:p>
        </w:tc>
        <w:tc>
          <w:tcPr>
            <w:tcW w:type="dxa" w:w="2608"/>
          </w:tcPr>
          <w:p>
            <w:pPr>
              <w:spacing w:before="60" w:after="60"/>
              <w:ind w:left="85"/>
            </w:pPr>
            <w:r>
              <w:rPr>
                <w:rFonts w:ascii="Calibri" w:hAnsi="Calibri"/>
                <w:b w:val="0"/>
                <w:i w:val="0"/>
                <w:color w:val="374151"/>
                <w:sz w:val="17"/>
              </w:rPr>
              <w:t>Combo cạnh tranh – theo dõi generic Amlodipine</w:t>
            </w:r>
          </w:p>
        </w:tc>
      </w:tr>
      <w:tr>
        <w:tc>
          <w:tcPr>
            <w:tcW w:type="dxa" w:w="1701"/>
          </w:tcPr>
          <w:p>
            <w:pPr>
              <w:spacing w:before="60" w:after="60"/>
              <w:ind w:left="85"/>
            </w:pPr>
            <w:r>
              <w:rPr>
                <w:rFonts w:ascii="Calibri" w:hAnsi="Calibri"/>
                <w:b/>
                <w:i w:val="0"/>
                <w:color w:val="003B71"/>
                <w:sz w:val="17"/>
              </w:rPr>
              <w:t>RAVASTEL-20</w:t>
            </w:r>
          </w:p>
        </w:tc>
        <w:tc>
          <w:tcPr>
            <w:tcW w:type="dxa" w:w="2381"/>
          </w:tcPr>
          <w:p>
            <w:pPr>
              <w:spacing w:before="60" w:after="60"/>
              <w:ind w:left="85"/>
            </w:pPr>
            <w:r>
              <w:rPr>
                <w:rFonts w:ascii="Calibri" w:hAnsi="Calibri"/>
                <w:b w:val="0"/>
                <w:i w:val="0"/>
                <w:color w:val="374151"/>
                <w:sz w:val="17"/>
              </w:rPr>
              <w:t>Rosuvastatin 20mg</w:t>
            </w:r>
          </w:p>
        </w:tc>
        <w:tc>
          <w:tcPr>
            <w:tcW w:type="dxa" w:w="1134"/>
          </w:tcPr>
          <w:p>
            <w:pPr>
              <w:spacing w:before="60" w:after="60"/>
              <w:ind w:left="85"/>
            </w:pPr>
            <w:r>
              <w:rPr>
                <w:rFonts w:ascii="Calibri" w:hAnsi="Calibri"/>
                <w:b w:val="0"/>
                <w:i w:val="0"/>
                <w:color w:val="374151"/>
                <w:sz w:val="17"/>
              </w:rPr>
              <w:t>47,250đ/hộp</w:t>
            </w:r>
          </w:p>
        </w:tc>
        <w:tc>
          <w:tcPr>
            <w:tcW w:type="dxa" w:w="1247"/>
            <w:shd w:val="clear" w:color="auto" w:fill="FFF7ED"/>
          </w:tcPr>
          <w:p>
            <w:pPr>
              <w:spacing w:before="60" w:after="60"/>
              <w:ind w:left="85"/>
            </w:pPr>
            <w:r>
              <w:rPr>
                <w:rFonts w:ascii="Calibri" w:hAnsi="Calibri"/>
                <w:b/>
                <w:i w:val="0"/>
                <w:color w:val="D97706"/>
                <w:sz w:val="17"/>
              </w:rPr>
              <w:t>Cạnh tranh</w:t>
            </w:r>
          </w:p>
        </w:tc>
        <w:tc>
          <w:tcPr>
            <w:tcW w:type="dxa" w:w="2608"/>
          </w:tcPr>
          <w:p>
            <w:pPr>
              <w:spacing w:before="60" w:after="60"/>
              <w:ind w:left="85"/>
            </w:pPr>
            <w:r>
              <w:rPr>
                <w:rFonts w:ascii="Calibri" w:hAnsi="Calibri"/>
                <w:b w:val="0"/>
                <w:i w:val="0"/>
                <w:color w:val="374151"/>
                <w:sz w:val="17"/>
              </w:rPr>
              <w:t>Statin – cạnh tranh cao với Atorvastatin generic</w:t>
            </w:r>
          </w:p>
        </w:tc>
      </w:tr>
      <w:tr>
        <w:tc>
          <w:tcPr>
            <w:tcW w:type="dxa" w:w="1701"/>
          </w:tcPr>
          <w:p>
            <w:pPr>
              <w:spacing w:before="60" w:after="60"/>
              <w:ind w:left="85"/>
            </w:pPr>
            <w:r>
              <w:rPr>
                <w:rFonts w:ascii="Calibri" w:hAnsi="Calibri"/>
                <w:b/>
                <w:i w:val="0"/>
                <w:color w:val="003B71"/>
                <w:sz w:val="17"/>
              </w:rPr>
              <w:t>TABAREX-160</w:t>
            </w:r>
          </w:p>
        </w:tc>
        <w:tc>
          <w:tcPr>
            <w:tcW w:type="dxa" w:w="2381"/>
          </w:tcPr>
          <w:p>
            <w:pPr>
              <w:spacing w:before="60" w:after="60"/>
              <w:ind w:left="85"/>
            </w:pPr>
            <w:r>
              <w:rPr>
                <w:rFonts w:ascii="Calibri" w:hAnsi="Calibri"/>
                <w:b w:val="0"/>
                <w:i w:val="0"/>
                <w:color w:val="374151"/>
                <w:sz w:val="17"/>
              </w:rPr>
              <w:t>Valsartan 160mg</w:t>
            </w:r>
          </w:p>
        </w:tc>
        <w:tc>
          <w:tcPr>
            <w:tcW w:type="dxa" w:w="1134"/>
          </w:tcPr>
          <w:p>
            <w:pPr>
              <w:spacing w:before="60" w:after="60"/>
              <w:ind w:left="85"/>
            </w:pPr>
            <w:r>
              <w:rPr>
                <w:rFonts w:ascii="Calibri" w:hAnsi="Calibri"/>
                <w:b w:val="0"/>
                <w:i w:val="0"/>
                <w:color w:val="374151"/>
                <w:sz w:val="17"/>
              </w:rPr>
              <w:t>163,800đ/hộp</w:t>
            </w:r>
          </w:p>
        </w:tc>
        <w:tc>
          <w:tcPr>
            <w:tcW w:type="dxa" w:w="1247"/>
            <w:shd w:val="clear" w:color="auto" w:fill="EFF6FF"/>
          </w:tcPr>
          <w:p>
            <w:pPr>
              <w:spacing w:before="60" w:after="60"/>
              <w:ind w:left="85"/>
            </w:pPr>
            <w:r>
              <w:rPr>
                <w:rFonts w:ascii="Calibri" w:hAnsi="Calibri"/>
                <w:b/>
                <w:i w:val="0"/>
                <w:color w:val="0056D2"/>
                <w:sz w:val="17"/>
              </w:rPr>
              <w:t>Ổn định</w:t>
            </w:r>
          </w:p>
        </w:tc>
        <w:tc>
          <w:tcPr>
            <w:tcW w:type="dxa" w:w="2608"/>
          </w:tcPr>
          <w:p>
            <w:pPr>
              <w:spacing w:before="60" w:after="60"/>
              <w:ind w:left="85"/>
            </w:pPr>
            <w:r>
              <w:rPr>
                <w:rFonts w:ascii="Calibri" w:hAnsi="Calibri"/>
                <w:b w:val="0"/>
                <w:i w:val="0"/>
                <w:color w:val="374151"/>
                <w:sz w:val="17"/>
              </w:rPr>
              <w:t>Duy trì kênh OTC &amp; ETC tuyến tỉnh</w:t>
            </w:r>
          </w:p>
        </w:tc>
      </w:tr>
      <w:tr>
        <w:tc>
          <w:tcPr>
            <w:tcW w:type="dxa" w:w="1701"/>
          </w:tcPr>
          <w:p>
            <w:pPr>
              <w:spacing w:before="60" w:after="60"/>
              <w:ind w:left="85"/>
            </w:pPr>
            <w:r>
              <w:rPr>
                <w:rFonts w:ascii="Calibri" w:hAnsi="Calibri"/>
                <w:b/>
                <w:i w:val="0"/>
                <w:color w:val="003B71"/>
                <w:sz w:val="17"/>
              </w:rPr>
              <w:t>HATLOP-150</w:t>
            </w:r>
          </w:p>
        </w:tc>
        <w:tc>
          <w:tcPr>
            <w:tcW w:type="dxa" w:w="2381"/>
          </w:tcPr>
          <w:p>
            <w:pPr>
              <w:spacing w:before="60" w:after="60"/>
              <w:ind w:left="85"/>
            </w:pPr>
            <w:r>
              <w:rPr>
                <w:rFonts w:ascii="Calibri" w:hAnsi="Calibri"/>
                <w:b w:val="0"/>
                <w:i w:val="0"/>
                <w:color w:val="374151"/>
                <w:sz w:val="17"/>
              </w:rPr>
              <w:t>Irbesartan 150mg</w:t>
            </w:r>
          </w:p>
        </w:tc>
        <w:tc>
          <w:tcPr>
            <w:tcW w:type="dxa" w:w="1134"/>
          </w:tcPr>
          <w:p>
            <w:pPr>
              <w:spacing w:before="60" w:after="60"/>
              <w:ind w:left="85"/>
            </w:pPr>
            <w:r>
              <w:rPr>
                <w:rFonts w:ascii="Calibri" w:hAnsi="Calibri"/>
                <w:b w:val="0"/>
                <w:i w:val="0"/>
                <w:color w:val="374151"/>
                <w:sz w:val="17"/>
              </w:rPr>
              <w:t>210,000đ/hộp</w:t>
            </w:r>
          </w:p>
        </w:tc>
        <w:tc>
          <w:tcPr>
            <w:tcW w:type="dxa" w:w="1247"/>
            <w:shd w:val="clear" w:color="auto" w:fill="EFF6FF"/>
          </w:tcPr>
          <w:p>
            <w:pPr>
              <w:spacing w:before="60" w:after="60"/>
              <w:ind w:left="85"/>
            </w:pPr>
            <w:r>
              <w:rPr>
                <w:rFonts w:ascii="Calibri" w:hAnsi="Calibri"/>
                <w:b/>
                <w:i w:val="0"/>
                <w:color w:val="0056D2"/>
                <w:sz w:val="17"/>
              </w:rPr>
              <w:t>Ổn định</w:t>
            </w:r>
          </w:p>
        </w:tc>
        <w:tc>
          <w:tcPr>
            <w:tcW w:type="dxa" w:w="2608"/>
          </w:tcPr>
          <w:p>
            <w:pPr>
              <w:spacing w:before="60" w:after="60"/>
              <w:ind w:left="85"/>
            </w:pPr>
            <w:r>
              <w:rPr>
                <w:rFonts w:ascii="Calibri" w:hAnsi="Calibri"/>
                <w:b w:val="0"/>
                <w:i w:val="0"/>
                <w:color w:val="374151"/>
                <w:sz w:val="17"/>
              </w:rPr>
              <w:t>Duy trì thầu bệnh viện tuyến tỉnh</w:t>
            </w:r>
          </w:p>
        </w:tc>
      </w:tr>
      <w:tr>
        <w:tc>
          <w:tcPr>
            <w:tcW w:type="dxa" w:w="1701"/>
          </w:tcPr>
          <w:p>
            <w:pPr>
              <w:spacing w:before="60" w:after="60"/>
              <w:ind w:left="85"/>
            </w:pPr>
            <w:r>
              <w:rPr>
                <w:rFonts w:ascii="Calibri" w:hAnsi="Calibri"/>
                <w:b/>
                <w:i w:val="0"/>
                <w:color w:val="003B71"/>
                <w:sz w:val="17"/>
              </w:rPr>
              <w:t>ZABALES</w:t>
            </w:r>
          </w:p>
        </w:tc>
        <w:tc>
          <w:tcPr>
            <w:tcW w:type="dxa" w:w="2381"/>
          </w:tcPr>
          <w:p>
            <w:pPr>
              <w:spacing w:before="60" w:after="60"/>
              <w:ind w:left="85"/>
            </w:pPr>
            <w:r>
              <w:rPr>
                <w:rFonts w:ascii="Calibri" w:hAnsi="Calibri"/>
                <w:b w:val="0"/>
                <w:i w:val="0"/>
                <w:color w:val="374151"/>
                <w:sz w:val="17"/>
              </w:rPr>
              <w:t>Clopidogrel 75mg</w:t>
            </w:r>
          </w:p>
        </w:tc>
        <w:tc>
          <w:tcPr>
            <w:tcW w:type="dxa" w:w="1134"/>
          </w:tcPr>
          <w:p>
            <w:pPr>
              <w:spacing w:before="60" w:after="60"/>
              <w:ind w:left="85"/>
            </w:pPr>
            <w:r>
              <w:rPr>
                <w:rFonts w:ascii="Calibri" w:hAnsi="Calibri"/>
                <w:b w:val="0"/>
                <w:i w:val="0"/>
                <w:color w:val="374151"/>
                <w:sz w:val="17"/>
              </w:rPr>
              <w:t>31,920đ/hộp</w:t>
            </w:r>
          </w:p>
        </w:tc>
        <w:tc>
          <w:tcPr>
            <w:tcW w:type="dxa" w:w="1247"/>
            <w:shd w:val="clear" w:color="auto" w:fill="FFF7ED"/>
          </w:tcPr>
          <w:p>
            <w:pPr>
              <w:spacing w:before="60" w:after="60"/>
              <w:ind w:left="85"/>
            </w:pPr>
            <w:r>
              <w:rPr>
                <w:rFonts w:ascii="Calibri" w:hAnsi="Calibri"/>
                <w:b/>
                <w:i w:val="0"/>
                <w:color w:val="D97706"/>
                <w:sz w:val="17"/>
              </w:rPr>
              <w:t>Cạnh tranh</w:t>
            </w:r>
          </w:p>
        </w:tc>
        <w:tc>
          <w:tcPr>
            <w:tcW w:type="dxa" w:w="2608"/>
          </w:tcPr>
          <w:p>
            <w:pPr>
              <w:spacing w:before="60" w:after="60"/>
              <w:ind w:left="85"/>
            </w:pPr>
            <w:r>
              <w:rPr>
                <w:rFonts w:ascii="Calibri" w:hAnsi="Calibri"/>
                <w:b w:val="0"/>
                <w:i w:val="0"/>
                <w:color w:val="374151"/>
                <w:sz w:val="17"/>
              </w:rPr>
              <w:t>Cạnh tranh cao – cần bảo vệ giá thầu</w:t>
            </w:r>
          </w:p>
        </w:tc>
      </w:tr>
      <w:tr>
        <w:tc>
          <w:tcPr>
            <w:tcW w:type="dxa" w:w="1701"/>
          </w:tcPr>
          <w:p>
            <w:pPr>
              <w:spacing w:before="60" w:after="60"/>
              <w:ind w:left="85"/>
            </w:pPr>
            <w:r>
              <w:rPr>
                <w:rFonts w:ascii="Calibri" w:hAnsi="Calibri"/>
                <w:b/>
                <w:i w:val="0"/>
                <w:color w:val="003B71"/>
                <w:sz w:val="17"/>
              </w:rPr>
              <w:t>MAGRAX</w:t>
            </w:r>
          </w:p>
        </w:tc>
        <w:tc>
          <w:tcPr>
            <w:tcW w:type="dxa" w:w="2381"/>
          </w:tcPr>
          <w:p>
            <w:pPr>
              <w:spacing w:before="60" w:after="60"/>
              <w:ind w:left="85"/>
            </w:pPr>
            <w:r>
              <w:rPr>
                <w:rFonts w:ascii="Calibri" w:hAnsi="Calibri"/>
                <w:b w:val="0"/>
                <w:i w:val="0"/>
                <w:color w:val="374151"/>
                <w:sz w:val="17"/>
              </w:rPr>
              <w:t>Etoricoxib 90mg</w:t>
            </w:r>
          </w:p>
        </w:tc>
        <w:tc>
          <w:tcPr>
            <w:tcW w:type="dxa" w:w="1134"/>
          </w:tcPr>
          <w:p>
            <w:pPr>
              <w:spacing w:before="60" w:after="60"/>
              <w:ind w:left="85"/>
            </w:pPr>
            <w:r>
              <w:rPr>
                <w:rFonts w:ascii="Calibri" w:hAnsi="Calibri"/>
                <w:b w:val="0"/>
                <w:i w:val="0"/>
                <w:color w:val="374151"/>
                <w:sz w:val="17"/>
              </w:rPr>
              <w:t>215,000đ/hộp</w:t>
            </w:r>
          </w:p>
        </w:tc>
        <w:tc>
          <w:tcPr>
            <w:tcW w:type="dxa" w:w="1247"/>
            <w:shd w:val="clear" w:color="auto" w:fill="EFF6FF"/>
          </w:tcPr>
          <w:p>
            <w:pPr>
              <w:spacing w:before="60" w:after="60"/>
              <w:ind w:left="85"/>
            </w:pPr>
            <w:r>
              <w:rPr>
                <w:rFonts w:ascii="Calibri" w:hAnsi="Calibri"/>
                <w:b/>
                <w:i w:val="0"/>
                <w:color w:val="0056D2"/>
                <w:sz w:val="17"/>
              </w:rPr>
              <w:t>Ổn định</w:t>
            </w:r>
          </w:p>
        </w:tc>
        <w:tc>
          <w:tcPr>
            <w:tcW w:type="dxa" w:w="2608"/>
          </w:tcPr>
          <w:p>
            <w:pPr>
              <w:spacing w:before="60" w:after="60"/>
              <w:ind w:left="85"/>
            </w:pPr>
            <w:r>
              <w:rPr>
                <w:rFonts w:ascii="Calibri" w:hAnsi="Calibri"/>
                <w:b w:val="0"/>
                <w:i w:val="0"/>
                <w:color w:val="374151"/>
                <w:sz w:val="17"/>
              </w:rPr>
              <w:t>COX-2 – theo dõi xu hướng điều trị Gout</w:t>
            </w:r>
          </w:p>
        </w:tc>
      </w:tr>
      <w:tr>
        <w:tc>
          <w:tcPr>
            <w:tcW w:type="dxa" w:w="1701"/>
          </w:tcPr>
          <w:p>
            <w:pPr>
              <w:spacing w:before="60" w:after="60"/>
              <w:ind w:left="85"/>
            </w:pPr>
            <w:r>
              <w:rPr>
                <w:rFonts w:ascii="Calibri" w:hAnsi="Calibri"/>
                <w:b/>
                <w:i w:val="0"/>
                <w:color w:val="003B71"/>
                <w:sz w:val="17"/>
              </w:rPr>
              <w:t>ZENTOGOUT-40</w:t>
            </w:r>
          </w:p>
        </w:tc>
        <w:tc>
          <w:tcPr>
            <w:tcW w:type="dxa" w:w="2381"/>
          </w:tcPr>
          <w:p>
            <w:pPr>
              <w:spacing w:before="60" w:after="60"/>
              <w:ind w:left="85"/>
            </w:pPr>
            <w:r>
              <w:rPr>
                <w:rFonts w:ascii="Calibri" w:hAnsi="Calibri"/>
                <w:b w:val="0"/>
                <w:i w:val="0"/>
                <w:color w:val="374151"/>
                <w:sz w:val="17"/>
              </w:rPr>
              <w:t>Febuxostat 40mg</w:t>
            </w:r>
          </w:p>
        </w:tc>
        <w:tc>
          <w:tcPr>
            <w:tcW w:type="dxa" w:w="1134"/>
          </w:tcPr>
          <w:p>
            <w:pPr>
              <w:spacing w:before="60" w:after="60"/>
              <w:ind w:left="85"/>
            </w:pPr>
            <w:r>
              <w:rPr>
                <w:rFonts w:ascii="Calibri" w:hAnsi="Calibri"/>
                <w:b w:val="0"/>
                <w:i w:val="0"/>
                <w:color w:val="374151"/>
                <w:sz w:val="17"/>
              </w:rPr>
              <w:t>240,000đ/hộp</w:t>
            </w:r>
          </w:p>
        </w:tc>
        <w:tc>
          <w:tcPr>
            <w:tcW w:type="dxa" w:w="1247"/>
            <w:shd w:val="clear" w:color="auto" w:fill="EFF6FF"/>
          </w:tcPr>
          <w:p>
            <w:pPr>
              <w:spacing w:before="60" w:after="60"/>
              <w:ind w:left="85"/>
            </w:pPr>
            <w:r>
              <w:rPr>
                <w:rFonts w:ascii="Calibri" w:hAnsi="Calibri"/>
                <w:b/>
                <w:i w:val="0"/>
                <w:color w:val="0056D2"/>
                <w:sz w:val="17"/>
              </w:rPr>
              <w:t>Cơ hội</w:t>
            </w:r>
          </w:p>
        </w:tc>
        <w:tc>
          <w:tcPr>
            <w:tcW w:type="dxa" w:w="2608"/>
          </w:tcPr>
          <w:p>
            <w:pPr>
              <w:spacing w:before="60" w:after="60"/>
              <w:ind w:left="85"/>
            </w:pPr>
            <w:r>
              <w:rPr>
                <w:rFonts w:ascii="Calibri" w:hAnsi="Calibri"/>
                <w:b w:val="0"/>
                <w:i w:val="0"/>
                <w:color w:val="374151"/>
                <w:sz w:val="17"/>
              </w:rPr>
              <w:t>Thay thế Allopurinol – đang tăng trưởng</w:t>
            </w:r>
          </w:p>
        </w:tc>
      </w:tr>
      <w:tr>
        <w:tc>
          <w:tcPr>
            <w:tcW w:type="dxa" w:w="1701"/>
          </w:tcPr>
          <w:p>
            <w:pPr>
              <w:spacing w:before="60" w:after="60"/>
              <w:ind w:left="85"/>
            </w:pPr>
            <w:r>
              <w:rPr>
                <w:rFonts w:ascii="Calibri" w:hAnsi="Calibri"/>
                <w:b/>
                <w:i w:val="0"/>
                <w:color w:val="003B71"/>
                <w:sz w:val="17"/>
              </w:rPr>
              <w:t>JIRACEK</w:t>
            </w:r>
          </w:p>
        </w:tc>
        <w:tc>
          <w:tcPr>
            <w:tcW w:type="dxa" w:w="2381"/>
          </w:tcPr>
          <w:p>
            <w:pPr>
              <w:spacing w:before="60" w:after="60"/>
              <w:ind w:left="85"/>
            </w:pPr>
            <w:r>
              <w:rPr>
                <w:rFonts w:ascii="Calibri" w:hAnsi="Calibri"/>
                <w:b w:val="0"/>
                <w:i w:val="0"/>
                <w:color w:val="374151"/>
                <w:sz w:val="17"/>
              </w:rPr>
              <w:t>Esomeprazole 40mg</w:t>
            </w:r>
          </w:p>
        </w:tc>
        <w:tc>
          <w:tcPr>
            <w:tcW w:type="dxa" w:w="1134"/>
          </w:tcPr>
          <w:p>
            <w:pPr>
              <w:spacing w:before="60" w:after="60"/>
              <w:ind w:left="85"/>
            </w:pPr>
            <w:r>
              <w:rPr>
                <w:rFonts w:ascii="Calibri" w:hAnsi="Calibri"/>
                <w:b w:val="0"/>
                <w:i w:val="0"/>
                <w:color w:val="374151"/>
                <w:sz w:val="17"/>
              </w:rPr>
              <w:t>89,600đ/hộp</w:t>
            </w:r>
          </w:p>
        </w:tc>
        <w:tc>
          <w:tcPr>
            <w:tcW w:type="dxa" w:w="1247"/>
            <w:shd w:val="clear" w:color="auto" w:fill="FFF7ED"/>
          </w:tcPr>
          <w:p>
            <w:pPr>
              <w:spacing w:before="60" w:after="60"/>
              <w:ind w:left="85"/>
            </w:pPr>
            <w:r>
              <w:rPr>
                <w:rFonts w:ascii="Calibri" w:hAnsi="Calibri"/>
                <w:b/>
                <w:i w:val="0"/>
                <w:color w:val="D97706"/>
                <w:sz w:val="17"/>
              </w:rPr>
              <w:t>Cạnh tranh</w:t>
            </w:r>
          </w:p>
        </w:tc>
        <w:tc>
          <w:tcPr>
            <w:tcW w:type="dxa" w:w="2608"/>
          </w:tcPr>
          <w:p>
            <w:pPr>
              <w:spacing w:before="60" w:after="60"/>
              <w:ind w:left="85"/>
            </w:pPr>
            <w:r>
              <w:rPr>
                <w:rFonts w:ascii="Calibri" w:hAnsi="Calibri"/>
                <w:b w:val="0"/>
                <w:i w:val="0"/>
                <w:color w:val="374151"/>
                <w:sz w:val="17"/>
              </w:rPr>
              <w:t>PPI – thị trường cạnh tranh, bảo vệ ETC</w:t>
            </w:r>
          </w:p>
        </w:tc>
      </w:tr>
      <w:tr>
        <w:tc>
          <w:tcPr>
            <w:tcW w:type="dxa" w:w="1701"/>
          </w:tcPr>
          <w:p>
            <w:pPr>
              <w:spacing w:before="60" w:after="60"/>
              <w:ind w:left="85"/>
            </w:pPr>
            <w:r>
              <w:rPr>
                <w:rFonts w:ascii="Calibri" w:hAnsi="Calibri"/>
                <w:b/>
                <w:i w:val="0"/>
                <w:color w:val="003B71"/>
                <w:sz w:val="17"/>
              </w:rPr>
              <w:t>SERNAL-4</w:t>
            </w:r>
          </w:p>
        </w:tc>
        <w:tc>
          <w:tcPr>
            <w:tcW w:type="dxa" w:w="2381"/>
          </w:tcPr>
          <w:p>
            <w:pPr>
              <w:spacing w:before="60" w:after="60"/>
              <w:ind w:left="85"/>
            </w:pPr>
            <w:r>
              <w:rPr>
                <w:rFonts w:ascii="Calibri" w:hAnsi="Calibri"/>
                <w:b w:val="0"/>
                <w:i w:val="0"/>
                <w:color w:val="374151"/>
                <w:sz w:val="17"/>
              </w:rPr>
              <w:t>Risperidone 4mg</w:t>
            </w:r>
          </w:p>
        </w:tc>
        <w:tc>
          <w:tcPr>
            <w:tcW w:type="dxa" w:w="1134"/>
          </w:tcPr>
          <w:p>
            <w:pPr>
              <w:spacing w:before="60" w:after="60"/>
              <w:ind w:left="85"/>
            </w:pPr>
            <w:r>
              <w:rPr>
                <w:rFonts w:ascii="Calibri" w:hAnsi="Calibri"/>
                <w:b w:val="0"/>
                <w:i w:val="0"/>
                <w:color w:val="374151"/>
                <w:sz w:val="17"/>
              </w:rPr>
              <w:t>315,000đ/hộp</w:t>
            </w:r>
          </w:p>
        </w:tc>
        <w:tc>
          <w:tcPr>
            <w:tcW w:type="dxa" w:w="1247"/>
            <w:shd w:val="clear" w:color="auto" w:fill="EFF6FF"/>
          </w:tcPr>
          <w:p>
            <w:pPr>
              <w:spacing w:before="60" w:after="60"/>
              <w:ind w:left="85"/>
            </w:pPr>
            <w:r>
              <w:rPr>
                <w:rFonts w:ascii="Calibri" w:hAnsi="Calibri"/>
                <w:b/>
                <w:i w:val="0"/>
                <w:color w:val="0056D2"/>
                <w:sz w:val="17"/>
              </w:rPr>
              <w:t>Ổn định</w:t>
            </w:r>
          </w:p>
        </w:tc>
        <w:tc>
          <w:tcPr>
            <w:tcW w:type="dxa" w:w="2608"/>
          </w:tcPr>
          <w:p>
            <w:pPr>
              <w:spacing w:before="60" w:after="60"/>
              <w:ind w:left="85"/>
            </w:pPr>
            <w:r>
              <w:rPr>
                <w:rFonts w:ascii="Calibri" w:hAnsi="Calibri"/>
                <w:b w:val="0"/>
                <w:i w:val="0"/>
                <w:color w:val="374151"/>
                <w:sz w:val="17"/>
              </w:rPr>
              <w:t>Duy trì kênh ETC bệnh viện chuyên khoa</w:t>
            </w:r>
          </w:p>
        </w:tc>
      </w:tr>
      <w:tr>
        <w:tc>
          <w:tcPr>
            <w:tcW w:type="dxa" w:w="1701"/>
          </w:tcPr>
          <w:p>
            <w:pPr>
              <w:spacing w:before="60" w:after="60"/>
              <w:ind w:left="85"/>
            </w:pPr>
            <w:r>
              <w:rPr>
                <w:rFonts w:ascii="Calibri" w:hAnsi="Calibri"/>
                <w:b/>
                <w:i w:val="0"/>
                <w:color w:val="003B71"/>
                <w:sz w:val="17"/>
              </w:rPr>
              <w:t>LAFAXOR</w:t>
            </w:r>
          </w:p>
        </w:tc>
        <w:tc>
          <w:tcPr>
            <w:tcW w:type="dxa" w:w="2381"/>
          </w:tcPr>
          <w:p>
            <w:pPr>
              <w:spacing w:before="60" w:after="60"/>
              <w:ind w:left="85"/>
            </w:pPr>
            <w:r>
              <w:rPr>
                <w:rFonts w:ascii="Calibri" w:hAnsi="Calibri"/>
                <w:b w:val="0"/>
                <w:i w:val="0"/>
                <w:color w:val="374151"/>
                <w:sz w:val="17"/>
              </w:rPr>
              <w:t>Venlafaxine</w:t>
            </w:r>
          </w:p>
        </w:tc>
        <w:tc>
          <w:tcPr>
            <w:tcW w:type="dxa" w:w="1134"/>
          </w:tcPr>
          <w:p>
            <w:pPr>
              <w:spacing w:before="60" w:after="60"/>
              <w:ind w:left="85"/>
            </w:pPr>
            <w:r>
              <w:rPr>
                <w:rFonts w:ascii="Calibri" w:hAnsi="Calibri"/>
                <w:b w:val="0"/>
                <w:i w:val="0"/>
                <w:color w:val="374151"/>
                <w:sz w:val="17"/>
              </w:rPr>
              <w:t>159,000đ/hộp</w:t>
            </w:r>
          </w:p>
        </w:tc>
        <w:tc>
          <w:tcPr>
            <w:tcW w:type="dxa" w:w="1247"/>
            <w:shd w:val="clear" w:color="auto" w:fill="EFF6FF"/>
          </w:tcPr>
          <w:p>
            <w:pPr>
              <w:spacing w:before="60" w:after="60"/>
              <w:ind w:left="85"/>
            </w:pPr>
            <w:r>
              <w:rPr>
                <w:rFonts w:ascii="Calibri" w:hAnsi="Calibri"/>
                <w:b/>
                <w:i w:val="0"/>
                <w:color w:val="0056D2"/>
                <w:sz w:val="17"/>
              </w:rPr>
              <w:t>Ổn định</w:t>
            </w:r>
          </w:p>
        </w:tc>
        <w:tc>
          <w:tcPr>
            <w:tcW w:type="dxa" w:w="2608"/>
          </w:tcPr>
          <w:p>
            <w:pPr>
              <w:spacing w:before="60" w:after="60"/>
              <w:ind w:left="85"/>
            </w:pPr>
            <w:r>
              <w:rPr>
                <w:rFonts w:ascii="Calibri" w:hAnsi="Calibri"/>
                <w:b w:val="0"/>
                <w:i w:val="0"/>
                <w:color w:val="374151"/>
                <w:sz w:val="17"/>
              </w:rPr>
              <w:t>Kênh phòng khám tư nhân – tiềm năng tăng</w:t>
            </w:r>
          </w:p>
        </w:tc>
      </w:tr>
      <w:tr>
        <w:tc>
          <w:tcPr>
            <w:tcW w:type="dxa" w:w="1701"/>
          </w:tcPr>
          <w:p>
            <w:pPr>
              <w:spacing w:before="60" w:after="60"/>
              <w:ind w:left="85"/>
            </w:pPr>
            <w:r>
              <w:rPr>
                <w:rFonts w:ascii="Calibri" w:hAnsi="Calibri"/>
                <w:b/>
                <w:i w:val="0"/>
                <w:color w:val="003B71"/>
                <w:sz w:val="17"/>
              </w:rPr>
              <w:t>HYYR</w:t>
            </w:r>
          </w:p>
        </w:tc>
        <w:tc>
          <w:tcPr>
            <w:tcW w:type="dxa" w:w="2381"/>
          </w:tcPr>
          <w:p>
            <w:pPr>
              <w:spacing w:before="60" w:after="60"/>
              <w:ind w:left="85"/>
            </w:pPr>
            <w:r>
              <w:rPr>
                <w:rFonts w:ascii="Calibri" w:hAnsi="Calibri"/>
                <w:b w:val="0"/>
                <w:i w:val="0"/>
                <w:color w:val="374151"/>
                <w:sz w:val="17"/>
              </w:rPr>
              <w:t>Erlotinib</w:t>
            </w:r>
          </w:p>
        </w:tc>
        <w:tc>
          <w:tcPr>
            <w:tcW w:type="dxa" w:w="1134"/>
          </w:tcPr>
          <w:p>
            <w:pPr>
              <w:spacing w:before="60" w:after="60"/>
              <w:ind w:left="85"/>
            </w:pPr>
            <w:r>
              <w:rPr>
                <w:rFonts w:ascii="Calibri" w:hAnsi="Calibri"/>
                <w:b w:val="0"/>
                <w:i w:val="0"/>
                <w:color w:val="374151"/>
                <w:sz w:val="17"/>
              </w:rPr>
              <w:t>1,500,000đ/hộp</w:t>
            </w:r>
          </w:p>
        </w:tc>
        <w:tc>
          <w:tcPr>
            <w:tcW w:type="dxa" w:w="1247"/>
            <w:shd w:val="clear" w:color="auto" w:fill="E7F9EE"/>
          </w:tcPr>
          <w:p>
            <w:pPr>
              <w:spacing w:before="60" w:after="60"/>
              <w:ind w:left="85"/>
            </w:pPr>
            <w:r>
              <w:rPr>
                <w:rFonts w:ascii="Calibri" w:hAnsi="Calibri"/>
                <w:b/>
                <w:i w:val="0"/>
                <w:color w:val="166534"/>
                <w:sz w:val="17"/>
              </w:rPr>
              <w:t>Cơ hội cao</w:t>
            </w:r>
          </w:p>
        </w:tc>
        <w:tc>
          <w:tcPr>
            <w:tcW w:type="dxa" w:w="2608"/>
          </w:tcPr>
          <w:p>
            <w:pPr>
              <w:spacing w:before="60" w:after="60"/>
              <w:ind w:left="85"/>
            </w:pPr>
            <w:r>
              <w:rPr>
                <w:rFonts w:ascii="Calibri" w:hAnsi="Calibri"/>
                <w:b w:val="0"/>
                <w:i w:val="0"/>
                <w:color w:val="374151"/>
                <w:sz w:val="17"/>
              </w:rPr>
              <w:t>Thuốc đặc trị – ưu tiên thầu bệnh viện ung bướu</w:t>
            </w:r>
          </w:p>
        </w:tc>
      </w:tr>
      <w:tr>
        <w:tc>
          <w:tcPr>
            <w:tcW w:type="dxa" w:w="1701"/>
          </w:tcPr>
          <w:p>
            <w:pPr>
              <w:spacing w:before="60" w:after="60"/>
              <w:ind w:left="85"/>
            </w:pPr>
            <w:r>
              <w:rPr>
                <w:rFonts w:ascii="Calibri" w:hAnsi="Calibri"/>
                <w:b/>
                <w:i w:val="0"/>
                <w:color w:val="003B71"/>
                <w:sz w:val="17"/>
              </w:rPr>
              <w:t>LARRIVEY</w:t>
            </w:r>
          </w:p>
        </w:tc>
        <w:tc>
          <w:tcPr>
            <w:tcW w:type="dxa" w:w="2381"/>
          </w:tcPr>
          <w:p>
            <w:pPr>
              <w:spacing w:before="60" w:after="60"/>
              <w:ind w:left="85"/>
            </w:pPr>
            <w:r>
              <w:rPr>
                <w:rFonts w:ascii="Calibri" w:hAnsi="Calibri"/>
                <w:b w:val="0"/>
                <w:i w:val="0"/>
                <w:color w:val="374151"/>
                <w:sz w:val="17"/>
              </w:rPr>
              <w:t>Bicalutamide</w:t>
            </w:r>
          </w:p>
        </w:tc>
        <w:tc>
          <w:tcPr>
            <w:tcW w:type="dxa" w:w="1134"/>
          </w:tcPr>
          <w:p>
            <w:pPr>
              <w:spacing w:before="60" w:after="60"/>
              <w:ind w:left="85"/>
            </w:pPr>
            <w:r>
              <w:rPr>
                <w:rFonts w:ascii="Calibri" w:hAnsi="Calibri"/>
                <w:b w:val="0"/>
                <w:i w:val="0"/>
                <w:color w:val="374151"/>
                <w:sz w:val="17"/>
              </w:rPr>
              <w:t>823,200đ/hộp</w:t>
            </w:r>
          </w:p>
        </w:tc>
        <w:tc>
          <w:tcPr>
            <w:tcW w:type="dxa" w:w="1247"/>
            <w:shd w:val="clear" w:color="auto" w:fill="EFF6FF"/>
          </w:tcPr>
          <w:p>
            <w:pPr>
              <w:spacing w:before="60" w:after="60"/>
              <w:ind w:left="85"/>
            </w:pPr>
            <w:r>
              <w:rPr>
                <w:rFonts w:ascii="Calibri" w:hAnsi="Calibri"/>
                <w:b/>
                <w:i w:val="0"/>
                <w:color w:val="0056D2"/>
                <w:sz w:val="17"/>
              </w:rPr>
              <w:t>Ổn định</w:t>
            </w:r>
          </w:p>
        </w:tc>
        <w:tc>
          <w:tcPr>
            <w:tcW w:type="dxa" w:w="2608"/>
          </w:tcPr>
          <w:p>
            <w:pPr>
              <w:spacing w:before="60" w:after="60"/>
              <w:ind w:left="85"/>
            </w:pPr>
            <w:r>
              <w:rPr>
                <w:rFonts w:ascii="Calibri" w:hAnsi="Calibri"/>
                <w:b w:val="0"/>
                <w:i w:val="0"/>
                <w:color w:val="374151"/>
                <w:sz w:val="17"/>
              </w:rPr>
              <w:t>Theo dõi phác đồ bệnh viện – biên lợi nhuận cao</w:t>
            </w:r>
          </w:p>
        </w:tc>
      </w:tr>
      <w:tr>
        <w:tc>
          <w:tcPr>
            <w:tcW w:type="dxa" w:w="1701"/>
          </w:tcPr>
          <w:p>
            <w:pPr>
              <w:spacing w:before="60" w:after="60"/>
              <w:ind w:left="85"/>
            </w:pPr>
            <w:r>
              <w:rPr>
                <w:rFonts w:ascii="Calibri" w:hAnsi="Calibri"/>
                <w:b/>
                <w:i w:val="0"/>
                <w:color w:val="003B71"/>
                <w:sz w:val="17"/>
              </w:rPr>
              <w:t>METILONE-4</w:t>
            </w:r>
          </w:p>
        </w:tc>
        <w:tc>
          <w:tcPr>
            <w:tcW w:type="dxa" w:w="2381"/>
          </w:tcPr>
          <w:p>
            <w:pPr>
              <w:spacing w:before="60" w:after="60"/>
              <w:ind w:left="85"/>
            </w:pPr>
            <w:r>
              <w:rPr>
                <w:rFonts w:ascii="Calibri" w:hAnsi="Calibri"/>
                <w:b w:val="0"/>
                <w:i w:val="0"/>
                <w:color w:val="374151"/>
                <w:sz w:val="17"/>
              </w:rPr>
              <w:t>Methylprednisolone 4mg</w:t>
            </w:r>
          </w:p>
        </w:tc>
        <w:tc>
          <w:tcPr>
            <w:tcW w:type="dxa" w:w="1134"/>
          </w:tcPr>
          <w:p>
            <w:pPr>
              <w:spacing w:before="60" w:after="60"/>
              <w:ind w:left="85"/>
            </w:pPr>
            <w:r>
              <w:rPr>
                <w:rFonts w:ascii="Calibri" w:hAnsi="Calibri"/>
                <w:b w:val="0"/>
                <w:i w:val="0"/>
                <w:color w:val="374151"/>
                <w:sz w:val="17"/>
              </w:rPr>
              <w:t>74,000đ/hộp</w:t>
            </w:r>
          </w:p>
        </w:tc>
        <w:tc>
          <w:tcPr>
            <w:tcW w:type="dxa" w:w="1247"/>
            <w:shd w:val="clear" w:color="auto" w:fill="EFF6FF"/>
          </w:tcPr>
          <w:p>
            <w:pPr>
              <w:spacing w:before="60" w:after="60"/>
              <w:ind w:left="85"/>
            </w:pPr>
            <w:r>
              <w:rPr>
                <w:rFonts w:ascii="Calibri" w:hAnsi="Calibri"/>
                <w:b/>
                <w:i w:val="0"/>
                <w:color w:val="0056D2"/>
                <w:sz w:val="17"/>
              </w:rPr>
              <w:t>Ổn định</w:t>
            </w:r>
          </w:p>
        </w:tc>
        <w:tc>
          <w:tcPr>
            <w:tcW w:type="dxa" w:w="2608"/>
          </w:tcPr>
          <w:p>
            <w:pPr>
              <w:spacing w:before="60" w:after="60"/>
              <w:ind w:left="85"/>
            </w:pPr>
            <w:r>
              <w:rPr>
                <w:rFonts w:ascii="Calibri" w:hAnsi="Calibri"/>
                <w:b w:val="0"/>
                <w:i w:val="0"/>
                <w:color w:val="374151"/>
                <w:sz w:val="17"/>
              </w:rPr>
              <w:t>Duy trì kênh ETC – theo dõi thầu TT Corticoid</w:t>
            </w:r>
          </w:p>
        </w:tc>
      </w:tr>
    </w:tbl>
    <w:p>
      <w:pPr>
        <w:spacing w:after="200"/>
      </w:pPr>
    </w:p>
    <w:p>
      <w:pPr>
        <w:spacing w:before="320" w:after="120"/>
        <w:pBdr>
          <w:bottom w:val="single" w:sz="8" w:color="003B71"/>
        </w:pBdr>
      </w:pPr>
      <w:r>
        <w:rPr>
          <w:rFonts w:ascii="Calibri" w:hAnsi="Calibri"/>
          <w:b/>
          <w:i w:val="0"/>
          <w:color w:val="003B71"/>
          <w:sz w:val="22"/>
        </w:rPr>
        <w:t>TOP 5 SẢN PHẨM TÌM KIẾM NHIỀU NHẤT — DAVIPHARM.INFO</w:t>
      </w:r>
    </w:p>
    <w:p>
      <w:pPr>
        <w:spacing w:before="40" w:after="60"/>
      </w:pPr>
      <w:r>
        <w:rPr>
          <w:rFonts w:ascii="Calibri" w:hAnsi="Calibri"/>
          <w:b w:val="0"/>
          <w:i/>
          <w:color w:val="9CA3AF"/>
          <w:sz w:val="17"/>
        </w:rPr>
        <w:t>Google Search Console  ·  30 ngày gần nhất  ·  Dữ liệu: 13/05/2026</w:t>
      </w:r>
    </w:p>
    <w:p>
      <w:pPr>
        <w:spacing w:before="120" w:after="120"/>
        <w:jc w:val="center"/>
      </w:pPr>
      <w:r>
        <w:drawing>
          <wp:inline xmlns:a="http://schemas.openxmlformats.org/drawingml/2006/main" xmlns:pic="http://schemas.openxmlformats.org/drawingml/2006/picture">
            <wp:extent cx="5580000" cy="2444219"/>
            <wp:docPr id="2" name="Picture 2"/>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5580000" cy="2444219"/>
                    </a:xfrm>
                    <a:prstGeom prst="rect"/>
                  </pic:spPr>
                </pic:pic>
              </a:graphicData>
            </a:graphic>
          </wp:inline>
        </w:drawing>
      </w:r>
    </w:p>
    <w:p>
      <w:r>
        <w:br w:type="page"/>
      </w:r>
    </w:p>
    <w:p>
      <w:pPr>
        <w:spacing w:before="320" w:after="120"/>
        <w:pBdr>
          <w:bottom w:val="single" w:sz="8" w:color="003B71"/>
        </w:pBdr>
      </w:pPr>
      <w:r>
        <w:rPr>
          <w:rFonts w:ascii="Calibri" w:hAnsi="Calibri"/>
          <w:b/>
          <w:i w:val="0"/>
          <w:color w:val="003B71"/>
          <w:sz w:val="22"/>
        </w:rPr>
        <w:t>KHUYẾN NGHỊ HÀNH ĐỘNG</w:t>
      </w:r>
    </w:p>
    <w:tbl>
      <w:tblPr>
        <w:tblStyle w:val="TableGrid"/>
        <w:tblW w:type="auto" w:w="0"/>
        <w:jc w:val="left"/>
        <w:tblLook w:firstColumn="1" w:firstRow="1" w:lastColumn="0" w:lastRow="0" w:noHBand="0" w:noVBand="1" w:val="04A0"/>
      </w:tblPr>
      <w:tblGrid>
        <w:gridCol w:w="1814"/>
        <w:gridCol w:w="1814"/>
        <w:gridCol w:w="1814"/>
        <w:gridCol w:w="1814"/>
        <w:gridCol w:w="1814"/>
      </w:tblGrid>
      <w:tr>
        <w:tc>
          <w:tcPr>
            <w:tcW w:type="dxa" w:w="454"/>
            <w:shd w:val="clear" w:color="auto" w:fill="003B71"/>
            <w:tcBorders>
              <w:top w:val="none" w:sz="6" w:color="auto"/>
              <w:bottom w:val="none" w:sz="6" w:color="auto"/>
              <w:left w:val="none" w:sz="6" w:color="auto"/>
              <w:right w:val="none" w:sz="6" w:color="auto"/>
            </w:tcBorders>
          </w:tcPr>
          <w:p>
            <w:pPr>
              <w:spacing w:before="80" w:after="80"/>
              <w:ind w:left="0"/>
              <w:jc w:val="center"/>
            </w:pPr>
          </w:p>
        </w:tc>
        <w:tc>
          <w:tcPr>
            <w:tcW w:type="dxa" w:w="4422"/>
            <w:shd w:val="clear" w:color="auto" w:fill="003B71"/>
            <w:tcBorders>
              <w:top w:val="none" w:sz="6" w:color="auto"/>
              <w:bottom w:val="none" w:sz="6" w:color="auto"/>
              <w:left w:val="none" w:sz="6" w:color="auto"/>
              <w:right w:val="none" w:sz="6" w:color="auto"/>
            </w:tcBorders>
          </w:tcPr>
          <w:p>
            <w:pPr>
              <w:spacing w:before="80" w:after="80"/>
              <w:ind w:left="85"/>
              <w:jc w:val="left"/>
            </w:pPr>
            <w:r>
              <w:rPr>
                <w:rFonts w:ascii="Calibri" w:hAnsi="Calibri"/>
                <w:b/>
                <w:i w:val="0"/>
                <w:color w:val="FFFFFF"/>
                <w:sz w:val="17"/>
              </w:rPr>
              <w:t>Hành động chiến lược</w:t>
            </w:r>
          </w:p>
        </w:tc>
        <w:tc>
          <w:tcPr>
            <w:tcW w:type="dxa" w:w="1417"/>
            <w:shd w:val="clear" w:color="auto" w:fill="003B71"/>
            <w:tcBorders>
              <w:top w:val="none" w:sz="6" w:color="auto"/>
              <w:bottom w:val="none" w:sz="6" w:color="auto"/>
              <w:left w:val="none" w:sz="6" w:color="auto"/>
              <w:right w:val="none" w:sz="6" w:color="auto"/>
            </w:tcBorders>
          </w:tcPr>
          <w:p>
            <w:pPr>
              <w:spacing w:before="80" w:after="80"/>
              <w:ind w:left="0"/>
              <w:jc w:val="center"/>
            </w:pPr>
            <w:r>
              <w:rPr>
                <w:rFonts w:ascii="Calibri" w:hAnsi="Calibri"/>
                <w:b/>
                <w:i w:val="0"/>
                <w:color w:val="FFFFFF"/>
                <w:sz w:val="17"/>
              </w:rPr>
              <w:t>Team</w:t>
            </w:r>
          </w:p>
        </w:tc>
        <w:tc>
          <w:tcPr>
            <w:tcW w:type="dxa" w:w="1134"/>
            <w:shd w:val="clear" w:color="auto" w:fill="003B71"/>
            <w:tcBorders>
              <w:top w:val="none" w:sz="6" w:color="auto"/>
              <w:bottom w:val="none" w:sz="6" w:color="auto"/>
              <w:left w:val="none" w:sz="6" w:color="auto"/>
              <w:right w:val="none" w:sz="6" w:color="auto"/>
            </w:tcBorders>
          </w:tcPr>
          <w:p>
            <w:pPr>
              <w:spacing w:before="80" w:after="80"/>
              <w:ind w:left="0"/>
              <w:jc w:val="center"/>
            </w:pPr>
            <w:r>
              <w:rPr>
                <w:rFonts w:ascii="Calibri" w:hAnsi="Calibri"/>
                <w:b/>
                <w:i w:val="0"/>
                <w:color w:val="FFFFFF"/>
                <w:sz w:val="17"/>
              </w:rPr>
              <w:t>Nguồn</w:t>
            </w:r>
          </w:p>
        </w:tc>
        <w:tc>
          <w:tcPr>
            <w:tcW w:type="dxa" w:w="1644"/>
            <w:shd w:val="clear" w:color="auto" w:fill="003B71"/>
            <w:tcBorders>
              <w:top w:val="none" w:sz="6" w:color="auto"/>
              <w:bottom w:val="none" w:sz="6" w:color="auto"/>
              <w:left w:val="none" w:sz="6" w:color="auto"/>
              <w:right w:val="none" w:sz="6" w:color="auto"/>
            </w:tcBorders>
          </w:tcPr>
          <w:p>
            <w:pPr>
              <w:spacing w:before="80" w:after="80"/>
              <w:ind w:left="0"/>
              <w:jc w:val="center"/>
            </w:pPr>
            <w:r>
              <w:rPr>
                <w:rFonts w:ascii="Calibri" w:hAnsi="Calibri"/>
                <w:b/>
                <w:i w:val="0"/>
                <w:color w:val="FFFFFF"/>
                <w:sz w:val="17"/>
              </w:rPr>
              <w:t>Ưu tiên</w:t>
            </w:r>
          </w:p>
        </w:tc>
      </w:tr>
      <w:tr>
        <w:tc>
          <w:tcPr>
            <w:tcW w:type="dxa" w:w="454"/>
            <w:shd w:val="clear" w:color="auto" w:fill="FEE2E2"/>
            <w:tcBorders>
              <w:top w:val="none" w:sz="6" w:color="auto"/>
              <w:bottom w:val="none" w:sz="6" w:color="auto"/>
              <w:left w:val="none" w:sz="6" w:color="auto"/>
              <w:right w:val="none" w:sz="6" w:color="auto"/>
            </w:tcBorders>
          </w:tcPr>
          <w:p>
            <w:pPr>
              <w:spacing w:before="100" w:after="100"/>
              <w:jc w:val="center"/>
            </w:pPr>
            <w:r>
              <w:t>🔴</w:t>
            </w:r>
          </w:p>
        </w:tc>
        <w:tc>
          <w:tcPr>
            <w:tcW w:type="dxa" w:w="4422"/>
            <w:shd w:val="clear" w:color="auto" w:fill="FFFFFF"/>
            <w:tcBorders>
              <w:top w:val="none" w:sz="6" w:color="auto"/>
              <w:bottom w:val="none" w:sz="6" w:color="auto"/>
              <w:left w:val="none" w:sz="6" w:color="auto"/>
              <w:right w:val="none" w:sz="6" w:color="auto"/>
            </w:tcBorders>
          </w:tcPr>
          <w:p>
            <w:pPr>
              <w:spacing w:before="80" w:after="80"/>
              <w:ind w:left="85"/>
            </w:pPr>
            <w:r>
              <w:rPr>
                <w:rFonts w:ascii="Calibri" w:hAnsi="Calibri"/>
                <w:b/>
                <w:i w:val="0"/>
                <w:color w:val="111827"/>
                <w:sz w:val="18"/>
              </w:rPr>
              <w:t>Chuẩn bị hồ sơ thầu PECHAUNOX, TABAREX, EIMLER-10, ZLATKO cho gói BHYT tuyến huyện/xã Q3–Q4/2026 theo làn sóng khám sàng lọc miễn phí Bộ Y tế</w:t>
            </w:r>
          </w:p>
        </w:tc>
        <w:tc>
          <w:tcPr>
            <w:tcW w:type="dxa" w:w="1417"/>
            <w:shd w:val="clear" w:color="auto" w:fill="FFFFFF"/>
            <w:tcBorders>
              <w:top w:val="none" w:sz="6" w:color="auto"/>
              <w:bottom w:val="none" w:sz="6" w:color="auto"/>
              <w:left w:val="none" w:sz="6" w:color="auto"/>
              <w:right w:val="none" w:sz="6" w:color="auto"/>
            </w:tcBorders>
          </w:tcPr>
          <w:p>
            <w:pPr>
              <w:spacing w:before="80" w:after="80"/>
              <w:jc w:val="center"/>
            </w:pPr>
            <w:r>
              <w:rPr>
                <w:rFonts w:ascii="Calibri" w:hAnsi="Calibri"/>
                <w:b w:val="0"/>
                <w:i w:val="0"/>
                <w:color w:val="003B71"/>
                <w:sz w:val="17"/>
              </w:rPr>
              <w:t>Sales / Strategy</w:t>
            </w:r>
          </w:p>
        </w:tc>
        <w:tc>
          <w:tcPr>
            <w:tcW w:type="dxa" w:w="1134"/>
            <w:shd w:val="clear" w:color="auto" w:fill="FFFFFF"/>
            <w:tcBorders>
              <w:top w:val="none" w:sz="6" w:color="auto"/>
              <w:bottom w:val="none" w:sz="6" w:color="auto"/>
              <w:left w:val="none" w:sz="6" w:color="auto"/>
              <w:right w:val="none" w:sz="6" w:color="auto"/>
            </w:tcBorders>
          </w:tcPr>
          <w:p>
            <w:pPr>
              <w:spacing w:before="80" w:after="80"/>
              <w:jc w:val="center"/>
            </w:pPr>
            <w:r>
              <w:rPr>
                <w:rFonts w:ascii="Calibri" w:hAnsi="Calibri"/>
                <w:b w:val="0"/>
                <w:i w:val="0"/>
                <w:color w:val="6B7280"/>
                <w:sz w:val="17"/>
              </w:rPr>
              <w:t>Chính sách khám sức khỏe định kỳ miễn phí toàn dân 2026</w:t>
            </w:r>
          </w:p>
        </w:tc>
        <w:tc>
          <w:tcPr>
            <w:tcW w:type="dxa" w:w="1644"/>
            <w:shd w:val="clear" w:color="auto" w:fill="FEE2E2"/>
            <w:tcBorders>
              <w:top w:val="none" w:sz="6" w:color="auto"/>
              <w:bottom w:val="none" w:sz="6" w:color="auto"/>
              <w:left w:val="none" w:sz="6" w:color="auto"/>
              <w:right w:val="none" w:sz="6" w:color="auto"/>
            </w:tcBorders>
          </w:tcPr>
          <w:p>
            <w:pPr>
              <w:spacing w:before="80" w:after="80"/>
              <w:jc w:val="center"/>
            </w:pPr>
            <w:r>
              <w:rPr>
                <w:rFonts w:ascii="Calibri" w:hAnsi="Calibri"/>
                <w:b/>
                <w:i w:val="0"/>
                <w:color w:val="EF4444"/>
                <w:sz w:val="17"/>
              </w:rPr>
              <w:t>🔴 Cao</w:t>
            </w:r>
          </w:p>
        </w:tc>
      </w:tr>
      <w:tr>
        <w:tc>
          <w:tcPr>
            <w:tcW w:type="dxa" w:w="454"/>
            <w:shd w:val="clear" w:color="auto" w:fill="FEE2E2"/>
            <w:tcBorders>
              <w:top w:val="none" w:sz="6" w:color="auto"/>
              <w:bottom w:val="none" w:sz="6" w:color="auto"/>
              <w:left w:val="none" w:sz="6" w:color="auto"/>
              <w:right w:val="none" w:sz="6" w:color="auto"/>
            </w:tcBorders>
          </w:tcPr>
          <w:p>
            <w:pPr>
              <w:spacing w:before="100" w:after="100"/>
              <w:jc w:val="center"/>
            </w:pPr>
            <w:r>
              <w:t>🔴</w:t>
            </w:r>
          </w:p>
        </w:tc>
        <w:tc>
          <w:tcPr>
            <w:tcW w:type="dxa" w:w="4422"/>
            <w:shd w:val="clear" w:color="auto" w:fill="FAFBFF"/>
            <w:tcBorders>
              <w:top w:val="none" w:sz="6" w:color="auto"/>
              <w:bottom w:val="none" w:sz="6" w:color="auto"/>
              <w:left w:val="none" w:sz="6" w:color="auto"/>
              <w:right w:val="none" w:sz="6" w:color="auto"/>
            </w:tcBorders>
          </w:tcPr>
          <w:p>
            <w:pPr>
              <w:spacing w:before="80" w:after="80"/>
              <w:ind w:left="85"/>
            </w:pPr>
            <w:r>
              <w:rPr>
                <w:rFonts w:ascii="Calibri" w:hAnsi="Calibri"/>
                <w:b/>
                <w:i w:val="0"/>
                <w:color w:val="111827"/>
                <w:sz w:val="18"/>
              </w:rPr>
              <w:t>Kích hoạt Medical Education cho PECHAUNOX, HATLOP tại cơ sở y tế ban đầu nhân Ngày Tăng huyết áp Thế giới 17/5</w:t>
            </w:r>
          </w:p>
        </w:tc>
        <w:tc>
          <w:tcPr>
            <w:tcW w:type="dxa" w:w="1417"/>
            <w:shd w:val="clear" w:color="auto" w:fill="FAFBFF"/>
            <w:tcBorders>
              <w:top w:val="none" w:sz="6" w:color="auto"/>
              <w:bottom w:val="none" w:sz="6" w:color="auto"/>
              <w:left w:val="none" w:sz="6" w:color="auto"/>
              <w:right w:val="none" w:sz="6" w:color="auto"/>
            </w:tcBorders>
          </w:tcPr>
          <w:p>
            <w:pPr>
              <w:spacing w:before="80" w:after="80"/>
              <w:jc w:val="center"/>
            </w:pPr>
            <w:r>
              <w:rPr>
                <w:rFonts w:ascii="Calibri" w:hAnsi="Calibri"/>
                <w:b w:val="0"/>
                <w:i w:val="0"/>
                <w:color w:val="003B71"/>
                <w:sz w:val="17"/>
              </w:rPr>
              <w:t>Marketing / Sales</w:t>
            </w:r>
          </w:p>
        </w:tc>
        <w:tc>
          <w:tcPr>
            <w:tcW w:type="dxa" w:w="1134"/>
            <w:shd w:val="clear" w:color="auto" w:fill="FAFBFF"/>
            <w:tcBorders>
              <w:top w:val="none" w:sz="6" w:color="auto"/>
              <w:bottom w:val="none" w:sz="6" w:color="auto"/>
              <w:left w:val="none" w:sz="6" w:color="auto"/>
              <w:right w:val="none" w:sz="6" w:color="auto"/>
            </w:tcBorders>
          </w:tcPr>
          <w:p>
            <w:pPr>
              <w:spacing w:before="80" w:after="80"/>
              <w:jc w:val="center"/>
            </w:pPr>
            <w:r>
              <w:rPr>
                <w:rFonts w:ascii="Calibri" w:hAnsi="Calibri"/>
                <w:b w:val="0"/>
                <w:i w:val="0"/>
                <w:color w:val="6B7280"/>
                <w:sz w:val="17"/>
              </w:rPr>
              <w:t>Tăng huyết áp bỏ sót hàng triệu người Việt</w:t>
            </w:r>
          </w:p>
        </w:tc>
        <w:tc>
          <w:tcPr>
            <w:tcW w:type="dxa" w:w="1644"/>
            <w:shd w:val="clear" w:color="auto" w:fill="FEE2E2"/>
            <w:tcBorders>
              <w:top w:val="none" w:sz="6" w:color="auto"/>
              <w:bottom w:val="none" w:sz="6" w:color="auto"/>
              <w:left w:val="none" w:sz="6" w:color="auto"/>
              <w:right w:val="none" w:sz="6" w:color="auto"/>
            </w:tcBorders>
          </w:tcPr>
          <w:p>
            <w:pPr>
              <w:spacing w:before="80" w:after="80"/>
              <w:jc w:val="center"/>
            </w:pPr>
            <w:r>
              <w:rPr>
                <w:rFonts w:ascii="Calibri" w:hAnsi="Calibri"/>
                <w:b/>
                <w:i w:val="0"/>
                <w:color w:val="EF4444"/>
                <w:sz w:val="17"/>
              </w:rPr>
              <w:t>🔴 Cao</w:t>
            </w:r>
          </w:p>
        </w:tc>
      </w:tr>
      <w:tr>
        <w:tc>
          <w:tcPr>
            <w:tcW w:type="dxa" w:w="454"/>
            <w:shd w:val="clear" w:color="auto" w:fill="FEF3C7"/>
            <w:tcBorders>
              <w:top w:val="none" w:sz="6" w:color="auto"/>
              <w:bottom w:val="none" w:sz="6" w:color="auto"/>
              <w:left w:val="none" w:sz="6" w:color="auto"/>
              <w:right w:val="none" w:sz="6" w:color="auto"/>
            </w:tcBorders>
          </w:tcPr>
          <w:p>
            <w:pPr>
              <w:spacing w:before="100" w:after="100"/>
              <w:jc w:val="center"/>
            </w:pPr>
            <w:r>
              <w:t>🟡</w:t>
            </w:r>
          </w:p>
        </w:tc>
        <w:tc>
          <w:tcPr>
            <w:tcW w:type="dxa" w:w="4422"/>
            <w:shd w:val="clear" w:color="auto" w:fill="FFFFFF"/>
            <w:tcBorders>
              <w:top w:val="none" w:sz="6" w:color="auto"/>
              <w:bottom w:val="none" w:sz="6" w:color="auto"/>
              <w:left w:val="none" w:sz="6" w:color="auto"/>
              <w:right w:val="none" w:sz="6" w:color="auto"/>
            </w:tcBorders>
          </w:tcPr>
          <w:p>
            <w:pPr>
              <w:spacing w:before="80" w:after="80"/>
              <w:ind w:left="85"/>
            </w:pPr>
            <w:r>
              <w:rPr>
                <w:rFonts w:ascii="Calibri" w:hAnsi="Calibri"/>
                <w:b/>
                <w:i w:val="0"/>
                <w:color w:val="111827"/>
                <w:sz w:val="18"/>
              </w:rPr>
              <w:t>Cập nhật messaging MAGRAX (Etoricoxib) — COX-2 vs NSAID — detailing khoa Cơ xương khớp trước thầu cuối năm Q3/2026</w:t>
            </w:r>
          </w:p>
        </w:tc>
        <w:tc>
          <w:tcPr>
            <w:tcW w:type="dxa" w:w="1417"/>
            <w:shd w:val="clear" w:color="auto" w:fill="FFFFFF"/>
            <w:tcBorders>
              <w:top w:val="none" w:sz="6" w:color="auto"/>
              <w:bottom w:val="none" w:sz="6" w:color="auto"/>
              <w:left w:val="none" w:sz="6" w:color="auto"/>
              <w:right w:val="none" w:sz="6" w:color="auto"/>
            </w:tcBorders>
          </w:tcPr>
          <w:p>
            <w:pPr>
              <w:spacing w:before="80" w:after="80"/>
              <w:jc w:val="center"/>
            </w:pPr>
            <w:r>
              <w:rPr>
                <w:rFonts w:ascii="Calibri" w:hAnsi="Calibri"/>
                <w:b w:val="0"/>
                <w:i w:val="0"/>
                <w:color w:val="003B71"/>
                <w:sz w:val="17"/>
              </w:rPr>
              <w:t>Marketing / Sales</w:t>
            </w:r>
          </w:p>
        </w:tc>
        <w:tc>
          <w:tcPr>
            <w:tcW w:type="dxa" w:w="1134"/>
            <w:shd w:val="clear" w:color="auto" w:fill="FFFFFF"/>
            <w:tcBorders>
              <w:top w:val="none" w:sz="6" w:color="auto"/>
              <w:bottom w:val="none" w:sz="6" w:color="auto"/>
              <w:left w:val="none" w:sz="6" w:color="auto"/>
              <w:right w:val="none" w:sz="6" w:color="auto"/>
            </w:tcBorders>
          </w:tcPr>
          <w:p>
            <w:pPr>
              <w:spacing w:before="80" w:after="80"/>
              <w:jc w:val="center"/>
            </w:pPr>
            <w:r>
              <w:rPr>
                <w:rFonts w:ascii="Calibri" w:hAnsi="Calibri"/>
                <w:b w:val="0"/>
                <w:i w:val="0"/>
                <w:color w:val="6B7280"/>
                <w:sz w:val="17"/>
              </w:rPr>
              <w:t>Bệnh cơ xương khớp trẻ hóa — xu hướng COX-2 chọn lọc</w:t>
            </w:r>
          </w:p>
        </w:tc>
        <w:tc>
          <w:tcPr>
            <w:tcW w:type="dxa" w:w="1644"/>
            <w:shd w:val="clear" w:color="auto" w:fill="FEF3C7"/>
            <w:tcBorders>
              <w:top w:val="none" w:sz="6" w:color="auto"/>
              <w:bottom w:val="none" w:sz="6" w:color="auto"/>
              <w:left w:val="none" w:sz="6" w:color="auto"/>
              <w:right w:val="none" w:sz="6" w:color="auto"/>
            </w:tcBorders>
          </w:tcPr>
          <w:p>
            <w:pPr>
              <w:spacing w:before="80" w:after="80"/>
              <w:jc w:val="center"/>
            </w:pPr>
            <w:r>
              <w:rPr>
                <w:rFonts w:ascii="Calibri" w:hAnsi="Calibri"/>
                <w:b/>
                <w:i w:val="0"/>
                <w:color w:val="D97706"/>
                <w:sz w:val="17"/>
              </w:rPr>
              <w:t>🟡 Trung</w:t>
            </w:r>
          </w:p>
        </w:tc>
      </w:tr>
      <w:tr>
        <w:tc>
          <w:tcPr>
            <w:tcW w:type="dxa" w:w="454"/>
            <w:shd w:val="clear" w:color="auto" w:fill="FEF3C7"/>
            <w:tcBorders>
              <w:top w:val="none" w:sz="6" w:color="auto"/>
              <w:bottom w:val="none" w:sz="6" w:color="auto"/>
              <w:left w:val="none" w:sz="6" w:color="auto"/>
              <w:right w:val="none" w:sz="6" w:color="auto"/>
            </w:tcBorders>
          </w:tcPr>
          <w:p>
            <w:pPr>
              <w:spacing w:before="100" w:after="100"/>
              <w:jc w:val="center"/>
            </w:pPr>
            <w:r>
              <w:t>🟡</w:t>
            </w:r>
          </w:p>
        </w:tc>
        <w:tc>
          <w:tcPr>
            <w:tcW w:type="dxa" w:w="4422"/>
            <w:shd w:val="clear" w:color="auto" w:fill="FAFBFF"/>
            <w:tcBorders>
              <w:top w:val="none" w:sz="6" w:color="auto"/>
              <w:bottom w:val="none" w:sz="6" w:color="auto"/>
              <w:left w:val="none" w:sz="6" w:color="auto"/>
              <w:right w:val="none" w:sz="6" w:color="auto"/>
            </w:tcBorders>
          </w:tcPr>
          <w:p>
            <w:pPr>
              <w:spacing w:before="80" w:after="80"/>
              <w:ind w:left="85"/>
            </w:pPr>
            <w:r>
              <w:rPr>
                <w:rFonts w:ascii="Calibri" w:hAnsi="Calibri"/>
                <w:b/>
                <w:i w:val="0"/>
                <w:color w:val="111827"/>
                <w:sz w:val="18"/>
              </w:rPr>
              <w:t>Xây dựng tài liệu Medical Affairs về vai trò PPI trong phác đồ diệt HP — đẩy JIRACEK vào danh mục thầu Bạch Mai, Chợ Rẫy 2026–2027</w:t>
            </w:r>
          </w:p>
        </w:tc>
        <w:tc>
          <w:tcPr>
            <w:tcW w:type="dxa" w:w="1417"/>
            <w:shd w:val="clear" w:color="auto" w:fill="FAFBFF"/>
            <w:tcBorders>
              <w:top w:val="none" w:sz="6" w:color="auto"/>
              <w:bottom w:val="none" w:sz="6" w:color="auto"/>
              <w:left w:val="none" w:sz="6" w:color="auto"/>
              <w:right w:val="none" w:sz="6" w:color="auto"/>
            </w:tcBorders>
          </w:tcPr>
          <w:p>
            <w:pPr>
              <w:spacing w:before="80" w:after="80"/>
              <w:jc w:val="center"/>
            </w:pPr>
            <w:r>
              <w:rPr>
                <w:rFonts w:ascii="Calibri" w:hAnsi="Calibri"/>
                <w:b w:val="0"/>
                <w:i w:val="0"/>
                <w:color w:val="003B71"/>
                <w:sz w:val="17"/>
              </w:rPr>
              <w:t>Marketing / Sales</w:t>
            </w:r>
          </w:p>
        </w:tc>
        <w:tc>
          <w:tcPr>
            <w:tcW w:type="dxa" w:w="1134"/>
            <w:shd w:val="clear" w:color="auto" w:fill="FAFBFF"/>
            <w:tcBorders>
              <w:top w:val="none" w:sz="6" w:color="auto"/>
              <w:bottom w:val="none" w:sz="6" w:color="auto"/>
              <w:left w:val="none" w:sz="6" w:color="auto"/>
              <w:right w:val="none" w:sz="6" w:color="auto"/>
            </w:tcBorders>
          </w:tcPr>
          <w:p>
            <w:pPr>
              <w:spacing w:before="80" w:after="80"/>
              <w:jc w:val="center"/>
            </w:pPr>
            <w:r>
              <w:rPr>
                <w:rFonts w:ascii="Calibri" w:hAnsi="Calibri"/>
                <w:b w:val="0"/>
                <w:i w:val="0"/>
                <w:color w:val="6B7280"/>
                <w:sz w:val="17"/>
              </w:rPr>
              <w:t>Nhận thức HP/ung thư dạ dày tăng — cơ hội PPI</w:t>
            </w:r>
          </w:p>
        </w:tc>
        <w:tc>
          <w:tcPr>
            <w:tcW w:type="dxa" w:w="1644"/>
            <w:shd w:val="clear" w:color="auto" w:fill="FEF3C7"/>
            <w:tcBorders>
              <w:top w:val="none" w:sz="6" w:color="auto"/>
              <w:bottom w:val="none" w:sz="6" w:color="auto"/>
              <w:left w:val="none" w:sz="6" w:color="auto"/>
              <w:right w:val="none" w:sz="6" w:color="auto"/>
            </w:tcBorders>
          </w:tcPr>
          <w:p>
            <w:pPr>
              <w:spacing w:before="80" w:after="80"/>
              <w:jc w:val="center"/>
            </w:pPr>
            <w:r>
              <w:rPr>
                <w:rFonts w:ascii="Calibri" w:hAnsi="Calibri"/>
                <w:b/>
                <w:i w:val="0"/>
                <w:color w:val="D97706"/>
                <w:sz w:val="17"/>
              </w:rPr>
              <w:t>🟡 Trung</w:t>
            </w:r>
          </w:p>
        </w:tc>
      </w:tr>
    </w:tbl>
    <w:p>
      <w:pPr>
        <w:spacing w:after="200"/>
      </w:pPr>
    </w:p>
    <w:tbl>
      <w:tblPr>
        <w:tblStyle w:val="TableGrid"/>
        <w:tblW w:type="auto" w:w="0"/>
        <w:tblLook w:firstColumn="1" w:firstRow="1" w:lastColumn="0" w:lastRow="0" w:noHBand="0" w:noVBand="1" w:val="04A0"/>
      </w:tblPr>
      <w:tblGrid>
        <w:gridCol w:w="9072"/>
      </w:tblGrid>
      <w:tr>
        <w:tc>
          <w:tcPr>
            <w:tcW w:type="dxa" w:w="9072"/>
            <w:shd w:val="clear" w:color="auto" w:fill="F1F5F9"/>
            <w:tcBorders>
              <w:top w:val="none" w:sz="6" w:color="auto"/>
              <w:bottom w:val="none" w:sz="6" w:color="auto"/>
              <w:left w:val="none" w:sz="6" w:color="auto"/>
              <w:right w:val="none" w:sz="6" w:color="auto"/>
            </w:tcBorders>
          </w:tcPr>
          <w:p>
            <w:pPr>
              <w:spacing w:before="120" w:after="120"/>
              <w:jc w:val="center"/>
            </w:pPr>
            <w:r>
              <w:rPr>
                <w:rFonts w:ascii="Calibri" w:hAnsi="Calibri"/>
                <w:b w:val="0"/>
                <w:i/>
                <w:color w:val="9CA3AF"/>
                <w:sz w:val="15"/>
              </w:rPr>
              <w:t>Davipharm Market Intelligence System  ·  Powered by Claude Sonnet 4.6  ·  13/05/2026  ·  CONFIDENTIAL</w:t>
            </w:r>
          </w:p>
        </w:tc>
      </w:tr>
    </w:tbl>
    <w:sectPr w:rsidR="00FC693F" w:rsidRPr="0006063C" w:rsidSect="00034616">
      <w:footerReference w:type="default" r:id="rId9"/>
      <w:pgSz w:w="11906" w:h="16838"/>
      <w:pgMar w:top="1134" w:right="1417" w:bottom="1134" w:left="1417"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b w:val="0"/>
        <w:i w:val="0"/>
        <w:color w:val="9CA3AF"/>
        <w:sz w:val="16"/>
      </w:rPr>
      <w:fldChar w:fldCharType="begin"/>
      <w:instrText xml:space="preserve">PAGE</w:instrText>
      <w:fldChar w:fldCharType="separate"/>
      <w:fldChar w:fldCharType="end"/>
    </w:r>
    <w:r>
      <w:rPr>
        <w:rFonts w:ascii="Calibri" w:hAnsi="Calibri"/>
        <w:b w:val="0"/>
        <w:i w:val="0"/>
        <w:color w:val="9CA3AF"/>
        <w:sz w:val="16"/>
      </w:rPr>
      <w:t xml:space="preserve"> / </w:t>
    </w:r>
    <w:r>
      <w:rPr>
        <w:rFonts w:ascii="Calibri" w:hAnsi="Calibri"/>
        <w:b w:val="0"/>
        <w:i w:val="0"/>
        <w:color w:val="9CA3AF"/>
        <w:sz w:val="16"/>
      </w:rPr>
      <w:fldChar w:fldCharType="begin"/>
      <w:instrText xml:space="preserve">NUMPAGES</w:instrText>
      <w:fldChar w:fldCharType="separate"/>
      <w:fldChar w:fldCharType="end"/>
    </w:r>
    <w:r>
      <w:rPr>
        <w:rFonts w:ascii="Calibri" w:hAnsi="Calibri"/>
        <w:b w:val="0"/>
        <w:i w:val="0"/>
        <w:color w:val="9CA3AF"/>
        <w:sz w:val="14"/>
      </w:rPr>
      <w:t xml:space="preserve">  |  Davipharm Market Intelligence  |  CONFIDENTIAL</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