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1"/>
            <w:shd w:val="clear" w:color="auto" w:fill="003B71"/>
            <w:tcBorders>
              <w:top w:val="none" w:sz="6" w:color="auto"/>
              <w:bottom w:val="none" w:sz="6" w:color="auto"/>
              <w:left w:val="none" w:sz="6" w:color="auto"/>
              <w:right w:val="none" w:sz="6" w:color="auto"/>
            </w:tcBorders>
          </w:tcPr>
          <w:p>
            <w:pPr>
              <w:spacing w:before="120" w:after="120"/>
              <w:ind w:left="170"/>
            </w:pPr>
            <w:r>
              <w:rPr>
                <w:rFonts w:ascii="Calibri" w:hAnsi="Calibri"/>
                <w:b/>
                <w:i w:val="0"/>
                <w:color w:val="FFFFFF"/>
                <w:sz w:val="16"/>
              </w:rPr>
              <w:t>MARKET INTELLIGENCE  ·  BÁO CÁO TUẦN</w:t>
            </w:r>
          </w:p>
        </w:tc>
      </w:tr>
    </w:tbl>
    <w:p>
      <w:pPr>
        <w:spacing w:before="720" w:after="360"/>
        <w:jc w:val="center"/>
      </w:pPr>
      <w:r>
        <w:drawing>
          <wp:inline xmlns:a="http://schemas.openxmlformats.org/drawingml/2006/main" xmlns:pic="http://schemas.openxmlformats.org/drawingml/2006/picture">
            <wp:extent cx="3060000" cy="484691"/>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3060000" cy="484691"/>
                    </a:xfrm>
                    <a:prstGeom prst="rect"/>
                  </pic:spPr>
                </pic:pic>
              </a:graphicData>
            </a:graphic>
          </wp:inline>
        </w:drawing>
      </w:r>
    </w:p>
    <w:tbl>
      <w:tblPr>
        <w:tblW w:type="auto" w:w="0"/>
        <w:jc w:val="center"/>
        <w:tblLook w:firstColumn="1" w:firstRow="1" w:lastColumn="0" w:lastRow="0" w:noHBand="0" w:noVBand="1" w:val="04A0"/>
      </w:tblPr>
      <w:tblGrid>
        <w:gridCol w:w="4536"/>
        <w:gridCol w:w="4536"/>
      </w:tblGrid>
      <w:tr>
        <w:tc>
          <w:tcPr>
            <w:tcW w:type="dxa" w:w="1984"/>
            <w:shd w:val="clear" w:color="auto" w:fill="F1F5F9"/>
            <w:tcBorders>
              <w:top w:val="none" w:sz="6" w:color="auto"/>
              <w:bottom w:val="none" w:sz="6" w:color="auto"/>
              <w:left w:val="none" w:sz="6" w:color="auto"/>
              <w:right w:val="none" w:sz="6" w:color="auto"/>
            </w:tcBorders>
          </w:tcPr>
          <w:p>
            <w:pPr>
              <w:spacing w:before="80" w:after="80"/>
              <w:ind w:left="113"/>
            </w:pPr>
            <w:r>
              <w:rPr>
                <w:rFonts w:ascii="Calibri" w:hAnsi="Calibri"/>
                <w:b/>
                <w:i w:val="0"/>
                <w:color w:val="9CA3AF"/>
                <w:sz w:val="16"/>
              </w:rPr>
              <w:t>BÁO CÁO</w:t>
            </w:r>
          </w:p>
        </w:tc>
        <w:tc>
          <w:tcPr>
            <w:tcW w:type="dxa" w:w="4819"/>
            <w:tcBorders>
              <w:top w:val="none" w:sz="6" w:color="auto"/>
              <w:bottom w:val="none" w:sz="6" w:color="auto"/>
              <w:left w:val="none" w:sz="6" w:color="auto"/>
              <w:right w:val="none" w:sz="6" w:color="auto"/>
            </w:tcBorders>
          </w:tcPr>
          <w:p>
            <w:pPr>
              <w:spacing w:before="80" w:after="80"/>
              <w:ind w:left="113"/>
            </w:pPr>
            <w:r>
              <w:rPr>
                <w:rFonts w:ascii="Calibri" w:hAnsi="Calibri"/>
                <w:b/>
                <w:i w:val="0"/>
                <w:color w:val="003B71"/>
                <w:sz w:val="19"/>
              </w:rPr>
              <w:t>Market Intelligence Report</w:t>
            </w:r>
          </w:p>
        </w:tc>
      </w:tr>
      <w:tr>
        <w:tc>
          <w:tcPr>
            <w:tcW w:type="dxa" w:w="1984"/>
            <w:shd w:val="clear" w:color="auto" w:fill="F1F5F9"/>
            <w:tcBorders>
              <w:top w:val="none" w:sz="6" w:color="auto"/>
              <w:bottom w:val="none" w:sz="6" w:color="auto"/>
              <w:left w:val="none" w:sz="6" w:color="auto"/>
              <w:right w:val="none" w:sz="6" w:color="auto"/>
            </w:tcBorders>
          </w:tcPr>
          <w:p>
            <w:pPr>
              <w:spacing w:before="80" w:after="80"/>
              <w:ind w:left="113"/>
            </w:pPr>
            <w:r>
              <w:rPr>
                <w:rFonts w:ascii="Calibri" w:hAnsi="Calibri"/>
                <w:b/>
                <w:i w:val="0"/>
                <w:color w:val="9CA3AF"/>
                <w:sz w:val="16"/>
              </w:rPr>
              <w:t>TUẦN</w:t>
            </w:r>
          </w:p>
        </w:tc>
        <w:tc>
          <w:tcPr>
            <w:tcW w:type="dxa" w:w="4819"/>
            <w:tcBorders>
              <w:top w:val="none" w:sz="6" w:color="auto"/>
              <w:bottom w:val="none" w:sz="6" w:color="auto"/>
              <w:left w:val="none" w:sz="6" w:color="auto"/>
              <w:right w:val="none" w:sz="6" w:color="auto"/>
            </w:tcBorders>
          </w:tcPr>
          <w:p>
            <w:pPr>
              <w:spacing w:before="80" w:after="80"/>
              <w:ind w:left="113"/>
            </w:pPr>
            <w:r>
              <w:rPr>
                <w:rFonts w:ascii="Calibri" w:hAnsi="Calibri"/>
                <w:b w:val="0"/>
                <w:i w:val="0"/>
                <w:color w:val="111827"/>
                <w:sz w:val="19"/>
              </w:rPr>
              <w:t>12/05 – 18/05/2026</w:t>
            </w:r>
          </w:p>
        </w:tc>
      </w:tr>
      <w:tr>
        <w:tc>
          <w:tcPr>
            <w:tcW w:type="dxa" w:w="1984"/>
            <w:shd w:val="clear" w:color="auto" w:fill="F1F5F9"/>
            <w:tcBorders>
              <w:top w:val="none" w:sz="6" w:color="auto"/>
              <w:bottom w:val="none" w:sz="6" w:color="auto"/>
              <w:left w:val="none" w:sz="6" w:color="auto"/>
              <w:right w:val="none" w:sz="6" w:color="auto"/>
            </w:tcBorders>
          </w:tcPr>
          <w:p>
            <w:pPr>
              <w:spacing w:before="80" w:after="80"/>
              <w:ind w:left="113"/>
            </w:pPr>
            <w:r>
              <w:rPr>
                <w:rFonts w:ascii="Calibri" w:hAnsi="Calibri"/>
                <w:b/>
                <w:i w:val="0"/>
                <w:color w:val="9CA3AF"/>
                <w:sz w:val="16"/>
              </w:rPr>
              <w:t>NGÀY</w:t>
            </w:r>
          </w:p>
        </w:tc>
        <w:tc>
          <w:tcPr>
            <w:tcW w:type="dxa" w:w="4819"/>
            <w:tcBorders>
              <w:top w:val="none" w:sz="6" w:color="auto"/>
              <w:bottom w:val="none" w:sz="6" w:color="auto"/>
              <w:left w:val="none" w:sz="6" w:color="auto"/>
              <w:right w:val="none" w:sz="6" w:color="auto"/>
            </w:tcBorders>
          </w:tcPr>
          <w:p>
            <w:pPr>
              <w:spacing w:before="80" w:after="80"/>
              <w:ind w:left="113"/>
            </w:pPr>
            <w:r>
              <w:rPr>
                <w:rFonts w:ascii="Calibri" w:hAnsi="Calibri"/>
                <w:b w:val="0"/>
                <w:i w:val="0"/>
                <w:color w:val="111827"/>
                <w:sz w:val="19"/>
              </w:rPr>
              <w:t>13/05/2026</w:t>
            </w:r>
          </w:p>
        </w:tc>
      </w:tr>
    </w:tbl>
    <w:p>
      <w:pPr>
        <w:spacing w:before="360"/>
        <w:jc w:val="center"/>
      </w:pPr>
      <w:r>
        <w:rPr>
          <w:rFonts w:ascii="Calibri" w:hAnsi="Calibri"/>
          <w:b w:val="0"/>
          <w:i/>
          <w:color w:val="CCCCCC"/>
          <w:sz w:val="16"/>
        </w:rPr>
        <w:t>Adamed Group  ·  Davipharm  ·  CONFIDENTIAL</w:t>
      </w:r>
    </w:p>
    <w:p>
      <w:r>
        <w:br w:type="page"/>
      </w:r>
    </w:p>
    <w:p>
      <w:pPr>
        <w:spacing w:before="320" w:after="120"/>
        <w:pBdr>
          <w:bottom w:val="single" w:sz="8" w:color="003B71"/>
        </w:pBdr>
      </w:pPr>
      <w:r>
        <w:rPr>
          <w:rFonts w:ascii="Calibri" w:hAnsi="Calibri"/>
          <w:b/>
          <w:i w:val="0"/>
          <w:color w:val="003B71"/>
          <w:sz w:val="22"/>
        </w:rPr>
        <w:t>TÓM TẮT ĐIỀU HÀNH</w:t>
      </w:r>
    </w:p>
    <w:tbl>
      <w:tblPr>
        <w:tblStyle w:val="TableGrid"/>
        <w:tblW w:type="auto" w:w="0"/>
        <w:jc w:val="left"/>
        <w:tblLook w:firstColumn="1" w:firstRow="1" w:lastColumn="0" w:lastRow="0" w:noHBand="0" w:noVBand="1" w:val="04A0"/>
      </w:tblPr>
      <w:tblGrid>
        <w:gridCol w:w="9072"/>
      </w:tblGrid>
      <w:tr>
        <w:tc>
          <w:tcPr>
            <w:tcW w:type="dxa" w:w="9071"/>
            <w:shd w:val="clear" w:color="auto" w:fill="EFF6FF"/>
            <w:tcBorders>
              <w:top w:val="none" w:sz="6" w:color="auto"/>
              <w:bottom w:val="none" w:sz="6" w:color="auto"/>
              <w:left w:val="single" w:sz="18" w:color="0056D2"/>
              <w:right w:val="none" w:sz="6" w:color="auto"/>
            </w:tcBorders>
          </w:tcPr>
          <w:p>
            <w:pPr>
              <w:spacing w:before="80" w:after="80"/>
              <w:ind w:left="170"/>
            </w:pPr>
            <w:r>
              <w:rPr>
                <w:rFonts w:ascii="Calibri" w:hAnsi="Calibri"/>
                <w:b/>
                <w:i w:val="0"/>
                <w:color w:val="111827"/>
                <w:sz w:val="20"/>
              </w:rPr>
              <w:t>Tuần 11–17/05: Hai tín hiệu thị trường tích cực — nhu cầu nhi khoa mùa thủy đậu và phân khúc dinh dưỡng 50+ — mở ra cơ hội tăng trưởng ngắn và trung hạn cho danh mục OTC/ETC của Davipharm.</w:t>
            </w:r>
          </w:p>
        </w:tc>
      </w:tr>
    </w:tbl>
    <w:p>
      <w:pPr>
        <w:spacing w:before="80"/>
      </w:pPr>
    </w:p>
    <w:p>
      <w:pPr>
        <w:spacing w:after="80"/>
      </w:pPr>
    </w:p>
    <w:tbl>
      <w:tblPr>
        <w:tblStyle w:val="TableGrid"/>
        <w:tblW w:type="auto" w:w="0"/>
        <w:jc w:val="left"/>
        <w:tblLook w:firstColumn="1" w:firstRow="1" w:lastColumn="0" w:lastRow="0" w:noHBand="0" w:noVBand="1" w:val="04A0"/>
      </w:tblPr>
      <w:tblGrid>
        <w:gridCol w:w="4536"/>
        <w:gridCol w:w="4536"/>
      </w:tblGrid>
      <w:tr>
        <w:tc>
          <w:tcPr>
            <w:tcW w:type="dxa" w:w="4535"/>
            <w:tcBorders>
              <w:top w:val="none" w:sz="6" w:color="auto"/>
              <w:bottom w:val="none" w:sz="6" w:color="auto"/>
              <w:left w:val="none" w:sz="6" w:color="auto"/>
              <w:right w:val="none" w:sz="6" w:color="auto"/>
            </w:tcBorders>
            <w:shd w:val="clear" w:color="auto" w:fill="FAFBFF"/>
          </w:tcPr>
          <w:p>
            <w:pPr>
              <w:spacing w:before="80"/>
              <w:ind w:left="113"/>
            </w:pPr>
            <w:r>
              <w:rPr>
                <w:rFonts w:ascii="Calibri" w:hAnsi="Calibri"/>
                <w:b/>
                <w:i w:val="0"/>
                <w:color w:val="003B71"/>
                <w:sz w:val="17"/>
              </w:rPr>
              <w:t>💡  INSIGHTS TUẦN NÀY</w:t>
            </w:r>
          </w:p>
          <w:p>
            <w:pPr>
              <w:spacing w:before="20" w:after="60"/>
              <w:ind w:left="142"/>
            </w:pPr>
            <w:r>
              <w:rPr>
                <w:rFonts w:ascii="Calibri" w:hAnsi="Calibri"/>
                <w:b w:val="0"/>
                <w:i w:val="0"/>
                <w:color w:val="111827"/>
                <w:sz w:val="17"/>
              </w:rPr>
              <w:t>▸  Nhi khoa – Thủy đậu:Ca biến chứng nặng được truyền thông hóa tạo nhu cầu tức thời cho kháng sinh phổ rộng và acyclovir tại kênh bệnh viện nhi.</w:t>
            </w:r>
          </w:p>
          <w:p>
            <w:pPr>
              <w:spacing w:before="20" w:after="60"/>
              <w:ind w:left="142"/>
            </w:pPr>
            <w:r>
              <w:rPr>
                <w:rFonts w:ascii="Calibri" w:hAnsi="Calibri"/>
                <w:b w:val="0"/>
                <w:i w:val="0"/>
                <w:color w:val="111827"/>
                <w:sz w:val="17"/>
              </w:rPr>
              <w:t>▸  Dinh dưỡng 50+:Truyền thông y tế đang khuếch đại nhu cầu canxi, vitamin D và omega-3 cho người cao tuổi — phân khúc tăng trưởng nhanh chưa bị khai thác tối đa.</w:t>
            </w:r>
          </w:p>
          <w:p>
            <w:pPr>
              <w:spacing w:before="20" w:after="60"/>
              <w:ind w:left="142"/>
            </w:pPr>
            <w:r>
              <w:rPr>
                <w:rFonts w:ascii="Calibri" w:hAnsi="Calibri"/>
                <w:b w:val="0"/>
                <w:i w:val="0"/>
                <w:color w:val="111827"/>
                <w:sz w:val="17"/>
              </w:rPr>
              <w:t>▸  An toàn thuốc – Tim mạch:Cảnh báo tương tác TPCN–chống đông tạo dư địa định vị Davipharm là thương hiệu "dược phẩm có trách nhiệm" trong kênh ETC tim mạch.</w:t>
            </w:r>
          </w:p>
          <w:p>
            <w:pPr>
              <w:spacing w:before="20" w:after="60"/>
              <w:ind w:left="142"/>
            </w:pPr>
            <w:r>
              <w:rPr>
                <w:rFonts w:ascii="Calibri" w:hAnsi="Calibri"/>
                <w:b w:val="0"/>
                <w:i w:val="0"/>
                <w:color w:val="111827"/>
                <w:sz w:val="17"/>
              </w:rPr>
              <w:t>▸  P1Sales Director chỉ đạo Medical Rep tăng tần suất ghé thăm bệnh viện nhi và phòng khám nhi trong tháng 5–6, ưu tiên push kháng sinh amoxicillin-clavulanate, cephalosporin và acyclovir.</w:t>
            </w:r>
          </w:p>
          <w:p>
            <w:pPr>
              <w:spacing w:before="20" w:after="60"/>
              <w:ind w:left="142"/>
            </w:pPr>
            <w:r>
              <w:rPr>
                <w:rFonts w:ascii="Calibri" w:hAnsi="Calibri"/>
                <w:b w:val="0"/>
                <w:i w:val="0"/>
                <w:color w:val="111827"/>
                <w:sz w:val="17"/>
              </w:rPr>
              <w:t>▸  P2Marketing Director đánh giá khả năng ra mắt combo "Active 50+" (canxi + vitamin D + omega-3) và lên kế hoạch truyền</w:t>
            </w:r>
          </w:p>
        </w:tc>
        <w:tc>
          <w:tcPr>
            <w:tcW w:type="dxa" w:w="4535"/>
            <w:tcBorders>
              <w:top w:val="none" w:sz="6" w:color="auto"/>
              <w:bottom w:val="none" w:sz="6" w:color="auto"/>
              <w:left w:val="none" w:sz="6" w:color="auto"/>
              <w:right w:val="none" w:sz="6" w:color="auto"/>
            </w:tcBorders>
            <w:shd w:val="clear" w:color="auto" w:fill="FAFBFF"/>
          </w:tcPr>
          <w:p>
            <w:pPr>
              <w:spacing w:before="80"/>
              <w:ind w:left="113"/>
            </w:pPr>
            <w:r>
              <w:rPr>
                <w:rFonts w:ascii="Calibri" w:hAnsi="Calibri"/>
                <w:b/>
                <w:i w:val="0"/>
                <w:color w:val="0056D2"/>
                <w:sz w:val="17"/>
              </w:rPr>
              <w:t>⚡  HÀNH ĐỘNG ƯU TIÊN</w:t>
            </w:r>
          </w:p>
          <w:p>
            <w:pPr>
              <w:spacing w:before="20" w:after="60"/>
              <w:ind w:left="142"/>
            </w:pPr>
            <w:r>
              <w:rPr>
                <w:rFonts w:ascii="Calibri" w:hAnsi="Calibri"/>
                <w:b w:val="0"/>
                <w:i w:val="0"/>
                <w:color w:val="0056D2"/>
                <w:sz w:val="17"/>
              </w:rPr>
              <w:t>→  P1Sales Director chỉ đạo Medical Rep tăng tần suất ghé thăm bệnh viện nhi và phòng khám nhi trong tháng 5–6, ưu tiên push kháng sinh amoxicillin-clavulanate, cephalosporin và acyclovir.</w:t>
            </w:r>
          </w:p>
          <w:p>
            <w:pPr>
              <w:spacing w:before="20" w:after="60"/>
              <w:ind w:left="142"/>
            </w:pPr>
            <w:r>
              <w:rPr>
                <w:rFonts w:ascii="Calibri" w:hAnsi="Calibri"/>
                <w:b w:val="0"/>
                <w:i w:val="0"/>
                <w:color w:val="0056D2"/>
                <w:sz w:val="17"/>
              </w:rPr>
              <w:t>→  P2Marketing Director đánh giá khả năng ra mắt combo "Active 50+" (canxi + vitamin D + omega-3) và lên kế hoạch truyền</w:t>
            </w:r>
          </w:p>
        </w:tc>
      </w:tr>
    </w:tbl>
    <w:p>
      <w:pPr>
        <w:spacing w:after="120"/>
      </w:pPr>
    </w:p>
    <w:p>
      <w:pPr>
        <w:spacing w:after="40"/>
      </w:pPr>
    </w:p>
    <w:p>
      <w:pPr>
        <w:spacing w:before="320" w:after="120"/>
        <w:pBdr>
          <w:bottom w:val="single" w:sz="8" w:color="003B71"/>
        </w:pBdr>
      </w:pPr>
      <w:r>
        <w:rPr>
          <w:rFonts w:ascii="Calibri" w:hAnsi="Calibri"/>
          <w:b/>
          <w:i w:val="0"/>
          <w:color w:val="003B71"/>
          <w:sz w:val="22"/>
        </w:rPr>
        <w:t>TÂM LÝ THỊ TRƯỜNG TUẦN NÀY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18"/>
            <w:shd w:val="clear" w:color="auto" w:fill="003B71"/>
            <w:tcBorders>
              <w:top w:val="none" w:sz="6" w:color="auto"/>
              <w:bottom w:val="none" w:sz="6" w:color="auto"/>
              <w:left w:val="none" w:sz="6" w:color="auto"/>
              <w:right w:val="none" w:sz="6" w:color="auto"/>
            </w:tcBorders>
          </w:tcPr>
          <w:p>
            <w:pPr>
              <w:spacing w:before="80" w:after="80"/>
              <w:ind w:left="85"/>
              <w:jc w:val="left"/>
            </w:pPr>
            <w:r>
              <w:rPr>
                <w:rFonts w:ascii="Calibri" w:hAnsi="Calibri"/>
                <w:b/>
                <w:i w:val="0"/>
                <w:color w:val="FFFFFF"/>
                <w:sz w:val="17"/>
              </w:rPr>
              <w:t>Nhóm tin</w:t>
            </w:r>
          </w:p>
        </w:tc>
        <w:tc>
          <w:tcPr>
            <w:tcW w:type="dxa" w:w="1701"/>
            <w:shd w:val="clear" w:color="auto" w:fill="166534"/>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  Tích cực</w:t>
            </w:r>
          </w:p>
        </w:tc>
        <w:tc>
          <w:tcPr>
            <w:tcW w:type="dxa" w:w="1984"/>
            <w:shd w:val="clear" w:color="auto" w:fill="37415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  Trung tính</w:t>
            </w:r>
          </w:p>
        </w:tc>
        <w:tc>
          <w:tcPr>
            <w:tcW w:type="dxa" w:w="2268"/>
            <w:shd w:val="clear" w:color="auto" w:fill="991B1B"/>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  Rủi ro / Thách thức</w:t>
            </w:r>
          </w:p>
        </w:tc>
      </w:tr>
      <w:tr>
        <w:tc>
          <w:tcPr>
            <w:tcW w:type="dxa" w:w="3118"/>
            <w:shd w:val="clear" w:color="auto" w:fill="FAFBFF"/>
            <w:tcBorders>
              <w:top w:val="none" w:sz="6" w:color="auto"/>
              <w:bottom w:val="none" w:sz="6" w:color="auto"/>
              <w:left w:val="none" w:sz="6" w:color="auto"/>
              <w:right w:val="none" w:sz="6" w:color="auto"/>
            </w:tcBorders>
          </w:tcPr>
          <w:p>
            <w:pPr>
              <w:spacing w:before="100" w:after="100"/>
              <w:ind w:left="113"/>
            </w:pPr>
            <w:r>
              <w:rPr>
                <w:rFonts w:ascii="Calibri" w:hAnsi="Calibri"/>
                <w:b/>
                <w:i w:val="0"/>
                <w:color w:val="111827"/>
                <w:sz w:val="18"/>
              </w:rPr>
              <w:t>Chính sách &amp; PL</w:t>
            </w:r>
          </w:p>
        </w:tc>
        <w:tc>
          <w:tcPr>
            <w:tcW w:type="dxa" w:w="1701"/>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166534"/>
                <w:sz w:val="22"/>
              </w:rPr>
              <w:t>4</w:t>
            </w:r>
          </w:p>
        </w:tc>
        <w:tc>
          <w:tcPr>
            <w:tcW w:type="dxa" w:w="1984"/>
            <w:shd w:val="clear" w:color="auto" w:fill="F3F4F6"/>
            <w:tcBorders>
              <w:top w:val="none" w:sz="6" w:color="auto"/>
              <w:bottom w:val="none" w:sz="6" w:color="auto"/>
              <w:left w:val="none" w:sz="6" w:color="auto"/>
              <w:right w:val="none" w:sz="6" w:color="auto"/>
            </w:tcBorders>
          </w:tcPr>
          <w:p>
            <w:pPr>
              <w:spacing w:before="80" w:after="80"/>
              <w:jc w:val="center"/>
            </w:pPr>
            <w:r>
              <w:rPr>
                <w:rFonts w:ascii="Calibri" w:hAnsi="Calibri"/>
                <w:b/>
                <w:i w:val="0"/>
                <w:color w:val="374151"/>
                <w:sz w:val="22"/>
              </w:rPr>
              <w:t>1</w:t>
            </w:r>
          </w:p>
        </w:tc>
        <w:tc>
          <w:tcPr>
            <w:tcW w:type="dxa" w:w="2268"/>
            <w:shd w:val="clear" w:color="auto" w:fill="FFF0F0"/>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r>
      <w:tr>
        <w:tc>
          <w:tcPr>
            <w:tcW w:type="dxa" w:w="3118"/>
            <w:shd w:val="clear" w:color="auto" w:fill="F5F7FF"/>
            <w:tcBorders>
              <w:top w:val="none" w:sz="6" w:color="auto"/>
              <w:bottom w:val="none" w:sz="6" w:color="auto"/>
              <w:left w:val="none" w:sz="6" w:color="auto"/>
              <w:right w:val="none" w:sz="6" w:color="auto"/>
            </w:tcBorders>
          </w:tcPr>
          <w:p>
            <w:pPr>
              <w:spacing w:before="100" w:after="100"/>
              <w:ind w:left="113"/>
            </w:pPr>
            <w:r>
              <w:rPr>
                <w:rFonts w:ascii="Calibri" w:hAnsi="Calibri"/>
                <w:b/>
                <w:i w:val="0"/>
                <w:color w:val="111827"/>
                <w:sz w:val="18"/>
              </w:rPr>
              <w:t>Tin ngành Dược</w:t>
            </w:r>
          </w:p>
        </w:tc>
        <w:tc>
          <w:tcPr>
            <w:tcW w:type="dxa" w:w="1701"/>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166534"/>
                <w:sz w:val="22"/>
              </w:rPr>
              <w:t>2</w:t>
            </w:r>
          </w:p>
        </w:tc>
        <w:tc>
          <w:tcPr>
            <w:tcW w:type="dxa" w:w="1984"/>
            <w:shd w:val="clear" w:color="auto" w:fill="F3F4F6"/>
            <w:tcBorders>
              <w:top w:val="none" w:sz="6" w:color="auto"/>
              <w:bottom w:val="none" w:sz="6" w:color="auto"/>
              <w:left w:val="none" w:sz="6" w:color="auto"/>
              <w:right w:val="none" w:sz="6" w:color="auto"/>
            </w:tcBorders>
          </w:tcPr>
          <w:p>
            <w:pPr>
              <w:spacing w:before="80" w:after="80"/>
              <w:jc w:val="center"/>
            </w:pPr>
            <w:r>
              <w:rPr>
                <w:rFonts w:ascii="Calibri" w:hAnsi="Calibri"/>
                <w:b/>
                <w:i w:val="0"/>
                <w:color w:val="374151"/>
                <w:sz w:val="22"/>
              </w:rPr>
              <w:t>1</w:t>
            </w:r>
          </w:p>
        </w:tc>
        <w:tc>
          <w:tcPr>
            <w:tcW w:type="dxa" w:w="2268"/>
            <w:shd w:val="clear" w:color="auto" w:fill="FFF0F0"/>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r>
      <w:tr>
        <w:tc>
          <w:tcPr>
            <w:tcW w:type="dxa" w:w="3118"/>
            <w:shd w:val="clear" w:color="auto" w:fill="FAFBFF"/>
            <w:tcBorders>
              <w:top w:val="none" w:sz="6" w:color="auto"/>
              <w:bottom w:val="none" w:sz="6" w:color="auto"/>
              <w:left w:val="none" w:sz="6" w:color="auto"/>
              <w:right w:val="none" w:sz="6" w:color="auto"/>
            </w:tcBorders>
          </w:tcPr>
          <w:p>
            <w:pPr>
              <w:spacing w:before="100" w:after="100"/>
              <w:ind w:left="113"/>
            </w:pPr>
            <w:r>
              <w:rPr>
                <w:rFonts w:ascii="Calibri" w:hAnsi="Calibri"/>
                <w:b/>
                <w:i w:val="0"/>
                <w:color w:val="111827"/>
                <w:sz w:val="18"/>
              </w:rPr>
              <w:t>Đối thủ</w:t>
            </w:r>
          </w:p>
        </w:tc>
        <w:tc>
          <w:tcPr>
            <w:tcW w:type="dxa" w:w="1701"/>
            <w:shd w:val="clear" w:color="auto" w:fill="E9FBF0"/>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c>
          <w:tcPr>
            <w:tcW w:type="dxa" w:w="1984"/>
            <w:shd w:val="clear" w:color="auto" w:fill="F9FAFB"/>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c>
          <w:tcPr>
            <w:tcW w:type="dxa" w:w="2268"/>
            <w:shd w:val="clear" w:color="auto" w:fill="FFF0F0"/>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r>
    </w:tbl>
    <w:p>
      <w:pPr>
        <w:spacing w:after="80"/>
      </w:pPr>
    </w:p>
    <w:p>
      <w:r>
        <w:br w:type="page"/>
      </w:r>
    </w:p>
    <w:p>
      <w:pPr>
        <w:spacing w:before="320" w:after="120"/>
        <w:pBdr>
          <w:bottom w:val="single" w:sz="8" w:color="003B71"/>
        </w:pBdr>
      </w:pPr>
      <w:r>
        <w:rPr>
          <w:rFonts w:ascii="Calibri" w:hAnsi="Calibri"/>
          <w:b/>
          <w:i w:val="0"/>
          <w:color w:val="003B71"/>
          <w:sz w:val="22"/>
        </w:rPr>
        <w:t>CHÍNH SÁCH &amp; PHÁP LÝ</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SK&amp;ĐS – DƯỢC MỸ PHẨM</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Bệnh viện S.I.S Cần Thơ được hướng dẫn xử lý nước thải y tế</w:t>
            </w:r>
          </w:p>
        </w:tc>
      </w:tr>
    </w:tbl>
    <w:p>
      <w:pPr>
        <w:spacing w:before="40" w:after="40"/>
        <w:ind w:left="170"/>
      </w:pPr>
      <w:r>
        <w:rPr>
          <w:rFonts w:ascii="Calibri" w:hAnsi="Calibri"/>
          <w:b w:val="0"/>
          <w:i/>
          <w:color w:val="6B7280"/>
          <w:sz w:val="18"/>
        </w:rPr>
        <w:t>Bài báo phản ánh hoạt động tuân thủ môi trường tại bệnh viện tư nhân S.I.S Cần Thơ liên quan đến thu gom và xử lý nước thải y tế — không liên quan trực tiếp đến ngành dược phẩm hay thị trường phân phối thuốc. Nội dung bài mang tính thông tin địa phương, không có dữ liệu thị trường có giá trị phân tích.</w:t>
      </w:r>
    </w:p>
    <w:p>
      <w:pPr>
        <w:spacing w:before="20" w:after="40"/>
        <w:ind w:left="170"/>
      </w:pPr>
      <w:r>
        <w:rPr>
          <w:rFonts w:ascii="Calibri" w:hAnsi="Calibri"/>
          <w:b/>
          <w:i w:val="0"/>
          <w:color w:val="374151"/>
          <w:sz w:val="17"/>
        </w:rPr>
        <w:t>⚪ Tin tức không có tác động đến hoạt động kinh doanh hoặc chiến lược của Davipharm.</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Không có hành động cần thiết — bài báo nằm ngoài phạm vi theo dõi chiến lược dược phẩm; khuyến nghị loại khỏi bộ lọc tin tức BOD để tối ưu thời gian phân tích.</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SK&amp;ĐS – DƯỢC MỸ PHẨM</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5 nhóm thực phẩm thiết yếu trong dinh dưỡng sau tuổi 50</w:t>
            </w:r>
          </w:p>
        </w:tc>
      </w:tr>
    </w:tbl>
    <w:p>
      <w:pPr>
        <w:spacing w:before="40" w:after="40"/>
        <w:ind w:left="170"/>
      </w:pPr>
      <w:r>
        <w:rPr>
          <w:rFonts w:ascii="Calibri" w:hAnsi="Calibri"/>
          <w:b w:val="0"/>
          <w:i/>
          <w:color w:val="6B7280"/>
          <w:sz w:val="18"/>
        </w:rPr>
        <w:t>Truyền thông y tế đang đẩy mạnh nội dung dinh dưỡng cho người cao tuổi, phản ánh nhu cầu ngày càng tăng của nhóm dân số trên 50 tuổi tại Việt Nam. Xu hướng này tạo ra không gian thị trường rõ ràng cho các sản phẩm thực phẩm chức năng bổ sung vi chất, canxi, vitamin D và omega-3.</w:t>
      </w:r>
    </w:p>
    <w:p>
      <w:pPr>
        <w:spacing w:before="20" w:after="40"/>
        <w:ind w:left="170"/>
      </w:pPr>
      <w:r>
        <w:rPr>
          <w:rFonts w:ascii="Calibri" w:hAnsi="Calibri"/>
          <w:b/>
          <w:i w:val="0"/>
          <w:color w:val="166534"/>
          <w:sz w:val="17"/>
        </w:rPr>
        <w:t>📈 Nội dung truyền thông y tế về dinh dưỡng người cao tuổi gia tăng — cơ hội mở rộng danh mục TPCN cho phân khúc 50+ của Davipharm.</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Tận dụng xu hướng truyền thông này để đẩy mạnh marketing cho các sản phẩm canxi, vitamin D tổng hợp và omega-3 hiện có, đồng thời xem xét phát triển combo dinh dưỡng "Active 50+" nhằm chiếm lĩnh phân khúc người cao tuổi đang tăng trưởng nhanh.</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SK&amp;ĐS – DƯỢC MỸ PHẨM</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11 thực phẩm chức năng cần tránh khi dùng thuốc chống đông máu</w:t>
            </w:r>
          </w:p>
        </w:tc>
      </w:tr>
    </w:tbl>
    <w:p>
      <w:pPr>
        <w:spacing w:before="40" w:after="40"/>
        <w:ind w:left="170"/>
      </w:pPr>
      <w:r>
        <w:rPr>
          <w:rFonts w:ascii="Calibri" w:hAnsi="Calibri"/>
          <w:b w:val="0"/>
          <w:i/>
          <w:color w:val="6B7280"/>
          <w:sz w:val="18"/>
        </w:rPr>
        <w:t>Báo SK&amp;ĐS cảnh báo 11 nhóm thực phẩm chức năng (TPCN) có tương tác nguy hiểm với thuốc chống đông, làm tăng nguy cơ chảy máu hoặc đông máu bất thường. Thông tin này xuất hiện trong bối cảnh thị trường TPCN Việt Nam tăng trưởng mạnh nhưng nhận thức về tương tác thuốc-TPCN còn thấp.</w:t>
      </w:r>
    </w:p>
    <w:p>
      <w:pPr>
        <w:spacing w:before="20" w:after="40"/>
        <w:ind w:left="170"/>
      </w:pPr>
      <w:r>
        <w:rPr>
          <w:rFonts w:ascii="Calibri" w:hAnsi="Calibri"/>
          <w:b/>
          <w:i w:val="0"/>
          <w:color w:val="166534"/>
          <w:sz w:val="17"/>
        </w:rPr>
        <w:t>💡 Cơ hội định vị Davipharm như chuyên gia an toàn dùng thuốc — lợi thế truyền thông B2B và B2C trong phân khúc tim mạch.</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Phát triển tài liệu tư vấn "Hướng dẫn dùng thuốc chống đông an toàn" phân phối qua nhà thuốc và bác sĩ kê toa — tăng nhận diện thương hiệu trong phân khúc tim mạch và củng cố quan hệ với kênh ETC/OTC. Đồng thời, rà soát danh mục TPCN/OTC hiện có để đảm bảo nhãn sản phẩm cảnh báo đầy đủ tương tác thuốc, giảm thiểu rủi ro pháp lý.</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SK&amp;ĐS – DƯỢC MỸ PHẨM</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Biến chứng thủy đậu nghiêm trọng: Trẻ 6 tuổi nhiễm khuẩn huyết, thở máy nguy kịch</w:t>
            </w:r>
          </w:p>
        </w:tc>
      </w:tr>
    </w:tbl>
    <w:p>
      <w:pPr>
        <w:spacing w:before="40" w:after="40"/>
        <w:ind w:left="170"/>
      </w:pPr>
      <w:r>
        <w:rPr>
          <w:rFonts w:ascii="Calibri" w:hAnsi="Calibri"/>
          <w:b w:val="0"/>
          <w:i/>
          <w:color w:val="6B7280"/>
          <w:sz w:val="18"/>
        </w:rPr>
        <w:t>Trường hợp trẻ 6 tuổi biến chứng nhiễm khuẩn huyết do thủy đậu gây chú ý dư luận, làm tăng nhận thức cộng đồng về nguy cơ bội nhiễm vi khuẩn sau nhiễm virus. Nhu cầu kháng sinh điều trị nhiễm khuẩn thứ phát và thuốc kháng virus tại các cơ sở nhi khoa dự kiến gia tăng trong mùa dịch thủy đậu.</w:t>
      </w:r>
    </w:p>
    <w:p>
      <w:pPr>
        <w:spacing w:before="20" w:after="40"/>
        <w:ind w:left="170"/>
      </w:pPr>
      <w:r>
        <w:rPr>
          <w:rFonts w:ascii="Calibri" w:hAnsi="Calibri"/>
          <w:b/>
          <w:i w:val="0"/>
          <w:color w:val="166534"/>
          <w:sz w:val="17"/>
        </w:rPr>
        <w:t>📈 Cơ hội tăng trưởng ngắn hạn cho danh mục kháng sinh nhi khoa và thuốc hỗ trợ điều trị biến chứng thủy đậu của Davipharm.</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Đẩy mạnh hoạt động Medical Rep tại các bệnh viện nhi và phòng khám nhi khoa với danh mục kháng sinh phổ rộng (amoxicillin-clavulanate, cephalosporin) và acyclovir — nhấn mạnh vai trò điều trị sớm để ngăn biến chứng. Cân nhắc phát hành tài liệu KOL/y văn hỗ trợ bác sĩ nhi về phác đồ xử lý biến chứng thủy đậu nhằm tăng nhận diện thương hiệu Davipharm trong phân khúc này.</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NHÂN DÂN – XÃ HỘI</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Kỹ thuật mổ nội soi tuyến giáp "Dr Lương" thu hút bệnh nhân &amp; bác sĩ quốc tế đến Việt Nam</w:t>
            </w:r>
          </w:p>
        </w:tc>
      </w:tr>
    </w:tbl>
    <w:p>
      <w:pPr>
        <w:spacing w:before="40" w:after="40"/>
        <w:ind w:left="170"/>
      </w:pPr>
      <w:r>
        <w:rPr>
          <w:rFonts w:ascii="Calibri" w:hAnsi="Calibri"/>
          <w:b w:val="0"/>
          <w:i/>
          <w:color w:val="6B7280"/>
          <w:sz w:val="18"/>
        </w:rPr>
        <w:t>Phương pháp mổ nội soi tuyến giáp "Dr Lương" của Việt Nam đang thu hút bệnh nhân từ Philippines và bác sĩ từ Azerbaijan, Ấn Độ đến học hỏi, khẳng định vị thế trung tâm y tế chất lượng cao trong khu vực. Xu hướng du lịch y tế quốc tế vào Việt Nam mở ra nhu cầu gia tăng đối với dược phẩm hậu phẫu và thuốc đặc trị tuyến giáp tại các bệnh viện tuyến đầu.</w:t>
      </w:r>
    </w:p>
    <w:p>
      <w:pPr>
        <w:spacing w:before="20" w:after="40"/>
        <w:ind w:left="170"/>
      </w:pPr>
      <w:r>
        <w:rPr>
          <w:rFonts w:ascii="Calibri" w:hAnsi="Calibri"/>
          <w:b/>
          <w:i w:val="0"/>
          <w:color w:val="166534"/>
          <w:sz w:val="17"/>
        </w:rPr>
        <w:t>🟢 Tín hiệu tích cực gián tiếp — du lịch y tế tăng trưởng thúc đẩy nhu cầu dược phẩm hậu phẫu tuyến giáp tại bệnh viện đối tác.</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Davipharm nên chủ động tiếp cận các bệnh viện chuyên sâu thực hiện kỹ thuật "Dr Lương" (như BV Nội tiết TW, BV Bạch Mai) để đưa thuốc levothyroxine, canxi và kháng sinh hậu phẫu vào danh mục ưu tiên đấu thầu. Đây là cơ hội xây dựng quan hệ đối tác bệnh viện dài hạn, đặc biệt khi lượng bệnh nhân quốc tế gia tăng sẽ nâng cao tiêu chuẩn thuốc được chỉ định.</w:t>
            </w:r>
          </w:p>
        </w:tc>
      </w:tr>
    </w:tbl>
    <w:p>
      <w:pPr>
        <w:spacing w:before="40" w:after="120"/>
      </w:pPr>
    </w:p>
    <w:p>
      <w:r>
        <w:br w:type="page"/>
      </w:r>
    </w:p>
    <w:p>
      <w:pPr>
        <w:spacing w:before="320" w:after="120"/>
        <w:pBdr>
          <w:bottom w:val="single" w:sz="8" w:color="003B71"/>
        </w:pBdr>
      </w:pPr>
      <w:r>
        <w:rPr>
          <w:rFonts w:ascii="Calibri" w:hAnsi="Calibri"/>
          <w:b/>
          <w:i w:val="0"/>
          <w:color w:val="003B71"/>
          <w:sz w:val="22"/>
        </w:rPr>
        <w:t>TIN NGÀNH DƯỢC</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VIETNAMPLUS – SỨC KHỎE</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Tin tức địa chính trị quốc tế — Không liên quan đến ngành dược Việt Nam</w:t>
            </w:r>
          </w:p>
        </w:tc>
      </w:tr>
    </w:tbl>
    <w:p>
      <w:pPr>
        <w:spacing w:before="40" w:after="40"/>
        <w:ind w:left="170"/>
      </w:pPr>
      <w:r>
        <w:rPr>
          <w:rFonts w:ascii="Calibri" w:hAnsi="Calibri"/>
          <w:b w:val="0"/>
          <w:i/>
          <w:color w:val="6B7280"/>
          <w:sz w:val="18"/>
        </w:rPr>
        <w:t>Bài báo đề cập đến tranh chấp địa chính trị giữa Mỹ, NATO và Greenland — hoàn toàn nằm ngoài phạm vi thị trường dược phẩm Việt Nam. Nội dung không cung cấp tín hiệu thị trường nào có giá trị cho hoạt động kinh doanh của Davipharm.</w:t>
      </w:r>
    </w:p>
    <w:p>
      <w:pPr>
        <w:spacing w:before="20" w:after="40"/>
        <w:ind w:left="170"/>
      </w:pPr>
      <w:r>
        <w:rPr>
          <w:rFonts w:ascii="Calibri" w:hAnsi="Calibri"/>
          <w:b/>
          <w:i w:val="0"/>
          <w:color w:val="374151"/>
          <w:sz w:val="17"/>
        </w:rPr>
        <w:t>⚪ Không có tác động trực tiếp đến Davipharm — tin này không thuộc phạm vi theo dõi market intelligence dược phẩm.</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Đề xuất lọc nguồn tin: cần cấu hình lại bộ lọc keyword để loại bỏ các bài địa chính trị không liên quan, tối ưu hóa chất lượng báo cáo BOD. Không có hành động chiến lược nào cần thiết từ bài viết này.</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VIETNAMPLUS – SỨC KHỎE</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Rau Diếp Cá: Xu Hướng Dược Liệu Tự Nhiên Từ Vườn Nhà</w:t>
            </w:r>
          </w:p>
        </w:tc>
      </w:tr>
    </w:tbl>
    <w:p>
      <w:pPr>
        <w:spacing w:before="40" w:after="40"/>
        <w:ind w:left="170"/>
      </w:pPr>
      <w:r>
        <w:rPr>
          <w:rFonts w:ascii="Calibri" w:hAnsi="Calibri"/>
          <w:b w:val="0"/>
          <w:i/>
          <w:color w:val="6B7280"/>
          <w:sz w:val="18"/>
        </w:rPr>
        <w:t>Rau diếp cá đang được truyền thông y tế chủ lưu quảng bá rộng rãi nhờ các công dụng chăm sóc da và sức khỏe, phản ánh xu hướng tiêu dùng nghiêng về thảo dược tự nhiên bản địa. Xu hướng này tạo nền tảng thị trường thuận lợi cho các sản phẩm OTC/thực phẩm chức năng có nguồn gốc thảo dược Việt.</w:t>
      </w:r>
    </w:p>
    <w:p>
      <w:pPr>
        <w:spacing w:before="20" w:after="40"/>
        <w:ind w:left="170"/>
      </w:pPr>
      <w:r>
        <w:rPr>
          <w:rFonts w:ascii="Calibri" w:hAnsi="Calibri"/>
          <w:b/>
          <w:i w:val="0"/>
          <w:color w:val="166534"/>
          <w:sz w:val="17"/>
        </w:rPr>
        <w:t>🌿 Tín hiệu tích cực nhẹ — truyền thông đại chúng đang "làm ấm" thị trường cho dòng sản phẩm thảo dược nội địa mà Davipharm có thể khai thác.</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Đánh giá khả năng phát triển hoặc repositioning dòng sản phẩm OTC/thực phẩm chức năng có chiết xuất diếp cá (kháng viêm, hỗ trợ da liễu), tận dụng nguồn nguyên liệu nội địa chi phí thấp và sóng truyền thông hiện tại. Ưu tiên kênh chuỗi nhà thuốc (Long Châu, Pharmacity) để tiếp cận nhóm người tiêu dùng quan tâm đến sản phẩm tự nhiên.</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VIETNAMPLUS – SỨC KHỎE</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Thuốc chống co giật Levetiracetam có tiềm năng ngăn ngừa Alzheimer</w:t>
            </w:r>
          </w:p>
        </w:tc>
      </w:tr>
    </w:tbl>
    <w:p>
      <w:pPr>
        <w:spacing w:before="40" w:after="40"/>
        <w:ind w:left="170"/>
      </w:pPr>
      <w:r>
        <w:rPr>
          <w:rFonts w:ascii="Calibri" w:hAnsi="Calibri"/>
          <w:b w:val="0"/>
          <w:i/>
          <w:color w:val="6B7280"/>
          <w:sz w:val="18"/>
        </w:rPr>
        <w:t>Các nhà khoa học Mỹ phát hiện Levetiracetam — thuốc chống co giật đã có mặt lâu trên thị trường — có khả năng ức chế hình thành amyloid-beta 42, protein chủ chốt trong cơ chế bệnh sinh Alzheimer. Phát hiện này mở ra tiềm năng tái định vị (drug repurposing) một phân tử generic đã được chứng minh an toàn cho chỉ định mới có giá trị cao.</w:t>
      </w:r>
    </w:p>
    <w:p>
      <w:pPr>
        <w:spacing w:before="20" w:after="40"/>
        <w:ind w:left="170"/>
      </w:pPr>
      <w:r>
        <w:rPr>
          <w:rFonts w:ascii="Calibri" w:hAnsi="Calibri"/>
          <w:b/>
          <w:i w:val="0"/>
          <w:color w:val="166534"/>
          <w:sz w:val="17"/>
        </w:rPr>
        <w:t>🟢 Cơ hội tái định vị sản phẩm generic Levetiracetam sang phân khúc thần kinh cao cấp nếu Davipharm đang hoặc có kế hoạch sản xuất hoạt chất này.</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Rà soát ngay danh mục R&amp;D/sản xuất: nếu Levetiracetam đã có hoặc khả thi về nguyên liệu, ưu tiên theo dõi các thử nghiệm lâm sàng giai đoạn tiếp theo để chuẩn bị hồ sơ đăng ký chỉ định bổ sung, đón đầu nhu cầu từ kênh bệnh viện chuyên khoa thần kinh và chuỗi nhà thuốc cao cấp.</w:t>
            </w:r>
          </w:p>
        </w:tc>
      </w:tr>
    </w:tbl>
    <w:p>
      <w:pPr>
        <w:spacing w:before="40" w:after="120"/>
      </w:pPr>
    </w:p>
    <w:p>
      <w:r>
        <w:br w:type="page"/>
      </w:r>
    </w:p>
    <w:p>
      <w:pPr>
        <w:spacing w:before="320" w:after="120"/>
        <w:pBdr>
          <w:bottom w:val="single" w:sz="8" w:color="003B71"/>
        </w:pBdr>
      </w:pPr>
      <w:r>
        <w:rPr>
          <w:rFonts w:ascii="Calibri" w:hAnsi="Calibri"/>
          <w:b/>
          <w:i w:val="0"/>
          <w:color w:val="003B71"/>
          <w:sz w:val="22"/>
        </w:rPr>
        <w:t>ĐỐI THỦ CẠNH TRANH</w:t>
      </w:r>
    </w:p>
    <w:p>
      <w:r>
        <w:br w:type="page"/>
      </w:r>
    </w:p>
    <w:p>
      <w:pPr>
        <w:spacing w:before="320" w:after="120"/>
        <w:pBdr>
          <w:bottom w:val="single" w:sz="8" w:color="003B71"/>
        </w:pBdr>
      </w:pPr>
      <w:r>
        <w:rPr>
          <w:rFonts w:ascii="Calibri" w:hAnsi="Calibri"/>
          <w:b/>
          <w:i w:val="0"/>
          <w:color w:val="003B71"/>
          <w:sz w:val="22"/>
        </w:rPr>
        <w:t>THEO DÕI DANH MỤC SẢN PHẨM</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701"/>
            <w:shd w:val="clear" w:color="auto" w:fill="003B71"/>
          </w:tcPr>
          <w:p>
            <w:pPr>
              <w:spacing w:before="80" w:after="80"/>
              <w:ind w:left="85"/>
            </w:pPr>
            <w:r>
              <w:rPr>
                <w:rFonts w:ascii="Calibri" w:hAnsi="Calibri"/>
                <w:b/>
                <w:i w:val="0"/>
                <w:color w:val="FFFFFF"/>
                <w:sz w:val="17"/>
              </w:rPr>
              <w:t>Sản phẩm</w:t>
            </w:r>
          </w:p>
        </w:tc>
        <w:tc>
          <w:tcPr>
            <w:tcW w:type="dxa" w:w="2381"/>
            <w:shd w:val="clear" w:color="auto" w:fill="003B71"/>
          </w:tcPr>
          <w:p>
            <w:pPr>
              <w:spacing w:before="80" w:after="80"/>
              <w:ind w:left="85"/>
            </w:pPr>
            <w:r>
              <w:rPr>
                <w:rFonts w:ascii="Calibri" w:hAnsi="Calibri"/>
                <w:b/>
                <w:i w:val="0"/>
                <w:color w:val="FFFFFF"/>
                <w:sz w:val="17"/>
              </w:rPr>
              <w:t>Hoạt chất · Chỉ định</w:t>
            </w:r>
          </w:p>
        </w:tc>
        <w:tc>
          <w:tcPr>
            <w:tcW w:type="dxa" w:w="1134"/>
            <w:shd w:val="clear" w:color="auto" w:fill="003B71"/>
          </w:tcPr>
          <w:p>
            <w:pPr>
              <w:spacing w:before="80" w:after="80"/>
              <w:ind w:left="85"/>
            </w:pPr>
            <w:r>
              <w:rPr>
                <w:rFonts w:ascii="Calibri" w:hAnsi="Calibri"/>
                <w:b/>
                <w:i w:val="0"/>
                <w:color w:val="FFFFFF"/>
                <w:sz w:val="17"/>
              </w:rPr>
              <w:t>Giá bán</w:t>
            </w:r>
          </w:p>
        </w:tc>
        <w:tc>
          <w:tcPr>
            <w:tcW w:type="dxa" w:w="1247"/>
            <w:shd w:val="clear" w:color="auto" w:fill="003B71"/>
          </w:tcPr>
          <w:p>
            <w:pPr>
              <w:spacing w:before="80" w:after="80"/>
              <w:ind w:left="85"/>
            </w:pPr>
            <w:r>
              <w:rPr>
                <w:rFonts w:ascii="Calibri" w:hAnsi="Calibri"/>
                <w:b/>
                <w:i w:val="0"/>
                <w:color w:val="FFFFFF"/>
                <w:sz w:val="17"/>
              </w:rPr>
              <w:t>Trạng thái</w:t>
            </w:r>
          </w:p>
        </w:tc>
        <w:tc>
          <w:tcPr>
            <w:tcW w:type="dxa" w:w="2608"/>
            <w:shd w:val="clear" w:color="auto" w:fill="003B71"/>
          </w:tcPr>
          <w:p>
            <w:pPr>
              <w:spacing w:before="80" w:after="80"/>
              <w:ind w:left="85"/>
            </w:pPr>
            <w:r>
              <w:rPr>
                <w:rFonts w:ascii="Calibri" w:hAnsi="Calibri"/>
                <w:b/>
                <w:i w:val="0"/>
                <w:color w:val="FFFFFF"/>
                <w:sz w:val="17"/>
              </w:rPr>
              <w:t>Ghi chú chiến lược</w:t>
            </w:r>
          </w:p>
        </w:tc>
      </w:tr>
      <w:tr>
        <w:tc>
          <w:tcPr>
            <w:tcW w:type="dxa" w:w="1701"/>
          </w:tcPr>
          <w:p>
            <w:pPr>
              <w:spacing w:before="60" w:after="60"/>
              <w:ind w:left="85"/>
            </w:pPr>
            <w:r>
              <w:rPr>
                <w:rFonts w:ascii="Calibri" w:hAnsi="Calibri"/>
                <w:b/>
                <w:i w:val="0"/>
                <w:color w:val="003B71"/>
                <w:sz w:val="17"/>
              </w:rPr>
              <w:t>Empagliflozin</w:t>
            </w:r>
          </w:p>
        </w:tc>
        <w:tc>
          <w:tcPr>
            <w:tcW w:type="dxa" w:w="2381"/>
          </w:tcPr>
          <w:p>
            <w:pPr>
              <w:spacing w:before="60" w:after="60"/>
              <w:ind w:left="85"/>
            </w:pPr>
            <w:r>
              <w:rPr>
                <w:rFonts w:ascii="Calibri" w:hAnsi="Calibri"/>
                <w:b w:val="0"/>
                <w:i w:val="0"/>
                <w:color w:val="374151"/>
                <w:sz w:val="17"/>
              </w:rPr>
              <w:t>Tiểu đường / Suy tim</w:t>
            </w:r>
          </w:p>
        </w:tc>
        <w:tc>
          <w:tcPr>
            <w:tcW w:type="dxa" w:w="1134"/>
          </w:tcPr>
          <w:p>
            <w:pPr>
              <w:spacing w:before="60" w:after="60"/>
              <w:ind w:left="85"/>
            </w:pPr>
            <w:r>
              <w:rPr>
                <w:rFonts w:ascii="Calibri" w:hAnsi="Calibri"/>
                <w:b w:val="0"/>
                <w:i w:val="0"/>
                <w:color w:val="374151"/>
                <w:sz w:val="17"/>
              </w:rPr>
              <w:t>Cơ hội cao</w:t>
            </w:r>
          </w:p>
        </w:tc>
        <w:tc>
          <w:tcPr>
            <w:tcW w:type="dxa" w:w="1247"/>
            <w:shd w:val="clear" w:color="auto" w:fill="EFF6FF"/>
          </w:tcPr>
          <w:p>
            <w:pPr>
              <w:spacing w:before="60" w:after="60"/>
              <w:ind w:left="85"/>
            </w:pPr>
            <w:r>
              <w:rPr>
                <w:rFonts w:ascii="Calibri" w:hAnsi="Calibri"/>
                <w:b/>
                <w:i w:val="0"/>
                <w:color w:val="0056D2"/>
                <w:sz w:val="17"/>
              </w:rPr>
              <w:t>Ưu tiên thầu Nhóm 1</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Tadalafil</w:t>
            </w:r>
          </w:p>
        </w:tc>
        <w:tc>
          <w:tcPr>
            <w:tcW w:type="dxa" w:w="2381"/>
          </w:tcPr>
          <w:p>
            <w:pPr>
              <w:spacing w:before="60" w:after="60"/>
              <w:ind w:left="85"/>
            </w:pPr>
            <w:r>
              <w:rPr>
                <w:rFonts w:ascii="Calibri" w:hAnsi="Calibri"/>
                <w:b w:val="0"/>
                <w:i w:val="0"/>
                <w:color w:val="374151"/>
                <w:sz w:val="17"/>
              </w:rPr>
              <w:t>Nam khoa</w:t>
            </w:r>
          </w:p>
        </w:tc>
        <w:tc>
          <w:tcPr>
            <w:tcW w:type="dxa" w:w="1134"/>
          </w:tcPr>
          <w:p>
            <w:pPr>
              <w:spacing w:before="60" w:after="60"/>
              <w:ind w:left="85"/>
            </w:pPr>
            <w:r>
              <w:rPr>
                <w:rFonts w:ascii="Calibri" w:hAnsi="Calibri"/>
                <w:b w:val="0"/>
                <w:i w:val="0"/>
                <w:color w:val="374151"/>
                <w:sz w:val="17"/>
              </w:rPr>
              <w:t>Cạnh tranh</w:t>
            </w:r>
          </w:p>
        </w:tc>
        <w:tc>
          <w:tcPr>
            <w:tcW w:type="dxa" w:w="1247"/>
            <w:shd w:val="clear" w:color="auto" w:fill="EFF6FF"/>
          </w:tcPr>
          <w:p>
            <w:pPr>
              <w:spacing w:before="60" w:after="60"/>
              <w:ind w:left="85"/>
            </w:pPr>
            <w:r>
              <w:rPr>
                <w:rFonts w:ascii="Calibri" w:hAnsi="Calibri"/>
                <w:b/>
                <w:i w:val="0"/>
                <w:color w:val="0056D2"/>
                <w:sz w:val="17"/>
              </w:rPr>
              <w:t>Theo dõi giá Sun Pharma</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Dapoxetine</w:t>
            </w:r>
          </w:p>
        </w:tc>
        <w:tc>
          <w:tcPr>
            <w:tcW w:type="dxa" w:w="2381"/>
          </w:tcPr>
          <w:p>
            <w:pPr>
              <w:spacing w:before="60" w:after="60"/>
              <w:ind w:left="85"/>
            </w:pPr>
            <w:r>
              <w:rPr>
                <w:rFonts w:ascii="Calibri" w:hAnsi="Calibri"/>
                <w:b w:val="0"/>
                <w:i w:val="0"/>
                <w:color w:val="374151"/>
                <w:sz w:val="17"/>
              </w:rPr>
              <w:t>Nam khoa</w:t>
            </w:r>
          </w:p>
        </w:tc>
        <w:tc>
          <w:tcPr>
            <w:tcW w:type="dxa" w:w="1134"/>
          </w:tcPr>
          <w:p>
            <w:pPr>
              <w:spacing w:before="60" w:after="60"/>
              <w:ind w:left="85"/>
            </w:pPr>
            <w:r>
              <w:rPr>
                <w:rFonts w:ascii="Calibri" w:hAnsi="Calibri"/>
                <w:b w:val="0"/>
                <w:i w:val="0"/>
                <w:color w:val="374151"/>
                <w:sz w:val="17"/>
              </w:rPr>
              <w:t>Ổn định</w:t>
            </w:r>
          </w:p>
        </w:tc>
        <w:tc>
          <w:tcPr>
            <w:tcW w:type="dxa" w:w="1247"/>
            <w:shd w:val="clear" w:color="auto" w:fill="EFF6FF"/>
          </w:tcPr>
          <w:p>
            <w:pPr>
              <w:spacing w:before="60" w:after="60"/>
              <w:ind w:left="85"/>
            </w:pPr>
            <w:r>
              <w:rPr>
                <w:rFonts w:ascii="Calibri" w:hAnsi="Calibri"/>
                <w:b/>
                <w:i w:val="0"/>
                <w:color w:val="0056D2"/>
                <w:sz w:val="17"/>
              </w:rPr>
              <w:t>Kiểm tra Long Châu listing</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Cytisine</w:t>
            </w:r>
          </w:p>
        </w:tc>
        <w:tc>
          <w:tcPr>
            <w:tcW w:type="dxa" w:w="2381"/>
          </w:tcPr>
          <w:p>
            <w:pPr>
              <w:spacing w:before="60" w:after="60"/>
              <w:ind w:left="85"/>
            </w:pPr>
            <w:r>
              <w:rPr>
                <w:rFonts w:ascii="Calibri" w:hAnsi="Calibri"/>
                <w:b w:val="0"/>
                <w:i w:val="0"/>
                <w:color w:val="374151"/>
                <w:sz w:val="17"/>
              </w:rPr>
              <w:t>Cai thuốc lá</w:t>
            </w:r>
          </w:p>
        </w:tc>
        <w:tc>
          <w:tcPr>
            <w:tcW w:type="dxa" w:w="1134"/>
          </w:tcPr>
          <w:p>
            <w:pPr>
              <w:spacing w:before="60" w:after="60"/>
              <w:ind w:left="85"/>
            </w:pPr>
            <w:r>
              <w:rPr>
                <w:rFonts w:ascii="Calibri" w:hAnsi="Calibri"/>
                <w:b w:val="0"/>
                <w:i w:val="0"/>
                <w:color w:val="374151"/>
                <w:sz w:val="17"/>
              </w:rPr>
              <w:t>Pre-launch</w:t>
            </w:r>
          </w:p>
        </w:tc>
        <w:tc>
          <w:tcPr>
            <w:tcW w:type="dxa" w:w="1247"/>
            <w:shd w:val="clear" w:color="auto" w:fill="EFF6FF"/>
          </w:tcPr>
          <w:p>
            <w:pPr>
              <w:spacing w:before="60" w:after="60"/>
              <w:ind w:left="85"/>
            </w:pPr>
            <w:r>
              <w:rPr>
                <w:rFonts w:ascii="Calibri" w:hAnsi="Calibri"/>
                <w:b/>
                <w:i w:val="0"/>
                <w:color w:val="0056D2"/>
                <w:sz w:val="17"/>
              </w:rPr>
              <w:t>Q4/2026 – Cơ hội vàng</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Metilone</w:t>
            </w:r>
          </w:p>
        </w:tc>
        <w:tc>
          <w:tcPr>
            <w:tcW w:type="dxa" w:w="2381"/>
          </w:tcPr>
          <w:p>
            <w:pPr>
              <w:spacing w:before="60" w:after="60"/>
              <w:ind w:left="85"/>
            </w:pPr>
            <w:r>
              <w:rPr>
                <w:rFonts w:ascii="Calibri" w:hAnsi="Calibri"/>
                <w:b w:val="0"/>
                <w:i w:val="0"/>
                <w:color w:val="374151"/>
                <w:sz w:val="17"/>
              </w:rPr>
              <w:t>Kháng viêm</w:t>
            </w:r>
          </w:p>
        </w:tc>
        <w:tc>
          <w:tcPr>
            <w:tcW w:type="dxa" w:w="1134"/>
          </w:tcPr>
          <w:p>
            <w:pPr>
              <w:spacing w:before="60" w:after="60"/>
              <w:ind w:left="85"/>
            </w:pPr>
            <w:r>
              <w:rPr>
                <w:rFonts w:ascii="Calibri" w:hAnsi="Calibri"/>
                <w:b w:val="0"/>
                <w:i w:val="0"/>
                <w:color w:val="374151"/>
                <w:sz w:val="17"/>
              </w:rPr>
              <w:t>Ổn định</w:t>
            </w:r>
          </w:p>
        </w:tc>
        <w:tc>
          <w:tcPr>
            <w:tcW w:type="dxa" w:w="1247"/>
            <w:shd w:val="clear" w:color="auto" w:fill="EFF6FF"/>
          </w:tcPr>
          <w:p>
            <w:pPr>
              <w:spacing w:before="60" w:after="60"/>
              <w:ind w:left="85"/>
            </w:pPr>
            <w:r>
              <w:rPr>
                <w:rFonts w:ascii="Calibri" w:hAnsi="Calibri"/>
                <w:b/>
                <w:i w:val="0"/>
                <w:color w:val="0056D2"/>
                <w:sz w:val="17"/>
              </w:rPr>
              <w:t>Duy trì kênh ETC</w:t>
            </w:r>
          </w:p>
        </w:tc>
        <w:tc>
          <w:tcPr>
            <w:tcW w:type="dxa" w:w="2608"/>
          </w:tcPr>
          <w:p>
            <w:pPr>
              <w:spacing w:before="60" w:after="60"/>
              <w:ind w:left="85"/>
            </w:pPr>
            <w:r>
              <w:rPr>
                <w:rFonts w:ascii="Calibri" w:hAnsi="Calibri"/>
                <w:b w:val="0"/>
                <w:i w:val="0"/>
                <w:color w:val="374151"/>
                <w:sz w:val="17"/>
              </w:rPr>
            </w:r>
          </w:p>
        </w:tc>
      </w:tr>
    </w:tbl>
    <w:p>
      <w:pPr>
        <w:spacing w:after="200"/>
      </w:pPr>
    </w:p>
    <w:p>
      <w:pPr>
        <w:spacing w:before="320" w:after="120"/>
        <w:pBdr>
          <w:bottom w:val="single" w:sz="8" w:color="003B71"/>
        </w:pBdr>
      </w:pPr>
      <w:r>
        <w:rPr>
          <w:rFonts w:ascii="Calibri" w:hAnsi="Calibri"/>
          <w:b/>
          <w:i w:val="0"/>
          <w:color w:val="003B71"/>
          <w:sz w:val="22"/>
        </w:rPr>
        <w:t>TOP 5 SẢN PHẨM TÌM KIẾM NHIỀU NHẤT — DAVIPHARM.INFO</w:t>
      </w:r>
    </w:p>
    <w:p>
      <w:pPr>
        <w:spacing w:before="40" w:after="60"/>
      </w:pPr>
      <w:r>
        <w:rPr>
          <w:rFonts w:ascii="Calibri" w:hAnsi="Calibri"/>
          <w:b w:val="0"/>
          <w:i/>
          <w:color w:val="9CA3AF"/>
          <w:sz w:val="17"/>
        </w:rPr>
        <w:t>Google Search Console  ·  30 ngày gần nhất  ·  Dữ liệu: 13/05/2026</w:t>
      </w:r>
    </w:p>
    <w:p>
      <w:pPr>
        <w:spacing w:before="120" w:after="120"/>
        <w:jc w:val="center"/>
      </w:pPr>
      <w:r>
        <w:drawing>
          <wp:inline xmlns:a="http://schemas.openxmlformats.org/drawingml/2006/main" xmlns:pic="http://schemas.openxmlformats.org/drawingml/2006/picture">
            <wp:extent cx="5580000" cy="244421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444219"/>
                    </a:xfrm>
                    <a:prstGeom prst="rect"/>
                  </pic:spPr>
                </pic:pic>
              </a:graphicData>
            </a:graphic>
          </wp:inline>
        </w:drawing>
      </w:r>
    </w:p>
    <w:p>
      <w:r>
        <w:br w:type="page"/>
      </w:r>
    </w:p>
    <w:p>
      <w:pPr>
        <w:spacing w:before="320" w:after="120"/>
        <w:pBdr>
          <w:bottom w:val="single" w:sz="8" w:color="003B71"/>
        </w:pBdr>
      </w:pPr>
      <w:r>
        <w:rPr>
          <w:rFonts w:ascii="Calibri" w:hAnsi="Calibri"/>
          <w:b/>
          <w:i w:val="0"/>
          <w:color w:val="003B71"/>
          <w:sz w:val="22"/>
        </w:rPr>
        <w:t>KHUYẾN NGHỊ HÀNH ĐỘNG</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454"/>
            <w:shd w:val="clear" w:color="auto" w:fill="003B71"/>
            <w:tcBorders>
              <w:top w:val="none" w:sz="6" w:color="auto"/>
              <w:bottom w:val="none" w:sz="6" w:color="auto"/>
              <w:left w:val="none" w:sz="6" w:color="auto"/>
              <w:right w:val="none" w:sz="6" w:color="auto"/>
            </w:tcBorders>
          </w:tcPr>
          <w:p>
            <w:pPr>
              <w:spacing w:before="80" w:after="80"/>
              <w:ind w:left="0"/>
              <w:jc w:val="center"/>
            </w:pPr>
          </w:p>
        </w:tc>
        <w:tc>
          <w:tcPr>
            <w:tcW w:type="dxa" w:w="4422"/>
            <w:shd w:val="clear" w:color="auto" w:fill="003B71"/>
            <w:tcBorders>
              <w:top w:val="none" w:sz="6" w:color="auto"/>
              <w:bottom w:val="none" w:sz="6" w:color="auto"/>
              <w:left w:val="none" w:sz="6" w:color="auto"/>
              <w:right w:val="none" w:sz="6" w:color="auto"/>
            </w:tcBorders>
          </w:tcPr>
          <w:p>
            <w:pPr>
              <w:spacing w:before="80" w:after="80"/>
              <w:ind w:left="85"/>
              <w:jc w:val="left"/>
            </w:pPr>
            <w:r>
              <w:rPr>
                <w:rFonts w:ascii="Calibri" w:hAnsi="Calibri"/>
                <w:b/>
                <w:i w:val="0"/>
                <w:color w:val="FFFFFF"/>
                <w:sz w:val="17"/>
              </w:rPr>
              <w:t>Hành động chiến lược</w:t>
            </w:r>
          </w:p>
        </w:tc>
        <w:tc>
          <w:tcPr>
            <w:tcW w:type="dxa" w:w="1417"/>
            <w:shd w:val="clear" w:color="auto" w:fill="003B7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Team</w:t>
            </w:r>
          </w:p>
        </w:tc>
        <w:tc>
          <w:tcPr>
            <w:tcW w:type="dxa" w:w="1134"/>
            <w:shd w:val="clear" w:color="auto" w:fill="003B7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Nguồn</w:t>
            </w:r>
          </w:p>
        </w:tc>
        <w:tc>
          <w:tcPr>
            <w:tcW w:type="dxa" w:w="1644"/>
            <w:shd w:val="clear" w:color="auto" w:fill="003B7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Ưu tiên</w:t>
            </w:r>
          </w:p>
        </w:tc>
      </w:tr>
      <w:tr>
        <w:tc>
          <w:tcPr>
            <w:tcW w:type="dxa" w:w="454"/>
            <w:shd w:val="clear" w:color="auto" w:fill="FEE2E2"/>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FFF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Triển khai chiến dịch marketing combo "Active 50+" cho canxi, vitamin D, omega-3</w:t>
            </w:r>
          </w:p>
        </w:tc>
        <w:tc>
          <w:tcPr>
            <w:tcW w:type="dxa" w:w="1417"/>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Marketing</w:t>
            </w:r>
          </w:p>
        </w:tc>
        <w:tc>
          <w:tcPr>
            <w:tcW w:type="dxa" w:w="1134"/>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Xu hướng dinh dưỡng người cao tuổi 50+</w:t>
            </w:r>
          </w:p>
        </w:tc>
        <w:tc>
          <w:tcPr>
            <w:tcW w:type="dxa" w:w="1644"/>
            <w:shd w:val="clear" w:color="auto" w:fill="FEE2E2"/>
            <w:tcBorders>
              <w:top w:val="none" w:sz="6" w:color="auto"/>
              <w:bottom w:val="none" w:sz="6" w:color="auto"/>
              <w:left w:val="none" w:sz="6" w:color="auto"/>
              <w:right w:val="none" w:sz="6" w:color="auto"/>
            </w:tcBorders>
          </w:tcPr>
          <w:p>
            <w:pPr>
              <w:spacing w:before="80" w:after="80"/>
              <w:jc w:val="center"/>
            </w:pPr>
            <w:r>
              <w:rPr>
                <w:rFonts w:ascii="Calibri" w:hAnsi="Calibri"/>
                <w:b/>
                <w:i w:val="0"/>
                <w:color w:val="EF4444"/>
                <w:sz w:val="17"/>
              </w:rPr>
              <w:t>🔴 Cao</w:t>
            </w:r>
          </w:p>
        </w:tc>
      </w:tr>
      <w:tr>
        <w:tc>
          <w:tcPr>
            <w:tcW w:type="dxa" w:w="454"/>
            <w:shd w:val="clear" w:color="auto" w:fill="FEE2E2"/>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AFB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Tăng cường Medical Rep tại bệnh viện nhi với kháng sinh và acyclovir mùa thủy đậu</w:t>
            </w:r>
          </w:p>
        </w:tc>
        <w:tc>
          <w:tcPr>
            <w:tcW w:type="dxa" w:w="1417"/>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Sales</w:t>
            </w:r>
          </w:p>
        </w:tc>
        <w:tc>
          <w:tcPr>
            <w:tcW w:type="dxa" w:w="1134"/>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Biến chứng thủy đậu nghiêm trọng ở trẻ em</w:t>
            </w:r>
          </w:p>
        </w:tc>
        <w:tc>
          <w:tcPr>
            <w:tcW w:type="dxa" w:w="1644"/>
            <w:shd w:val="clear" w:color="auto" w:fill="FEE2E2"/>
            <w:tcBorders>
              <w:top w:val="none" w:sz="6" w:color="auto"/>
              <w:bottom w:val="none" w:sz="6" w:color="auto"/>
              <w:left w:val="none" w:sz="6" w:color="auto"/>
              <w:right w:val="none" w:sz="6" w:color="auto"/>
            </w:tcBorders>
          </w:tcPr>
          <w:p>
            <w:pPr>
              <w:spacing w:before="80" w:after="80"/>
              <w:jc w:val="center"/>
            </w:pPr>
            <w:r>
              <w:rPr>
                <w:rFonts w:ascii="Calibri" w:hAnsi="Calibri"/>
                <w:b/>
                <w:i w:val="0"/>
                <w:color w:val="EF4444"/>
                <w:sz w:val="17"/>
              </w:rPr>
              <w:t>🔴 Cao</w:t>
            </w:r>
          </w:p>
        </w:tc>
      </w:tr>
      <w:tr>
        <w:tc>
          <w:tcPr>
            <w:tcW w:type="dxa" w:w="454"/>
            <w:shd w:val="clear" w:color="auto" w:fill="FEF3C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FFF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Phát hành tài liệu KOL về phác đồ xử lý biến chứng thủy đậu cho bác sĩ nhi</w:t>
            </w:r>
          </w:p>
        </w:tc>
        <w:tc>
          <w:tcPr>
            <w:tcW w:type="dxa" w:w="1417"/>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Marketing</w:t>
            </w:r>
          </w:p>
        </w:tc>
        <w:tc>
          <w:tcPr>
            <w:tcW w:type="dxa" w:w="1134"/>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Biến chứng thủy đậu nghiêm trọng ở trẻ em</w:t>
            </w:r>
          </w:p>
        </w:tc>
        <w:tc>
          <w:tcPr>
            <w:tcW w:type="dxa" w:w="1644"/>
            <w:shd w:val="clear" w:color="auto" w:fill="FEF3C7"/>
            <w:tcBorders>
              <w:top w:val="none" w:sz="6" w:color="auto"/>
              <w:bottom w:val="none" w:sz="6" w:color="auto"/>
              <w:left w:val="none" w:sz="6" w:color="auto"/>
              <w:right w:val="none" w:sz="6" w:color="auto"/>
            </w:tcBorders>
          </w:tcPr>
          <w:p>
            <w:pPr>
              <w:spacing w:before="80" w:after="80"/>
              <w:jc w:val="center"/>
            </w:pPr>
            <w:r>
              <w:rPr>
                <w:rFonts w:ascii="Calibri" w:hAnsi="Calibri"/>
                <w:b/>
                <w:i w:val="0"/>
                <w:color w:val="D97706"/>
                <w:sz w:val="17"/>
              </w:rPr>
              <w:t>🟡 Trung</w:t>
            </w:r>
          </w:p>
        </w:tc>
      </w:tr>
      <w:tr>
        <w:tc>
          <w:tcPr>
            <w:tcW w:type="dxa" w:w="454"/>
            <w:shd w:val="clear" w:color="auto" w:fill="FEF3C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AFB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Soạn và phân phối tài liệu "Dùng thuốc chống đông an toàn" qua nhà thuốc và bác sĩ</w:t>
            </w:r>
          </w:p>
        </w:tc>
        <w:tc>
          <w:tcPr>
            <w:tcW w:type="dxa" w:w="1417"/>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Marketing</w:t>
            </w:r>
          </w:p>
        </w:tc>
        <w:tc>
          <w:tcPr>
            <w:tcW w:type="dxa" w:w="1134"/>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Tương tác TPCN – thuốc chống đông máu</w:t>
            </w:r>
          </w:p>
        </w:tc>
        <w:tc>
          <w:tcPr>
            <w:tcW w:type="dxa" w:w="1644"/>
            <w:shd w:val="clear" w:color="auto" w:fill="FEF3C7"/>
            <w:tcBorders>
              <w:top w:val="none" w:sz="6" w:color="auto"/>
              <w:bottom w:val="none" w:sz="6" w:color="auto"/>
              <w:left w:val="none" w:sz="6" w:color="auto"/>
              <w:right w:val="none" w:sz="6" w:color="auto"/>
            </w:tcBorders>
          </w:tcPr>
          <w:p>
            <w:pPr>
              <w:spacing w:before="80" w:after="80"/>
              <w:jc w:val="center"/>
            </w:pPr>
            <w:r>
              <w:rPr>
                <w:rFonts w:ascii="Calibri" w:hAnsi="Calibri"/>
                <w:b/>
                <w:i w:val="0"/>
                <w:color w:val="D97706"/>
                <w:sz w:val="17"/>
              </w:rPr>
              <w:t>🟡 Trung</w:t>
            </w:r>
          </w:p>
        </w:tc>
      </w:tr>
      <w:tr>
        <w:tc>
          <w:tcPr>
            <w:tcW w:type="dxa" w:w="454"/>
            <w:shd w:val="clear" w:color="auto" w:fill="DCFCE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FFF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&lt;span class="</w:t>
            </w:r>
          </w:p>
        </w:tc>
        <w:tc>
          <w:tcPr>
            <w:tcW w:type="dxa" w:w="1417"/>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r>
          </w:p>
        </w:tc>
        <w:tc>
          <w:tcPr>
            <w:tcW w:type="dxa" w:w="1134"/>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r>
          </w:p>
        </w:tc>
        <w:tc>
          <w:tcPr>
            <w:tcW w:type="dxa" w:w="1644"/>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22C55E"/>
                <w:sz w:val="17"/>
              </w:rPr>
            </w:r>
          </w:p>
        </w:tc>
      </w:tr>
    </w:tbl>
    <w:p>
      <w:pPr>
        <w:spacing w:after="200"/>
      </w:pPr>
    </w:p>
    <w:tbl>
      <w:tblPr>
        <w:tblStyle w:val="TableGrid"/>
        <w:tblW w:type="auto" w:w="0"/>
        <w:tblLook w:firstColumn="1" w:firstRow="1" w:lastColumn="0" w:lastRow="0" w:noHBand="0" w:noVBand="1" w:val="04A0"/>
      </w:tblPr>
      <w:tblGrid>
        <w:gridCol w:w="9072"/>
      </w:tblGrid>
      <w:tr>
        <w:tc>
          <w:tcPr>
            <w:tcW w:type="dxa" w:w="9072"/>
            <w:shd w:val="clear" w:color="auto" w:fill="F1F5F9"/>
            <w:tcBorders>
              <w:top w:val="none" w:sz="6" w:color="auto"/>
              <w:bottom w:val="none" w:sz="6" w:color="auto"/>
              <w:left w:val="none" w:sz="6" w:color="auto"/>
              <w:right w:val="none" w:sz="6" w:color="auto"/>
            </w:tcBorders>
          </w:tcPr>
          <w:p>
            <w:pPr>
              <w:spacing w:before="120" w:after="120"/>
              <w:jc w:val="center"/>
            </w:pPr>
            <w:r>
              <w:rPr>
                <w:rFonts w:ascii="Calibri" w:hAnsi="Calibri"/>
                <w:b w:val="0"/>
                <w:i/>
                <w:color w:val="9CA3AF"/>
                <w:sz w:val="15"/>
              </w:rPr>
              <w:t>Davipharm Market Intelligence System  ·  Powered by Claude Sonnet 4.6  ·  13/05/2026  ·  CONFIDENTIAL</w:t>
            </w:r>
          </w:p>
        </w:tc>
      </w:tr>
    </w:tbl>
    <w:sectPr w:rsidR="00FC693F" w:rsidRPr="0006063C" w:rsidSect="00034616">
      <w:footerReference w:type="default" r:id="rId9"/>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9CA3AF"/>
        <w:sz w:val="16"/>
      </w:rPr>
      <w:fldChar w:fldCharType="begin"/>
      <w:instrText xml:space="preserve">PAGE</w:instrText>
      <w:fldChar w:fldCharType="separate"/>
      <w:fldChar w:fldCharType="end"/>
    </w:r>
    <w:r>
      <w:rPr>
        <w:rFonts w:ascii="Calibri" w:hAnsi="Calibri"/>
        <w:b w:val="0"/>
        <w:i w:val="0"/>
        <w:color w:val="9CA3AF"/>
        <w:sz w:val="16"/>
      </w:rPr>
      <w:t xml:space="preserve"> / </w:t>
    </w:r>
    <w:r>
      <w:rPr>
        <w:rFonts w:ascii="Calibri" w:hAnsi="Calibri"/>
        <w:b w:val="0"/>
        <w:i w:val="0"/>
        <w:color w:val="9CA3AF"/>
        <w:sz w:val="16"/>
      </w:rPr>
      <w:fldChar w:fldCharType="begin"/>
      <w:instrText xml:space="preserve">NUMPAGES</w:instrText>
      <w:fldChar w:fldCharType="separate"/>
      <w:fldChar w:fldCharType="end"/>
    </w:r>
    <w:r>
      <w:rPr>
        <w:rFonts w:ascii="Calibri" w:hAnsi="Calibri"/>
        <w:b w:val="0"/>
        <w:i w:val="0"/>
        <w:color w:val="9CA3AF"/>
        <w:sz w:val="14"/>
      </w:rPr>
      <w:t xml:space="preserve">  |  Davipharm Market Intelligence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