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1"/>
            <w:shd w:val="clear" w:color="auto" w:fill="003B71"/>
            <w:tcBorders>
              <w:top w:val="none" w:sz="6" w:color="auto"/>
              <w:bottom w:val="none" w:sz="6" w:color="auto"/>
              <w:left w:val="none" w:sz="6" w:color="auto"/>
              <w:right w:val="none" w:sz="6" w:color="auto"/>
            </w:tcBorders>
          </w:tcPr>
          <w:p>
            <w:pPr>
              <w:spacing w:before="120" w:after="120"/>
              <w:ind w:left="170"/>
            </w:pPr>
            <w:r>
              <w:rPr>
                <w:rFonts w:ascii="Calibri" w:hAnsi="Calibri"/>
                <w:b/>
                <w:i w:val="0"/>
                <w:color w:val="FFFFFF"/>
                <w:sz w:val="16"/>
              </w:rPr>
              <w:t>MARKET INTELLIGENCE  ·  WEEKLY REPORT</w:t>
            </w:r>
          </w:p>
        </w:tc>
      </w:tr>
    </w:tbl>
    <w:p>
      <w:pPr>
        <w:spacing w:before="720" w:after="360"/>
        <w:jc w:val="center"/>
      </w:pPr>
      <w:r>
        <w:drawing>
          <wp:inline xmlns:a="http://schemas.openxmlformats.org/drawingml/2006/main" xmlns:pic="http://schemas.openxmlformats.org/drawingml/2006/picture">
            <wp:extent cx="3060000" cy="484691"/>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3060000" cy="484691"/>
                    </a:xfrm>
                    <a:prstGeom prst="rect"/>
                  </pic:spPr>
                </pic:pic>
              </a:graphicData>
            </a:graphic>
          </wp:inline>
        </w:drawing>
      </w:r>
    </w:p>
    <w:tbl>
      <w:tblPr>
        <w:tblW w:type="auto" w:w="0"/>
        <w:jc w:val="center"/>
        <w:tblLook w:firstColumn="1" w:firstRow="1" w:lastColumn="0" w:lastRow="0" w:noHBand="0" w:noVBand="1" w:val="04A0"/>
      </w:tblPr>
      <w:tblGrid>
        <w:gridCol w:w="4536"/>
        <w:gridCol w:w="4536"/>
      </w:tblGrid>
      <w:tr>
        <w:tc>
          <w:tcPr>
            <w:tcW w:type="dxa" w:w="1984"/>
            <w:shd w:val="clear" w:color="auto" w:fill="F1F5F9"/>
            <w:tcBorders>
              <w:top w:val="none" w:sz="6" w:color="auto"/>
              <w:bottom w:val="none" w:sz="6" w:color="auto"/>
              <w:left w:val="none" w:sz="6" w:color="auto"/>
              <w:right w:val="none" w:sz="6" w:color="auto"/>
            </w:tcBorders>
          </w:tcPr>
          <w:p>
            <w:pPr>
              <w:spacing w:before="80" w:after="80"/>
              <w:ind w:left="113"/>
            </w:pPr>
            <w:r>
              <w:rPr>
                <w:rFonts w:ascii="Calibri" w:hAnsi="Calibri"/>
                <w:b/>
                <w:i w:val="0"/>
                <w:color w:val="9CA3AF"/>
                <w:sz w:val="16"/>
              </w:rPr>
              <w:t>REPORT</w:t>
            </w:r>
          </w:p>
        </w:tc>
        <w:tc>
          <w:tcPr>
            <w:tcW w:type="dxa" w:w="4819"/>
            <w:tcBorders>
              <w:top w:val="none" w:sz="6" w:color="auto"/>
              <w:bottom w:val="none" w:sz="6" w:color="auto"/>
              <w:left w:val="none" w:sz="6" w:color="auto"/>
              <w:right w:val="none" w:sz="6" w:color="auto"/>
            </w:tcBorders>
          </w:tcPr>
          <w:p>
            <w:pPr>
              <w:spacing w:before="80" w:after="80"/>
              <w:ind w:left="113"/>
            </w:pPr>
            <w:r>
              <w:rPr>
                <w:rFonts w:ascii="Calibri" w:hAnsi="Calibri"/>
                <w:b/>
                <w:i w:val="0"/>
                <w:color w:val="003B71"/>
                <w:sz w:val="19"/>
              </w:rPr>
              <w:t>Market Intelligence Report</w:t>
            </w:r>
          </w:p>
        </w:tc>
      </w:tr>
      <w:tr>
        <w:tc>
          <w:tcPr>
            <w:tcW w:type="dxa" w:w="1984"/>
            <w:shd w:val="clear" w:color="auto" w:fill="F1F5F9"/>
            <w:tcBorders>
              <w:top w:val="none" w:sz="6" w:color="auto"/>
              <w:bottom w:val="none" w:sz="6" w:color="auto"/>
              <w:left w:val="none" w:sz="6" w:color="auto"/>
              <w:right w:val="none" w:sz="6" w:color="auto"/>
            </w:tcBorders>
          </w:tcPr>
          <w:p>
            <w:pPr>
              <w:spacing w:before="80" w:after="80"/>
              <w:ind w:left="113"/>
            </w:pPr>
            <w:r>
              <w:rPr>
                <w:rFonts w:ascii="Calibri" w:hAnsi="Calibri"/>
                <w:b/>
                <w:i w:val="0"/>
                <w:color w:val="9CA3AF"/>
                <w:sz w:val="16"/>
              </w:rPr>
              <w:t>WEEK</w:t>
            </w:r>
          </w:p>
        </w:tc>
        <w:tc>
          <w:tcPr>
            <w:tcW w:type="dxa" w:w="4819"/>
            <w:tcBorders>
              <w:top w:val="none" w:sz="6" w:color="auto"/>
              <w:bottom w:val="none" w:sz="6" w:color="auto"/>
              <w:left w:val="none" w:sz="6" w:color="auto"/>
              <w:right w:val="none" w:sz="6" w:color="auto"/>
            </w:tcBorders>
          </w:tcPr>
          <w:p>
            <w:pPr>
              <w:spacing w:before="80" w:after="80"/>
              <w:ind w:left="113"/>
            </w:pPr>
            <w:r>
              <w:rPr>
                <w:rFonts w:ascii="Calibri" w:hAnsi="Calibri"/>
                <w:b w:val="0"/>
                <w:i w:val="0"/>
                <w:color w:val="111827"/>
                <w:sz w:val="19"/>
              </w:rPr>
              <w:t>12/05 – 18/05/2026</w:t>
            </w:r>
          </w:p>
        </w:tc>
      </w:tr>
      <w:tr>
        <w:tc>
          <w:tcPr>
            <w:tcW w:type="dxa" w:w="1984"/>
            <w:shd w:val="clear" w:color="auto" w:fill="F1F5F9"/>
            <w:tcBorders>
              <w:top w:val="none" w:sz="6" w:color="auto"/>
              <w:bottom w:val="none" w:sz="6" w:color="auto"/>
              <w:left w:val="none" w:sz="6" w:color="auto"/>
              <w:right w:val="none" w:sz="6" w:color="auto"/>
            </w:tcBorders>
          </w:tcPr>
          <w:p>
            <w:pPr>
              <w:spacing w:before="80" w:after="80"/>
              <w:ind w:left="113"/>
            </w:pPr>
            <w:r>
              <w:rPr>
                <w:rFonts w:ascii="Calibri" w:hAnsi="Calibri"/>
                <w:b/>
                <w:i w:val="0"/>
                <w:color w:val="9CA3AF"/>
                <w:sz w:val="16"/>
              </w:rPr>
              <w:t>DATE</w:t>
            </w:r>
          </w:p>
        </w:tc>
        <w:tc>
          <w:tcPr>
            <w:tcW w:type="dxa" w:w="4819"/>
            <w:tcBorders>
              <w:top w:val="none" w:sz="6" w:color="auto"/>
              <w:bottom w:val="none" w:sz="6" w:color="auto"/>
              <w:left w:val="none" w:sz="6" w:color="auto"/>
              <w:right w:val="none" w:sz="6" w:color="auto"/>
            </w:tcBorders>
          </w:tcPr>
          <w:p>
            <w:pPr>
              <w:spacing w:before="80" w:after="80"/>
              <w:ind w:left="113"/>
            </w:pPr>
            <w:r>
              <w:rPr>
                <w:rFonts w:ascii="Calibri" w:hAnsi="Calibri"/>
                <w:b w:val="0"/>
                <w:i w:val="0"/>
                <w:color w:val="111827"/>
                <w:sz w:val="19"/>
              </w:rPr>
              <w:t>11/05/2026</w:t>
            </w:r>
          </w:p>
        </w:tc>
      </w:tr>
    </w:tbl>
    <w:p>
      <w:pPr>
        <w:spacing w:before="360"/>
        <w:jc w:val="center"/>
      </w:pPr>
      <w:r>
        <w:rPr>
          <w:rFonts w:ascii="Calibri" w:hAnsi="Calibri"/>
          <w:b w:val="0"/>
          <w:i/>
          <w:color w:val="CCCCCC"/>
          <w:sz w:val="16"/>
        </w:rPr>
        <w:t>Adamed Group  ·  Davipharm  ·  CONFIDENTIAL</w:t>
      </w:r>
    </w:p>
    <w:p>
      <w:r>
        <w:br w:type="page"/>
      </w:r>
    </w:p>
    <w:p>
      <w:pPr>
        <w:spacing w:before="320" w:after="120"/>
        <w:pBdr>
          <w:bottom w:val="single" w:sz="8" w:color="003B71"/>
        </w:pBdr>
      </w:pPr>
      <w:r>
        <w:rPr>
          <w:rFonts w:ascii="Calibri" w:hAnsi="Calibri"/>
          <w:b/>
          <w:i w:val="0"/>
          <w:color w:val="003B71"/>
          <w:sz w:val="22"/>
        </w:rPr>
        <w:t>EXECUTIVE SUMMARY</w:t>
      </w:r>
    </w:p>
    <w:tbl>
      <w:tblPr>
        <w:tblStyle w:val="TableGrid"/>
        <w:tblW w:type="auto" w:w="0"/>
        <w:jc w:val="left"/>
        <w:tblLook w:firstColumn="1" w:firstRow="1" w:lastColumn="0" w:lastRow="0" w:noHBand="0" w:noVBand="1" w:val="04A0"/>
      </w:tblPr>
      <w:tblGrid>
        <w:gridCol w:w="9072"/>
      </w:tblGrid>
      <w:tr>
        <w:tc>
          <w:tcPr>
            <w:tcW w:type="dxa" w:w="9071"/>
            <w:shd w:val="clear" w:color="auto" w:fill="EFF6FF"/>
            <w:tcBorders>
              <w:top w:val="none" w:sz="6" w:color="auto"/>
              <w:bottom w:val="none" w:sz="6" w:color="auto"/>
              <w:left w:val="single" w:sz="18" w:color="0056D2"/>
              <w:right w:val="none" w:sz="6" w:color="auto"/>
            </w:tcBorders>
          </w:tcPr>
          <w:p>
            <w:pPr>
              <w:spacing w:before="80" w:after="80"/>
              <w:ind w:left="170"/>
            </w:pPr>
            <w:r>
              <w:rPr>
                <w:rFonts w:ascii="Calibri" w:hAnsi="Calibri"/>
                <w:b/>
                <w:i w:val="0"/>
                <w:color w:val="111827"/>
                <w:sz w:val="20"/>
              </w:rPr>
              <w:t>This week: Tender reform opens opportunities for Davipharm while Long Châu's rapid expansion intensifies distribution channel pressure.</w:t>
            </w:r>
          </w:p>
        </w:tc>
      </w:tr>
    </w:tbl>
    <w:p>
      <w:pPr>
        <w:spacing w:before="80"/>
      </w:pPr>
    </w:p>
    <w:p>
      <w:pPr>
        <w:spacing w:after="80"/>
      </w:pPr>
    </w:p>
    <w:tbl>
      <w:tblPr>
        <w:tblStyle w:val="TableGrid"/>
        <w:tblW w:type="auto" w:w="0"/>
        <w:jc w:val="left"/>
        <w:tblLook w:firstColumn="1" w:firstRow="1" w:lastColumn="0" w:lastRow="0" w:noHBand="0" w:noVBand="1" w:val="04A0"/>
      </w:tblPr>
      <w:tblGrid>
        <w:gridCol w:w="4536"/>
        <w:gridCol w:w="4536"/>
      </w:tblGrid>
      <w:tr>
        <w:tc>
          <w:tcPr>
            <w:tcW w:type="dxa" w:w="4535"/>
            <w:tcBorders>
              <w:top w:val="none" w:sz="6" w:color="auto"/>
              <w:bottom w:val="none" w:sz="6" w:color="auto"/>
              <w:left w:val="none" w:sz="6" w:color="auto"/>
              <w:right w:val="none" w:sz="6" w:color="auto"/>
            </w:tcBorders>
            <w:shd w:val="clear" w:color="auto" w:fill="FAFBFF"/>
          </w:tcPr>
          <w:p>
            <w:pPr>
              <w:spacing w:before="80"/>
              <w:ind w:left="113"/>
            </w:pPr>
            <w:r>
              <w:rPr>
                <w:rFonts w:ascii="Calibri" w:hAnsi="Calibri"/>
                <w:b/>
                <w:i w:val="0"/>
                <w:color w:val="003B71"/>
                <w:sz w:val="17"/>
              </w:rPr>
              <w:t>💡  KEY INSIGHTS</w:t>
            </w:r>
          </w:p>
          <w:p>
            <w:pPr>
              <w:spacing w:before="20" w:after="60"/>
              <w:ind w:left="142"/>
            </w:pPr>
            <w:r>
              <w:rPr>
                <w:rFonts w:ascii="Calibri" w:hAnsi="Calibri"/>
                <w:b w:val="0"/>
                <w:i w:val="0"/>
                <w:color w:val="111827"/>
                <w:sz w:val="17"/>
              </w:rPr>
              <w:t>▸  Tendering:Criteria shift away from "lowest price" — GMP-EU manufacturers gain direct advantage.</w:t>
            </w:r>
          </w:p>
          <w:p>
            <w:pPr>
              <w:spacing w:before="20" w:after="60"/>
              <w:ind w:left="142"/>
            </w:pPr>
            <w:r>
              <w:rPr>
                <w:rFonts w:ascii="Calibri" w:hAnsi="Calibri"/>
                <w:b w:val="0"/>
                <w:i w:val="0"/>
                <w:color w:val="111827"/>
                <w:sz w:val="17"/>
              </w:rPr>
              <w:t>▸  OTC Channel:FPT Retail +73% profit Q1/2026, Long Châu leads — shelf-space negotiation increasingly challenging.</w:t>
            </w:r>
          </w:p>
          <w:p>
            <w:pPr>
              <w:spacing w:before="20" w:after="60"/>
              <w:ind w:left="142"/>
            </w:pPr>
            <w:r>
              <w:rPr>
                <w:rFonts w:ascii="Calibri" w:hAnsi="Calibri"/>
                <w:b w:val="0"/>
                <w:i w:val="0"/>
                <w:color w:val="111827"/>
                <w:sz w:val="17"/>
              </w:rPr>
              <w:t>▸  Supply Chain:Q1/2026 raw material imports declined sharply — API supply chain review warranted.</w:t>
            </w:r>
          </w:p>
          <w:p>
            <w:pPr>
              <w:spacing w:before="20" w:after="60"/>
              <w:ind w:left="142"/>
            </w:pPr>
            <w:r>
              <w:rPr>
                <w:rFonts w:ascii="Calibri" w:hAnsi="Calibri"/>
                <w:b w:val="0"/>
                <w:i w:val="0"/>
                <w:color w:val="111827"/>
                <w:sz w:val="17"/>
              </w:rPr>
              <w:t>▸  P1RA/Marketing: Prepare EU-GMP dossier to qualify for Group 1 tenders under new regulations.</w:t>
            </w:r>
          </w:p>
          <w:p>
            <w:pPr>
              <w:spacing w:before="20" w:after="60"/>
              <w:ind w:left="142"/>
            </w:pPr>
            <w:r>
              <w:rPr>
                <w:rFonts w:ascii="Calibri" w:hAnsi="Calibri"/>
                <w:b w:val="0"/>
                <w:i w:val="0"/>
                <w:color w:val="111827"/>
                <w:sz w:val="17"/>
              </w:rPr>
              <w:t>▸  P2Sales: Negotiate group-level partnership with Long Châu — avoid store-by-store negotiations.</w:t>
            </w:r>
          </w:p>
          <w:p>
            <w:pPr>
              <w:spacing w:before="20" w:after="60"/>
              <w:ind w:left="142"/>
            </w:pPr>
            <w:r>
              <w:rPr>
                <w:rFonts w:ascii="Calibri" w:hAnsi="Calibri"/>
                <w:b w:val="0"/>
                <w:i w:val="0"/>
                <w:color w:val="111827"/>
                <w:sz w:val="17"/>
              </w:rPr>
              <w:t>▸  P3Supply Chain: Audit API inventory and evaluate alternative sourcing amid import decline.</w:t>
            </w:r>
          </w:p>
        </w:tc>
        <w:tc>
          <w:tcPr>
            <w:tcW w:type="dxa" w:w="4535"/>
            <w:tcBorders>
              <w:top w:val="none" w:sz="6" w:color="auto"/>
              <w:bottom w:val="none" w:sz="6" w:color="auto"/>
              <w:left w:val="none" w:sz="6" w:color="auto"/>
              <w:right w:val="none" w:sz="6" w:color="auto"/>
            </w:tcBorders>
            <w:shd w:val="clear" w:color="auto" w:fill="FAFBFF"/>
          </w:tcPr>
          <w:p>
            <w:pPr>
              <w:spacing w:before="80"/>
              <w:ind w:left="113"/>
            </w:pPr>
            <w:r>
              <w:rPr>
                <w:rFonts w:ascii="Calibri" w:hAnsi="Calibri"/>
                <w:b/>
                <w:i w:val="0"/>
                <w:color w:val="0056D2"/>
                <w:sz w:val="17"/>
              </w:rPr>
              <w:t>⚡  PRIORITY ACTIONS</w:t>
            </w:r>
          </w:p>
          <w:p>
            <w:pPr>
              <w:spacing w:before="20" w:after="60"/>
              <w:ind w:left="142"/>
            </w:pPr>
            <w:r>
              <w:rPr>
                <w:rFonts w:ascii="Calibri" w:hAnsi="Calibri"/>
                <w:b w:val="0"/>
                <w:i w:val="0"/>
                <w:color w:val="0056D2"/>
                <w:sz w:val="17"/>
              </w:rPr>
              <w:t>→  P1RA/Marketing: Prepare EU-GMP dossier to qualify for Group 1 tenders under new regulations.</w:t>
            </w:r>
          </w:p>
          <w:p>
            <w:pPr>
              <w:spacing w:before="20" w:after="60"/>
              <w:ind w:left="142"/>
            </w:pPr>
            <w:r>
              <w:rPr>
                <w:rFonts w:ascii="Calibri" w:hAnsi="Calibri"/>
                <w:b w:val="0"/>
                <w:i w:val="0"/>
                <w:color w:val="0056D2"/>
                <w:sz w:val="17"/>
              </w:rPr>
              <w:t>→  P2Sales: Negotiate group-level partnership with Long Châu — avoid store-by-store negotiations.</w:t>
            </w:r>
          </w:p>
          <w:p>
            <w:pPr>
              <w:spacing w:before="20" w:after="60"/>
              <w:ind w:left="142"/>
            </w:pPr>
            <w:r>
              <w:rPr>
                <w:rFonts w:ascii="Calibri" w:hAnsi="Calibri"/>
                <w:b w:val="0"/>
                <w:i w:val="0"/>
                <w:color w:val="0056D2"/>
                <w:sz w:val="17"/>
              </w:rPr>
              <w:t>→  P3Supply Chain: Audit API inventory and evaluate alternative sourcing amid import decline.</w:t>
            </w:r>
          </w:p>
        </w:tc>
      </w:tr>
    </w:tbl>
    <w:p>
      <w:pPr>
        <w:spacing w:after="120"/>
      </w:pPr>
    </w:p>
    <w:p>
      <w:pPr>
        <w:spacing w:before="200" w:after="80"/>
      </w:pPr>
      <w:r>
        <w:rPr>
          <w:rFonts w:ascii="Calibri" w:hAnsi="Calibri"/>
          <w:b/>
          <w:i w:val="0"/>
          <w:color w:val="9CA3AF"/>
          <w:sz w:val="20"/>
        </w:rPr>
        <w:t>📡  Brand Mentions — Davipharm · Adamed</w:t>
      </w:r>
    </w:p>
    <w:tbl>
      <w:tblPr>
        <w:tblStyle w:val="TableGrid"/>
        <w:tblW w:type="auto" w:w="0"/>
        <w:jc w:val="left"/>
        <w:tblLook w:firstColumn="1" w:firstRow="1" w:lastColumn="0" w:lastRow="0" w:noHBand="0" w:noVBand="1" w:val="04A0"/>
      </w:tblPr>
      <w:tblGrid>
        <w:gridCol w:w="9072"/>
      </w:tblGrid>
      <w:tr>
        <w:tc>
          <w:tcPr>
            <w:tcW w:type="dxa" w:w="9071"/>
            <w:shd w:val="clear" w:color="auto" w:fill="F0FDF4"/>
            <w:tcBorders>
              <w:top w:val="none" w:sz="6" w:color="auto"/>
              <w:bottom w:val="none" w:sz="6" w:color="auto"/>
              <w:left w:val="single" w:sz="18" w:color="166534"/>
              <w:right w:val="none" w:sz="6" w:color="auto"/>
            </w:tcBorders>
          </w:tcPr>
          <w:p>
            <w:pPr>
              <w:spacing w:before="80" w:after="80"/>
              <w:ind w:left="170"/>
            </w:pPr>
            <w:r>
              <w:rPr>
                <w:rFonts w:ascii="Calibri" w:hAnsi="Calibri"/>
                <w:b/>
                <w:i w:val="0"/>
                <w:color w:val="111827"/>
                <w:sz w:val="18"/>
              </w:rPr>
              <w:t>✅ No negative mentions of Davipharm or Adamed found in the past 7 days. Brand is in a quiet state — no PR crisis management required.</w:t>
            </w:r>
          </w:p>
        </w:tc>
      </w:tr>
    </w:tbl>
    <w:p>
      <w:pPr>
        <w:spacing w:before="80"/>
      </w:pPr>
    </w:p>
    <w:p>
      <w:pPr>
        <w:spacing w:after="40"/>
      </w:pPr>
    </w:p>
    <w:p>
      <w:pPr>
        <w:spacing w:before="320" w:after="120"/>
        <w:pBdr>
          <w:bottom w:val="single" w:sz="8" w:color="003B71"/>
        </w:pBdr>
      </w:pPr>
      <w:r>
        <w:rPr>
          <w:rFonts w:ascii="Calibri" w:hAnsi="Calibri"/>
          <w:b/>
          <w:i w:val="0"/>
          <w:color w:val="003B71"/>
          <w:sz w:val="22"/>
        </w:rPr>
        <w:t>MARKET SENTIMENT THIS WEEK</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18"/>
            <w:shd w:val="clear" w:color="auto" w:fill="003B71"/>
            <w:tcBorders>
              <w:top w:val="none" w:sz="6" w:color="auto"/>
              <w:bottom w:val="none" w:sz="6" w:color="auto"/>
              <w:left w:val="none" w:sz="6" w:color="auto"/>
              <w:right w:val="none" w:sz="6" w:color="auto"/>
            </w:tcBorders>
          </w:tcPr>
          <w:p>
            <w:pPr>
              <w:spacing w:before="80" w:after="80"/>
              <w:ind w:left="85"/>
              <w:jc w:val="left"/>
            </w:pPr>
            <w:r>
              <w:rPr>
                <w:rFonts w:ascii="Calibri" w:hAnsi="Calibri"/>
                <w:b/>
                <w:i w:val="0"/>
                <w:color w:val="FFFFFF"/>
                <w:sz w:val="17"/>
              </w:rPr>
              <w:t>Section</w:t>
            </w:r>
          </w:p>
        </w:tc>
        <w:tc>
          <w:tcPr>
            <w:tcW w:type="dxa" w:w="1701"/>
            <w:shd w:val="clear" w:color="auto" w:fill="166534"/>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  Positive</w:t>
            </w:r>
          </w:p>
        </w:tc>
        <w:tc>
          <w:tcPr>
            <w:tcW w:type="dxa" w:w="1984"/>
            <w:shd w:val="clear" w:color="auto" w:fill="37415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  Neutral</w:t>
            </w:r>
          </w:p>
        </w:tc>
        <w:tc>
          <w:tcPr>
            <w:tcW w:type="dxa" w:w="2268"/>
            <w:shd w:val="clear" w:color="auto" w:fill="991B1B"/>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  Risk / Challenge</w:t>
            </w:r>
          </w:p>
        </w:tc>
      </w:tr>
      <w:tr>
        <w:tc>
          <w:tcPr>
            <w:tcW w:type="dxa" w:w="3118"/>
            <w:shd w:val="clear" w:color="auto" w:fill="FAFBFF"/>
            <w:tcBorders>
              <w:top w:val="none" w:sz="6" w:color="auto"/>
              <w:bottom w:val="none" w:sz="6" w:color="auto"/>
              <w:left w:val="none" w:sz="6" w:color="auto"/>
              <w:right w:val="none" w:sz="6" w:color="auto"/>
            </w:tcBorders>
          </w:tcPr>
          <w:p>
            <w:pPr>
              <w:spacing w:before="100" w:after="100"/>
              <w:ind w:left="113"/>
            </w:pPr>
            <w:r>
              <w:rPr>
                <w:rFonts w:ascii="Calibri" w:hAnsi="Calibri"/>
                <w:b/>
                <w:i w:val="0"/>
                <w:color w:val="111827"/>
                <w:sz w:val="18"/>
              </w:rPr>
              <w:t>Regulatory &amp; Policy</w:t>
            </w:r>
          </w:p>
        </w:tc>
        <w:tc>
          <w:tcPr>
            <w:tcW w:type="dxa" w:w="1701"/>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166534"/>
                <w:sz w:val="22"/>
              </w:rPr>
              <w:t>2</w:t>
            </w:r>
          </w:p>
        </w:tc>
        <w:tc>
          <w:tcPr>
            <w:tcW w:type="dxa" w:w="1984"/>
            <w:shd w:val="clear" w:color="auto" w:fill="F3F4F6"/>
            <w:tcBorders>
              <w:top w:val="none" w:sz="6" w:color="auto"/>
              <w:bottom w:val="none" w:sz="6" w:color="auto"/>
              <w:left w:val="none" w:sz="6" w:color="auto"/>
              <w:right w:val="none" w:sz="6" w:color="auto"/>
            </w:tcBorders>
          </w:tcPr>
          <w:p>
            <w:pPr>
              <w:spacing w:before="80" w:after="80"/>
              <w:jc w:val="center"/>
            </w:pPr>
            <w:r>
              <w:rPr>
                <w:rFonts w:ascii="Calibri" w:hAnsi="Calibri"/>
                <w:b/>
                <w:i w:val="0"/>
                <w:color w:val="374151"/>
                <w:sz w:val="22"/>
              </w:rPr>
              <w:t>1</w:t>
            </w:r>
          </w:p>
        </w:tc>
        <w:tc>
          <w:tcPr>
            <w:tcW w:type="dxa" w:w="2268"/>
            <w:shd w:val="clear" w:color="auto" w:fill="FFF0F0"/>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r>
      <w:tr>
        <w:tc>
          <w:tcPr>
            <w:tcW w:type="dxa" w:w="3118"/>
            <w:shd w:val="clear" w:color="auto" w:fill="F5F7FF"/>
            <w:tcBorders>
              <w:top w:val="none" w:sz="6" w:color="auto"/>
              <w:bottom w:val="none" w:sz="6" w:color="auto"/>
              <w:left w:val="none" w:sz="6" w:color="auto"/>
              <w:right w:val="none" w:sz="6" w:color="auto"/>
            </w:tcBorders>
          </w:tcPr>
          <w:p>
            <w:pPr>
              <w:spacing w:before="100" w:after="100"/>
              <w:ind w:left="113"/>
            </w:pPr>
            <w:r>
              <w:rPr>
                <w:rFonts w:ascii="Calibri" w:hAnsi="Calibri"/>
                <w:b/>
                <w:i w:val="0"/>
                <w:color w:val="111827"/>
                <w:sz w:val="18"/>
              </w:rPr>
              <w:t>Pharma Industry News</w:t>
            </w:r>
          </w:p>
        </w:tc>
        <w:tc>
          <w:tcPr>
            <w:tcW w:type="dxa" w:w="1701"/>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166534"/>
                <w:sz w:val="22"/>
              </w:rPr>
              <w:t>3</w:t>
            </w:r>
          </w:p>
        </w:tc>
        <w:tc>
          <w:tcPr>
            <w:tcW w:type="dxa" w:w="1984"/>
            <w:shd w:val="clear" w:color="auto" w:fill="F3F4F6"/>
            <w:tcBorders>
              <w:top w:val="none" w:sz="6" w:color="auto"/>
              <w:bottom w:val="none" w:sz="6" w:color="auto"/>
              <w:left w:val="none" w:sz="6" w:color="auto"/>
              <w:right w:val="none" w:sz="6" w:color="auto"/>
            </w:tcBorders>
          </w:tcPr>
          <w:p>
            <w:pPr>
              <w:spacing w:before="80" w:after="80"/>
              <w:jc w:val="center"/>
            </w:pPr>
            <w:r>
              <w:rPr>
                <w:rFonts w:ascii="Calibri" w:hAnsi="Calibri"/>
                <w:b/>
                <w:i w:val="0"/>
                <w:color w:val="374151"/>
                <w:sz w:val="22"/>
              </w:rPr>
              <w:t>2</w:t>
            </w:r>
          </w:p>
        </w:tc>
        <w:tc>
          <w:tcPr>
            <w:tcW w:type="dxa" w:w="2268"/>
            <w:shd w:val="clear" w:color="auto" w:fill="FFF0F0"/>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r>
      <w:tr>
        <w:tc>
          <w:tcPr>
            <w:tcW w:type="dxa" w:w="3118"/>
            <w:shd w:val="clear" w:color="auto" w:fill="FAFBFF"/>
            <w:tcBorders>
              <w:top w:val="none" w:sz="6" w:color="auto"/>
              <w:bottom w:val="none" w:sz="6" w:color="auto"/>
              <w:left w:val="none" w:sz="6" w:color="auto"/>
              <w:right w:val="none" w:sz="6" w:color="auto"/>
            </w:tcBorders>
          </w:tcPr>
          <w:p>
            <w:pPr>
              <w:spacing w:before="100" w:after="100"/>
              <w:ind w:left="113"/>
            </w:pPr>
            <w:r>
              <w:rPr>
                <w:rFonts w:ascii="Calibri" w:hAnsi="Calibri"/>
                <w:b/>
                <w:i w:val="0"/>
                <w:color w:val="111827"/>
                <w:sz w:val="18"/>
              </w:rPr>
              <w:t>Competitors</w:t>
            </w:r>
          </w:p>
        </w:tc>
        <w:tc>
          <w:tcPr>
            <w:tcW w:type="dxa" w:w="1701"/>
            <w:shd w:val="clear" w:color="auto" w:fill="E9FBF0"/>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c>
          <w:tcPr>
            <w:tcW w:type="dxa" w:w="1984"/>
            <w:shd w:val="clear" w:color="auto" w:fill="F9FAFB"/>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CCCCCC"/>
                <w:sz w:val="22"/>
              </w:rPr>
              <w:t>—</w:t>
            </w:r>
          </w:p>
        </w:tc>
        <w:tc>
          <w:tcPr>
            <w:tcW w:type="dxa" w:w="2268"/>
            <w:shd w:val="clear" w:color="auto" w:fill="FEE2E2"/>
            <w:tcBorders>
              <w:top w:val="none" w:sz="6" w:color="auto"/>
              <w:bottom w:val="none" w:sz="6" w:color="auto"/>
              <w:left w:val="none" w:sz="6" w:color="auto"/>
              <w:right w:val="none" w:sz="6" w:color="auto"/>
            </w:tcBorders>
          </w:tcPr>
          <w:p>
            <w:pPr>
              <w:spacing w:before="80" w:after="80"/>
              <w:jc w:val="center"/>
            </w:pPr>
            <w:r>
              <w:rPr>
                <w:rFonts w:ascii="Calibri" w:hAnsi="Calibri"/>
                <w:b/>
                <w:i w:val="0"/>
                <w:color w:val="991B1B"/>
                <w:sz w:val="22"/>
              </w:rPr>
              <w:t>3</w:t>
            </w:r>
          </w:p>
        </w:tc>
      </w:tr>
    </w:tbl>
    <w:p>
      <w:pPr>
        <w:spacing w:after="80"/>
      </w:pPr>
    </w:p>
    <w:p>
      <w:r>
        <w:br w:type="page"/>
      </w:r>
    </w:p>
    <w:p>
      <w:pPr>
        <w:spacing w:before="320" w:after="120"/>
        <w:pBdr>
          <w:bottom w:val="single" w:sz="8" w:color="003B71"/>
        </w:pBdr>
      </w:pPr>
      <w:r>
        <w:rPr>
          <w:rFonts w:ascii="Calibri" w:hAnsi="Calibri"/>
          <w:b/>
          <w:i w:val="0"/>
          <w:color w:val="003B71"/>
          <w:sz w:val="22"/>
        </w:rPr>
        <w:t>REGULATORY &amp; POLICY</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DRUG TENDERING</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Low-Price Drugs Lose Absolute Dominance in Public Procurement Tenders</w:t>
            </w:r>
          </w:p>
        </w:tc>
      </w:tr>
    </w:tbl>
    <w:p>
      <w:pPr>
        <w:spacing w:before="40" w:after="40"/>
        <w:ind w:left="170"/>
      </w:pPr>
      <w:r>
        <w:rPr>
          <w:rFonts w:ascii="Calibri" w:hAnsi="Calibri"/>
          <w:b w:val="0"/>
          <w:i/>
          <w:color w:val="6B7280"/>
          <w:sz w:val="18"/>
        </w:rPr>
        <w:t>New pharmaceutical tendering regulations are shifting selection criteria away from "lowest price" toward a composite scoring model encompassing quality, manufacturing capacity, and GMP standards — leveling the playing field for higher-standard domestic manufacturers.[Source]</w:t>
      </w:r>
    </w:p>
    <w:p>
      <w:pPr>
        <w:spacing w:before="20" w:after="40"/>
        <w:ind w:left="170"/>
      </w:pPr>
      <w:r>
        <w:rPr>
          <w:rFonts w:ascii="Calibri" w:hAnsi="Calibri"/>
          <w:b/>
          <w:i w:val="0"/>
          <w:color w:val="166534"/>
          <w:sz w:val="17"/>
        </w:rPr>
        <w:t>✅ Positive — Major opportunity for quality-certified manufacturers</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 Strategic Opportunity:The shift from "lowest price" to "best value" procurement criteria is highly favorable for Davipharm, which has invested heavily in EU-GMP/WHO-GMP standards. Previously, cost-cutting competitors could win tenders purely on price; now, quality credentials become a legitimate competitive weapon.⚔️ Competitive Dynamics vs. Direct Rivals (Imexpharm, DHG, Traphaco):This triggers a new "capability portfolio" race. Imexpharm's EU-GMP facilities make it the most formidable rival in premium hospital tenders. DHG and Traphaco hold broad portfolios but face plant-level certification scrutiny. Davipharm must proactively build standardized capability dossiers (GMP certificates, stability data, bioequivalence studies) to maximize technical scores in Group 1–2 tender lots.📋 Priority Actions:(1) Audit the full product portfolio to identify SKUs eligible for Group 1 (EU-GMP) bidding; (2) Strengthen a dedicated tender team with superior technical documentation capabilities; (3) Position Davipharm as "European Quality, Vietnamese Price" in B2B communications targeting hospitals and provincial health departments.</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VIETNAM PHARMA POLICY</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US Raises Concerns Over South Korea's Pharmaceutical Pricing &amp; Market Access Policies</w:t>
            </w:r>
          </w:p>
        </w:tc>
      </w:tr>
    </w:tbl>
    <w:p>
      <w:pPr>
        <w:spacing w:before="40" w:after="40"/>
        <w:ind w:left="170"/>
      </w:pPr>
      <w:r>
        <w:rPr>
          <w:rFonts w:ascii="Calibri" w:hAnsi="Calibri"/>
          <w:b w:val="0"/>
          <w:i/>
          <w:color w:val="6B7280"/>
          <w:sz w:val="18"/>
        </w:rPr>
        <w:t>The United States has formally raised concerns with South Korea regarding pharmaceutical policies, including drug pricing mechanisms, health insurance reimbursement conditions, and market access barriers for foreign pharmaceutical products. This forms part of bilateral trade negotiations and reflects a growing global trend toward greater transparency and fairness in pharmaceutical market policies.[Source]</w:t>
      </w:r>
    </w:p>
    <w:p>
      <w:pPr>
        <w:spacing w:before="20" w:after="40"/>
        <w:ind w:left="170"/>
      </w:pPr>
      <w:r>
        <w:rPr>
          <w:rFonts w:ascii="Calibri" w:hAnsi="Calibri"/>
          <w:b/>
          <w:i w:val="0"/>
          <w:color w:val="374151"/>
          <w:sz w:val="17"/>
        </w:rPr>
        <w:t>⚠️ Indirect Impact — Policy Warning Signal Relevant to Vietnam's Pharma Landscape</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The US pressure on South Korea's pharmaceutical policies carries significant strategic implications for Davipharm across multiple dimensions:1. Regulatory Risk in Vietnam:Vietnam is actively implementing FTAs (EVFTA, CPTPP, UKVFTA). Similar external pressure could compel the Ministry of Health to reform tendering, pricing, and social health insurance (SHI) reimbursement frameworks — directly impacting Davipharm's generic portfolio competitiveness.2. Opportunity for Empagliflozin &amp; Dapoxetine:Should SHI reimbursement policies become more transparent and inclusive under international pressure, Davipharm's high-quality generics — Empagliflozin (Type 2 Diabetes) and Dapoxetine (Premature Ejaculation) — stand to gain SHI listing status, significantly expanding patient access and market volume.3. Tadalafil — Strategic OTC Positioning:Given potential SHI restructuring risks, Davipharm should accelerate a dual ETC/OTC go-to-market strategy for Tadalafil to reduce dependency on hospital tender channels and capture the growing self-pay consumer segment.Recommendation:Davipharm should closely monitor US–Vietnam trade negotiation developments and proactively engage in domestic pharmaceutical policy forums to safeguard the competitive advantages of its local generic product lines.</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MOH · TENDERING</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Vietnam's Minister of Health Addresses Procurement &amp; Tendering of Expanded Immunization Vaccines</w:t>
            </w:r>
          </w:p>
        </w:tc>
      </w:tr>
    </w:tbl>
    <w:p>
      <w:pPr>
        <w:spacing w:before="40" w:after="40"/>
        <w:ind w:left="170"/>
      </w:pPr>
      <w:r>
        <w:rPr>
          <w:rFonts w:ascii="Calibri" w:hAnsi="Calibri"/>
          <w:b w:val="0"/>
          <w:i/>
          <w:color w:val="6B7280"/>
          <w:sz w:val="18"/>
        </w:rPr>
        <w:t>Vietnam's Minister of Health officially addressed the procurement and tendering process for vaccines under the National Expanded Program on Immunization (EPI), emphasizing transparency, legal compliance, and stable supply assurance for the population. This signals the Government's intensified oversight and reform of public pharmaceutical procurement mechanisms.[Source]</w:t>
      </w:r>
    </w:p>
    <w:p>
      <w:pPr>
        <w:spacing w:before="20" w:after="40"/>
        <w:ind w:left="170"/>
      </w:pPr>
      <w:r>
        <w:rPr>
          <w:rFonts w:ascii="Calibri" w:hAnsi="Calibri"/>
          <w:b/>
          <w:i w:val="0"/>
          <w:color w:val="166534"/>
          <w:sz w:val="17"/>
        </w:rPr>
        <w:t>✅ Positive — Procurement reform fosters a more transparent competitive environment for domestic pharmaceutical companies</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While the article focuses on vaccines — not Davipharm's core segment — the procurement reform signals carry significant spillover implications:① Systemic Opportunity:The Ministry of Health's push for greater tendering transparency (Circulars 14 &amp; 15) creates a more level playing field for Davipharm's high-quality generics — particularlyEmpagliflozin(type 2 diabetes) andTadalafil— to compete in Tier 1–2 hospital tenders on the basis of GMP standards and competitive pricing.② Risk to Monitor:If centralized national tendering is expanded to chronic disease drug categories (cardiovascular, metabolic), downward price pressure will intensify — requiring Davipharm to optimize manufacturing costs and build robust tender qualification dossiers.③ Recommended Action:Proactively prepare complete technical dossiers forDapoxetineandEmpagliflozinto be tender-ready for provincial and central hospital procurement packages as the centralized tender list is updated in Q3–Q4 2025.</w:t>
            </w:r>
          </w:p>
        </w:tc>
      </w:tr>
    </w:tbl>
    <w:p>
      <w:pPr>
        <w:spacing w:before="40" w:after="120"/>
      </w:pPr>
    </w:p>
    <w:p>
      <w:r>
        <w:br w:type="page"/>
      </w:r>
    </w:p>
    <w:p>
      <w:pPr>
        <w:spacing w:before="320" w:after="120"/>
        <w:pBdr>
          <w:bottom w:val="single" w:sz="8" w:color="003B71"/>
        </w:pBdr>
      </w:pPr>
      <w:r>
        <w:rPr>
          <w:rFonts w:ascii="Calibri" w:hAnsi="Calibri"/>
          <w:b/>
          <w:i w:val="0"/>
          <w:color w:val="003B71"/>
          <w:sz w:val="22"/>
        </w:rPr>
        <w:t>PHARMA INDUSTRY NEWS</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VIETNAM PHARMA MARKET</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Pharmacy Chain Franchising: Market Expansion Linked to Pharmaceutical Governance Standardization</w:t>
            </w:r>
          </w:p>
        </w:tc>
      </w:tr>
    </w:tbl>
    <w:p>
      <w:pPr>
        <w:spacing w:before="40" w:after="40"/>
        <w:ind w:left="170"/>
      </w:pPr>
      <w:r>
        <w:rPr>
          <w:rFonts w:ascii="Calibri" w:hAnsi="Calibri"/>
          <w:b w:val="0"/>
          <w:i/>
          <w:color w:val="6B7280"/>
          <w:sz w:val="18"/>
        </w:rPr>
        <w:t>Pharmacy chain franchising is emerging as a key retail expansion trend in Vietnam, combining rapid outlet growth with standardized pharmaceutical management and GPP-compliant quality control. Major chains such as Long Chau and Pharmacity are aggressively pursuing this model to quickly scale their nationwide distribution networks.[Source]</w:t>
      </w:r>
    </w:p>
    <w:p>
      <w:pPr>
        <w:spacing w:before="20" w:after="40"/>
        <w:ind w:left="170"/>
      </w:pPr>
      <w:r>
        <w:rPr>
          <w:rFonts w:ascii="Calibri" w:hAnsi="Calibri"/>
          <w:b/>
          <w:i w:val="0"/>
          <w:color w:val="166534"/>
          <w:sz w:val="17"/>
        </w:rPr>
        <w:t>⚡ Conditionally Positive Impact — Channel expansion broadens market access for manufacturers, but increases pressure on listing fees and shelf-space negotiation power.</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 Channel Power Dynamics — Core Risk to Monitor:As Long Chau and Pharmacity scale their franchise networks, their negotiating leverage over manufacturers grows proport</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VIETNAM PHARMA MARKET</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Q1 2026: Vietnam's Pharmaceutical Raw Material Imports Decline Sharply – Strategic Implications for Domestic Manufacturers</w:t>
            </w:r>
          </w:p>
        </w:tc>
      </w:tr>
    </w:tbl>
    <w:p>
      <w:pPr>
        <w:spacing w:before="40" w:after="40"/>
        <w:ind w:left="170"/>
      </w:pPr>
      <w:r>
        <w:rPr>
          <w:rFonts w:ascii="Calibri" w:hAnsi="Calibri"/>
          <w:b w:val="0"/>
          <w:i/>
          <w:color w:val="6B7280"/>
          <w:sz w:val="18"/>
        </w:rPr>
        <w:t>According to Vinanet, Vietnam's pharmaceutical raw material and excipient import value dropped significantly in Q1 2026 compared to the same period last year. This trend reflects shifts in global pharmaceutical supply chains, currency pressures, and domestic manufacturers' efforts to optimize inventory or seek alternative sourcing strategies.[Source]</w:t>
      </w:r>
    </w:p>
    <w:p>
      <w:pPr>
        <w:spacing w:before="20" w:after="40"/>
        <w:ind w:left="170"/>
      </w:pPr>
      <w:r>
        <w:rPr>
          <w:rFonts w:ascii="Calibri" w:hAnsi="Calibri"/>
          <w:b/>
          <w:i w:val="0"/>
          <w:color w:val="374151"/>
          <w:sz w:val="17"/>
        </w:rPr>
        <w:t>⚠️ Neutral – Dual Impact: Short-term supply risk offset by strategic opportunity to restructure sourcing and strengthen domestic competitive positioning</w:t>
      </w:r>
    </w:p>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VIETNAM PHARMA MARKET</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September 2nd Pharma Sets Hundred-Billion VND Revenue Target, Restructures Senior Leadership</w:t>
            </w:r>
          </w:p>
        </w:tc>
      </w:tr>
    </w:tbl>
    <w:p>
      <w:pPr>
        <w:spacing w:before="40" w:after="40"/>
        <w:ind w:left="170"/>
      </w:pPr>
      <w:r>
        <w:rPr>
          <w:rFonts w:ascii="Calibri" w:hAnsi="Calibri"/>
          <w:b w:val="0"/>
          <w:i/>
          <w:color w:val="6B7280"/>
          <w:sz w:val="18"/>
        </w:rPr>
        <w:t>September 2nd Pharmaceutical Company (DNP) has announced a hundred-billion VND revenue target for the upcoming fiscal year, alongside a senior leadership restructuring aimed at strengthening governance and accelerating growth. This signals that small-to-mid-sized domestic pharma companies are actively reorganizing to compete in an increasingly dynamic market.[Source]</w:t>
      </w:r>
    </w:p>
    <w:p>
      <w:pPr>
        <w:spacing w:before="20" w:after="40"/>
        <w:ind w:left="170"/>
      </w:pPr>
      <w:r>
        <w:rPr>
          <w:rFonts w:ascii="Calibri" w:hAnsi="Calibri"/>
          <w:b/>
          <w:i w:val="0"/>
          <w:color w:val="374151"/>
          <w:sz w:val="17"/>
        </w:rPr>
        <w:t>⚠️ Neutral – Indirect competitive signal from mid-tier domestic pharma segment</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FPT RETAIL LONG CHÂU</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Long Chau Drives FPT Retail Growth with People-Centric Strategy — Channel Power Implications for Pharma Manufacturers</w:t>
            </w:r>
          </w:p>
        </w:tc>
      </w:tr>
    </w:tbl>
    <w:p>
      <w:pPr>
        <w:spacing w:before="40" w:after="40"/>
        <w:ind w:left="170"/>
      </w:pPr>
      <w:r>
        <w:rPr>
          <w:rFonts w:ascii="Calibri" w:hAnsi="Calibri"/>
          <w:b w:val="0"/>
          <w:i/>
          <w:color w:val="6B7280"/>
          <w:sz w:val="18"/>
        </w:rPr>
        <w:t>Long Chau pharmacy chain (under FPT Retail) continues to be the primary growth engine, expanding its nationwide network and reinforcing its leadership in Vietnam's retail pharmaceutical market. Its strategy centers on community health service, increased outlet coverage, and enhanced customer experience.[Source]</w:t>
      </w:r>
    </w:p>
    <w:p>
      <w:pPr>
        <w:spacing w:before="20" w:after="40"/>
        <w:ind w:left="170"/>
      </w:pPr>
      <w:r>
        <w:rPr>
          <w:rFonts w:ascii="Calibri" w:hAnsi="Calibri"/>
          <w:b/>
          <w:i w:val="0"/>
          <w:color w:val="166534"/>
          <w:sz w:val="17"/>
        </w:rPr>
        <w:t>⚡ Dual Impact: Distribution expansion opportunity — offset by channel dependency risk &amp; pricing pressure</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 Channel Power Dynamics:Long Chau's sustained expansion (1,800+ outlets nationwide) is reshaping the manufacturer-retailer power balance. As Long Chau captures an increasing share of Davipharm's OTC revenue, the retailer gains leverage to demand higher trade discounts, extended payment terms, or exclusive SKU arrangements — creating significant channel dependency risk.📦 Shelf-Space &amp; Portfolio Positioning:Long Chau's "people-centric" strategy favors products with clear clinical value, competitive pricing, and strong brand recognition. Davipharm must proactively negotiate premium shelf positioning (eye-level, end-cap displays) for strategic product lines, particularly vitamins, OTC antibiotics, and premium generics.🤝 Strategic Recommendations:(1) Establish a Strategic Partnership Program with Long Chau, including pharmacist training support on</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PHARMACITY</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Pharmacity: Ambition to 'Connect the Healthcare Map' and Mission to Serve Vietnamese Health</w:t>
            </w:r>
          </w:p>
        </w:tc>
      </w:tr>
    </w:tbl>
    <w:p>
      <w:pPr>
        <w:spacing w:before="40" w:after="40"/>
        <w:ind w:left="170"/>
      </w:pPr>
      <w:r>
        <w:rPr>
          <w:rFonts w:ascii="Calibri" w:hAnsi="Calibri"/>
          <w:b w:val="0"/>
          <w:i/>
          <w:color w:val="6B7280"/>
          <w:sz w:val="18"/>
        </w:rPr>
        <w:t>Pharmacity continues to assert its vision of expanding its pharmacy chain network nationwide, targeting coverage across all provinces including remote areas, aiming to "connect Vietnam's healthcare map." The chain emphasizes a mission of comprehensive healthcare services — not just drug retail, but also patient consultation and ecosystem connectivity.[Source]</w:t>
      </w:r>
    </w:p>
    <w:p>
      <w:pPr>
        <w:spacing w:before="20" w:after="40"/>
        <w:ind w:left="170"/>
      </w:pPr>
      <w:r>
        <w:rPr>
          <w:rFonts w:ascii="Calibri" w:hAnsi="Calibri"/>
          <w:b/>
          <w:i w:val="0"/>
          <w:color w:val="166534"/>
          <w:sz w:val="17"/>
        </w:rPr>
        <w:t>⚡ Conditionally Positive — Major distribution channel expansion opportunity, but with dependency risk and shelf-space pressure</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 Channel Power:Pharmacity's network expansion means the chain increasingly controls access to OTC consumers, especially in underserved provinces. Davipharm must reassess dependency risk — high revenue concentration in this channel weakens negotiating leverage on pricing and terms.📦 Shelf-space &amp; Listing Fees:Pharmacity's growth ambitions typically come with higher listing fees, SKU ration</w:t>
            </w:r>
          </w:p>
        </w:tc>
      </w:tr>
    </w:tbl>
    <w:p>
      <w:pPr>
        <w:spacing w:before="40" w:after="120"/>
      </w:pPr>
    </w:p>
    <w:p>
      <w:r>
        <w:br w:type="page"/>
      </w:r>
    </w:p>
    <w:p>
      <w:pPr>
        <w:spacing w:before="320" w:after="120"/>
        <w:pBdr>
          <w:bottom w:val="single" w:sz="8" w:color="003B71"/>
        </w:pBdr>
      </w:pPr>
      <w:r>
        <w:rPr>
          <w:rFonts w:ascii="Calibri" w:hAnsi="Calibri"/>
          <w:b/>
          <w:i w:val="0"/>
          <w:color w:val="003B71"/>
          <w:sz w:val="22"/>
        </w:rPr>
        <w:t>COMPETITOR INTELLIGENCE</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DHG PHARMA</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DHG Pharma Pays Generous Dividends, Japanese Giant Taisho Consistently Pockets Hundreds of Billions VND</w:t>
            </w:r>
          </w:p>
        </w:tc>
      </w:tr>
    </w:tbl>
    <w:p>
      <w:pPr>
        <w:spacing w:before="40" w:after="40"/>
        <w:ind w:left="170"/>
      </w:pPr>
      <w:r>
        <w:rPr>
          <w:rFonts w:ascii="Calibri" w:hAnsi="Calibri"/>
          <w:b w:val="0"/>
          <w:i/>
          <w:color w:val="6B7280"/>
          <w:sz w:val="18"/>
        </w:rPr>
        <w:t>DHG Pharma (Dược Hậu Giang) continues its high dividend payout policy, allowing its major strategic shareholder — Japanese pharmaceutical giant Taisho — to consistently receive hundreds of billions of VND annually. This reflects DHG's strong financial foundation and stable profitability within Vietnam's pharmaceutical sector.[Source]</w:t>
      </w:r>
    </w:p>
    <w:p>
      <w:pPr>
        <w:spacing w:before="20" w:after="40"/>
        <w:ind w:left="170"/>
      </w:pPr>
      <w:r>
        <w:rPr>
          <w:rFonts w:ascii="Calibri" w:hAnsi="Calibri"/>
          <w:b/>
          <w:i w:val="0"/>
          <w:color w:val="991B1B"/>
          <w:sz w:val="17"/>
        </w:rPr>
        <w:t>⚠️ Challenging — Competitor backed by strong Japanese financial support, increasing long-term competitive pressure on Davipharm</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 Product Competition &amp; Competitor Financial Strength:DHG's sustained high dividend payouts, backed by Taisho's financial support, signal that this key competitor has ample resources to continuously invest in R&amp;D, GMP-standard manufacturing upgrades, and product portfolio expansion — particularly in OTC and premium generic segments that directly overlap with Davipharm's core business.🔴 Hospital Tendering (ETC Channel):With a solid financial base, DHG can afford to accept thinner margins in hospital tender bids to capture market share, placing significant pricing pressure on Davipharm in the ETC channel.🟡 Opportunity for Davipharm:DHG's focus on maintaining profitability for dividend distribution may make them more conservative in pursuing high-risk innovation or niche therapeutic segments. Davipharm should exploit this gap by accelerating product innovation, targeting specialized treatment segments underserved by DHG, and building sustainable</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LONG CHÂU CHAIN</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Long Châu Pharmacy Chain: Pioneering Digital Data Integration &amp; Breakthrough Healthcare Services</w:t>
            </w:r>
          </w:p>
        </w:tc>
      </w:tr>
    </w:tbl>
    <w:p>
      <w:pPr>
        <w:spacing w:before="40" w:after="40"/>
        <w:ind w:left="170"/>
      </w:pPr>
      <w:r>
        <w:rPr>
          <w:rFonts w:ascii="Calibri" w:hAnsi="Calibri"/>
          <w:b w:val="0"/>
          <w:i/>
          <w:color w:val="6B7280"/>
          <w:sz w:val="18"/>
        </w:rPr>
        <w:t>Long Châu pharmacy chain (FPT Retail) is aggressively leveraging digital data and technology across its operations, launching new healthcare services to enhance customer experience and reinforce its leading position in Vietnam's pharmaceutical retail market. The strategy encompasses personalized health consultations, digital patient record integration, and expansion of a comprehensive healthcare ecosystem.[Source]</w:t>
      </w:r>
    </w:p>
    <w:p>
      <w:pPr>
        <w:spacing w:before="20" w:after="40"/>
        <w:ind w:left="170"/>
      </w:pPr>
      <w:r>
        <w:rPr>
          <w:rFonts w:ascii="Calibri" w:hAnsi="Calibri"/>
          <w:b/>
          <w:i w:val="0"/>
          <w:color w:val="991B1B"/>
          <w:sz w:val="17"/>
        </w:rPr>
        <w:t>⚠️ High Competitive Pressure — Long Châu's digital acceleration intensifies bargaining power over generic pharma suppliers</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Direct Threat:As Long Châu integrates digital data and personalized advisory, it will increasingly favor products with strong clinical evidence, recognized branding, or exclusive distribution agreements — disadvantaging Davipharm's generics lacking a clear brand strategy.Empagliflozin Risk:In the T2DM segment, Long Châu may prioritize originator brands (Jardiance) or generics with exclusive deals. Davipharm must negotiate priority placement on Long Châu's digital shelf and within its AI recommendation engine.Tadalafil &amp; Dapoxetine Opportunity:Long Châu's discreet digital men's health consultation services represent a golden channel. Davipharm should propose co-branding programs or integrated men's health packages embedding Tadalafil/Dapoxetine into Long Châu's digital customer journey.Strategic Action:Prioritize strategic supply agreements with Long Châu; invest in Real-World Evidence (RWE) for Empagliflozin to meet the evidence-based selection criteria of Long Châu</w:t>
            </w:r>
          </w:p>
        </w:tc>
      </w:tr>
    </w:tbl>
    <w:p>
      <w:pPr>
        <w:spacing w:before="40" w:after="120"/>
      </w:pP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EEF2FF"/>
            <w:tcBorders>
              <w:top w:val="none" w:sz="6" w:color="auto"/>
              <w:bottom w:val="none" w:sz="6" w:color="auto"/>
              <w:left w:val="none" w:sz="6" w:color="auto"/>
              <w:right w:val="none" w:sz="6" w:color="auto"/>
            </w:tcBorders>
          </w:tcPr>
          <w:p>
            <w:pPr>
              <w:spacing w:before="80" w:after="80"/>
              <w:ind w:left="85"/>
            </w:pPr>
            <w:r>
              <w:rPr>
                <w:rFonts w:ascii="Calibri" w:hAnsi="Calibri"/>
                <w:b/>
                <w:i w:val="0"/>
                <w:color w:val="4338CA"/>
                <w:sz w:val="15"/>
              </w:rPr>
              <w:t>FPT RETAIL LONG CHÂU</w:t>
            </w:r>
          </w:p>
        </w:tc>
        <w:tc>
          <w:tcPr>
            <w:tcW w:type="dxa" w:w="4536"/>
            <w:tcBorders>
              <w:top w:val="none" w:sz="6" w:color="auto"/>
              <w:bottom w:val="none" w:sz="6" w:color="auto"/>
              <w:left w:val="none" w:sz="6" w:color="auto"/>
              <w:right w:val="none" w:sz="6" w:color="auto"/>
            </w:tcBorders>
          </w:tcPr>
          <w:p>
            <w:pPr>
              <w:spacing w:before="60" w:after="60"/>
              <w:ind w:left="113"/>
            </w:pPr>
            <w:r>
              <w:rPr>
                <w:rFonts w:ascii="Calibri" w:hAnsi="Calibri"/>
                <w:b/>
                <w:i w:val="0"/>
                <w:color w:val="111827"/>
                <w:sz w:val="21"/>
              </w:rPr>
              <w:t>FPT Retail Q1/2026 Profit Surges 73% — Long Châu Pharmacy Chain Drives Dominant Growth</w:t>
            </w:r>
          </w:p>
        </w:tc>
      </w:tr>
    </w:tbl>
    <w:p>
      <w:pPr>
        <w:spacing w:before="40" w:after="40"/>
        <w:ind w:left="170"/>
      </w:pPr>
      <w:r>
        <w:rPr>
          <w:rFonts w:ascii="Calibri" w:hAnsi="Calibri"/>
          <w:b w:val="0"/>
          <w:i/>
          <w:color w:val="6B7280"/>
          <w:sz w:val="18"/>
        </w:rPr>
        <w:t>FPT Retail reported a 73% year-on-year net profit increase in Q1/2026, primarily driven by the Long Châu pharmacy chain's aggressive network expansion, higher prescription and OTC drug revenues, and improved gross margins through direct manufacturer negotiations and optimized product portfolio management.[Source]</w:t>
      </w:r>
    </w:p>
    <w:p>
      <w:pPr>
        <w:spacing w:before="20" w:after="40"/>
        <w:ind w:left="170"/>
      </w:pPr>
      <w:r>
        <w:rPr>
          <w:rFonts w:ascii="Calibri" w:hAnsi="Calibri"/>
          <w:b/>
          <w:i w:val="0"/>
          <w:color w:val="991B1B"/>
          <w:sz w:val="17"/>
        </w:rPr>
        <w:t>⚠️ Negative Impact — Long Châu's accelerating growth intensifies retail pharmacy channel competition, directly pressuring Davipharm's shelf presence and pricing power</w:t>
      </w:r>
    </w:p>
    <w:tbl>
      <w:tblPr>
        <w:tblStyle w:val="TableGrid"/>
        <w:tblW w:type="auto" w:w="0"/>
        <w:tblLook w:firstColumn="1" w:firstRow="1" w:lastColumn="0" w:lastRow="0" w:noHBand="0" w:noVBand="1" w:val="04A0"/>
      </w:tblPr>
      <w:tblGrid>
        <w:gridCol w:w="9072"/>
      </w:tblGrid>
      <w:tr>
        <w:tc>
          <w:tcPr>
            <w:tcW w:type="dxa" w:w="9072"/>
            <w:shd w:val="clear" w:color="auto" w:fill="F8FAFC"/>
            <w:tcBorders>
              <w:top w:val="none" w:sz="6" w:color="auto"/>
              <w:bottom w:val="none" w:sz="6" w:color="auto"/>
              <w:left w:val="single" w:sz="12" w:color="003B71"/>
              <w:right w:val="none" w:sz="6" w:color="auto"/>
            </w:tcBorders>
          </w:tcPr>
          <w:p>
            <w:pPr>
              <w:spacing w:before="60" w:after="60"/>
              <w:ind w:left="142"/>
            </w:pPr>
            <w:r>
              <w:rPr>
                <w:rFonts w:ascii="Calibri" w:hAnsi="Calibri"/>
                <w:b/>
                <w:i w:val="0"/>
                <w:color w:val="003B71"/>
                <w:sz w:val="17"/>
              </w:rPr>
              <w:t xml:space="preserve">Strategy  </w:t>
            </w:r>
            <w:r>
              <w:rPr>
                <w:rFonts w:ascii="Calibri" w:hAnsi="Calibri"/>
                <w:b w:val="0"/>
                <w:i w:val="0"/>
                <w:color w:val="334155"/>
                <w:sz w:val="17"/>
              </w:rPr>
              <w:t>Direct Threat:Long Châu's 73% profit growth and 3,000+ outlet network significantly strengthens its bargaining power over manufacturers, creating downward pressure on Davipharm's wholesale pricing and payment terms. ForEmpagliflozin— a high-growth diabetes segment — Long Châu may prioritize lower-cost international generics unless Davipharm maintains competitive pricing and margin-sharing policies.Strategic Opportunity:Long Châu's rapid expansion creates strong demand for reliable domestic supply, particularly for sensitive, high-margin products likeTadalafilandDapoxetine, where Long Châu needs trusted local manufacturing partners for quality assurance and regulatory compliance. Davipharm should proactively negotiate preferred or exclusive supply agreements for these SKUs, bundled with pharmacist training programs.Recommended Actions:(1) Develop a differentiated value proposition for the Long Châu channel featuring Empagliflozin + medication adherence support bundles; (2)</w:t>
            </w:r>
          </w:p>
        </w:tc>
      </w:tr>
    </w:tbl>
    <w:p>
      <w:pPr>
        <w:spacing w:before="40" w:after="120"/>
      </w:pPr>
    </w:p>
    <w:p>
      <w:r>
        <w:br w:type="page"/>
      </w:r>
    </w:p>
    <w:p>
      <w:pPr>
        <w:spacing w:before="320" w:after="120"/>
        <w:pBdr>
          <w:bottom w:val="single" w:sz="8" w:color="003B71"/>
        </w:pBdr>
      </w:pPr>
      <w:r>
        <w:rPr>
          <w:rFonts w:ascii="Calibri" w:hAnsi="Calibri"/>
          <w:b/>
          <w:i w:val="0"/>
          <w:color w:val="003B71"/>
          <w:sz w:val="22"/>
        </w:rPr>
        <w:t>PRODUCT PORTFOLIO</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701"/>
            <w:shd w:val="clear" w:color="auto" w:fill="003B71"/>
          </w:tcPr>
          <w:p>
            <w:pPr>
              <w:spacing w:before="80" w:after="80"/>
              <w:ind w:left="85"/>
            </w:pPr>
            <w:r>
              <w:rPr>
                <w:rFonts w:ascii="Calibri" w:hAnsi="Calibri"/>
                <w:b/>
                <w:i w:val="0"/>
                <w:color w:val="FFFFFF"/>
                <w:sz w:val="17"/>
              </w:rPr>
              <w:t>Product</w:t>
            </w:r>
          </w:p>
        </w:tc>
        <w:tc>
          <w:tcPr>
            <w:tcW w:type="dxa" w:w="2381"/>
            <w:shd w:val="clear" w:color="auto" w:fill="003B71"/>
          </w:tcPr>
          <w:p>
            <w:pPr>
              <w:spacing w:before="80" w:after="80"/>
              <w:ind w:left="85"/>
            </w:pPr>
            <w:r>
              <w:rPr>
                <w:rFonts w:ascii="Calibri" w:hAnsi="Calibri"/>
                <w:b/>
                <w:i w:val="0"/>
                <w:color w:val="FFFFFF"/>
                <w:sz w:val="17"/>
              </w:rPr>
              <w:t>Active · Indication</w:t>
            </w:r>
          </w:p>
        </w:tc>
        <w:tc>
          <w:tcPr>
            <w:tcW w:type="dxa" w:w="1134"/>
            <w:shd w:val="clear" w:color="auto" w:fill="003B71"/>
          </w:tcPr>
          <w:p>
            <w:pPr>
              <w:spacing w:before="80" w:after="80"/>
              <w:ind w:left="85"/>
            </w:pPr>
            <w:r>
              <w:rPr>
                <w:rFonts w:ascii="Calibri" w:hAnsi="Calibri"/>
                <w:b/>
                <w:i w:val="0"/>
                <w:color w:val="FFFFFF"/>
                <w:sz w:val="17"/>
              </w:rPr>
              <w:t>Price</w:t>
            </w:r>
          </w:p>
        </w:tc>
        <w:tc>
          <w:tcPr>
            <w:tcW w:type="dxa" w:w="1247"/>
            <w:shd w:val="clear" w:color="auto" w:fill="003B71"/>
          </w:tcPr>
          <w:p>
            <w:pPr>
              <w:spacing w:before="80" w:after="80"/>
              <w:ind w:left="85"/>
            </w:pPr>
            <w:r>
              <w:rPr>
                <w:rFonts w:ascii="Calibri" w:hAnsi="Calibri"/>
                <w:b/>
                <w:i w:val="0"/>
                <w:color w:val="FFFFFF"/>
                <w:sz w:val="17"/>
              </w:rPr>
              <w:t>Status</w:t>
            </w:r>
          </w:p>
        </w:tc>
        <w:tc>
          <w:tcPr>
            <w:tcW w:type="dxa" w:w="2608"/>
            <w:shd w:val="clear" w:color="auto" w:fill="003B71"/>
          </w:tcPr>
          <w:p>
            <w:pPr>
              <w:spacing w:before="80" w:after="80"/>
              <w:ind w:left="85"/>
            </w:pPr>
            <w:r>
              <w:rPr>
                <w:rFonts w:ascii="Calibri" w:hAnsi="Calibri"/>
                <w:b/>
                <w:i w:val="0"/>
                <w:color w:val="FFFFFF"/>
                <w:sz w:val="17"/>
              </w:rPr>
              <w:t>Strategic Note</w:t>
            </w:r>
          </w:p>
        </w:tc>
      </w:tr>
      <w:tr>
        <w:tc>
          <w:tcPr>
            <w:tcW w:type="dxa" w:w="1701"/>
          </w:tcPr>
          <w:p>
            <w:pPr>
              <w:spacing w:before="60" w:after="60"/>
              <w:ind w:left="85"/>
            </w:pPr>
            <w:r>
              <w:rPr>
                <w:rFonts w:ascii="Calibri" w:hAnsi="Calibri"/>
                <w:b/>
                <w:i w:val="0"/>
                <w:color w:val="003B71"/>
                <w:sz w:val="17"/>
              </w:rPr>
              <w:t>Empagliflozin</w:t>
            </w:r>
          </w:p>
        </w:tc>
        <w:tc>
          <w:tcPr>
            <w:tcW w:type="dxa" w:w="2381"/>
          </w:tcPr>
          <w:p>
            <w:pPr>
              <w:spacing w:before="60" w:after="60"/>
              <w:ind w:left="85"/>
            </w:pPr>
            <w:r>
              <w:rPr>
                <w:rFonts w:ascii="Calibri" w:hAnsi="Calibri"/>
                <w:b w:val="0"/>
                <w:i w:val="0"/>
                <w:color w:val="374151"/>
                <w:sz w:val="17"/>
              </w:rPr>
              <w:t>Tiểu đường / Suy tim</w:t>
            </w:r>
          </w:p>
        </w:tc>
        <w:tc>
          <w:tcPr>
            <w:tcW w:type="dxa" w:w="1134"/>
          </w:tcPr>
          <w:p>
            <w:pPr>
              <w:spacing w:before="60" w:after="60"/>
              <w:ind w:left="85"/>
            </w:pPr>
            <w:r>
              <w:rPr>
                <w:rFonts w:ascii="Calibri" w:hAnsi="Calibri"/>
                <w:b w:val="0"/>
                <w:i w:val="0"/>
                <w:color w:val="374151"/>
                <w:sz w:val="17"/>
              </w:rPr>
              <w:t>Cơ hội cao</w:t>
            </w:r>
          </w:p>
        </w:tc>
        <w:tc>
          <w:tcPr>
            <w:tcW w:type="dxa" w:w="1247"/>
            <w:shd w:val="clear" w:color="auto" w:fill="EFF6FF"/>
          </w:tcPr>
          <w:p>
            <w:pPr>
              <w:spacing w:before="60" w:after="60"/>
              <w:ind w:left="85"/>
            </w:pPr>
            <w:r>
              <w:rPr>
                <w:rFonts w:ascii="Calibri" w:hAnsi="Calibri"/>
                <w:b/>
                <w:i w:val="0"/>
                <w:color w:val="0056D2"/>
                <w:sz w:val="17"/>
              </w:rPr>
              <w:t>Ưu tiên thầu Nhóm 1</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Tadalafil</w:t>
            </w:r>
          </w:p>
        </w:tc>
        <w:tc>
          <w:tcPr>
            <w:tcW w:type="dxa" w:w="2381"/>
          </w:tcPr>
          <w:p>
            <w:pPr>
              <w:spacing w:before="60" w:after="60"/>
              <w:ind w:left="85"/>
            </w:pPr>
            <w:r>
              <w:rPr>
                <w:rFonts w:ascii="Calibri" w:hAnsi="Calibri"/>
                <w:b w:val="0"/>
                <w:i w:val="0"/>
                <w:color w:val="374151"/>
                <w:sz w:val="17"/>
              </w:rPr>
              <w:t>Nam khoa</w:t>
            </w:r>
          </w:p>
        </w:tc>
        <w:tc>
          <w:tcPr>
            <w:tcW w:type="dxa" w:w="1134"/>
          </w:tcPr>
          <w:p>
            <w:pPr>
              <w:spacing w:before="60" w:after="60"/>
              <w:ind w:left="85"/>
            </w:pPr>
            <w:r>
              <w:rPr>
                <w:rFonts w:ascii="Calibri" w:hAnsi="Calibri"/>
                <w:b w:val="0"/>
                <w:i w:val="0"/>
                <w:color w:val="374151"/>
                <w:sz w:val="17"/>
              </w:rPr>
              <w:t>Cạnh tranh</w:t>
            </w:r>
          </w:p>
        </w:tc>
        <w:tc>
          <w:tcPr>
            <w:tcW w:type="dxa" w:w="1247"/>
            <w:shd w:val="clear" w:color="auto" w:fill="EFF6FF"/>
          </w:tcPr>
          <w:p>
            <w:pPr>
              <w:spacing w:before="60" w:after="60"/>
              <w:ind w:left="85"/>
            </w:pPr>
            <w:r>
              <w:rPr>
                <w:rFonts w:ascii="Calibri" w:hAnsi="Calibri"/>
                <w:b/>
                <w:i w:val="0"/>
                <w:color w:val="0056D2"/>
                <w:sz w:val="17"/>
              </w:rPr>
              <w:t>Theo dõi giá Sun Pharma</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Dapoxetine</w:t>
            </w:r>
          </w:p>
        </w:tc>
        <w:tc>
          <w:tcPr>
            <w:tcW w:type="dxa" w:w="2381"/>
          </w:tcPr>
          <w:p>
            <w:pPr>
              <w:spacing w:before="60" w:after="60"/>
              <w:ind w:left="85"/>
            </w:pPr>
            <w:r>
              <w:rPr>
                <w:rFonts w:ascii="Calibri" w:hAnsi="Calibri"/>
                <w:b w:val="0"/>
                <w:i w:val="0"/>
                <w:color w:val="374151"/>
                <w:sz w:val="17"/>
              </w:rPr>
              <w:t>Nam khoa</w:t>
            </w:r>
          </w:p>
        </w:tc>
        <w:tc>
          <w:tcPr>
            <w:tcW w:type="dxa" w:w="1134"/>
          </w:tcPr>
          <w:p>
            <w:pPr>
              <w:spacing w:before="60" w:after="60"/>
              <w:ind w:left="85"/>
            </w:pPr>
            <w:r>
              <w:rPr>
                <w:rFonts w:ascii="Calibri" w:hAnsi="Calibri"/>
                <w:b w:val="0"/>
                <w:i w:val="0"/>
                <w:color w:val="374151"/>
                <w:sz w:val="17"/>
              </w:rPr>
              <w:t>Ổn  VNDịnh</w:t>
            </w:r>
          </w:p>
        </w:tc>
        <w:tc>
          <w:tcPr>
            <w:tcW w:type="dxa" w:w="1247"/>
            <w:shd w:val="clear" w:color="auto" w:fill="EFF6FF"/>
          </w:tcPr>
          <w:p>
            <w:pPr>
              <w:spacing w:before="60" w:after="60"/>
              <w:ind w:left="85"/>
            </w:pPr>
            <w:r>
              <w:rPr>
                <w:rFonts w:ascii="Calibri" w:hAnsi="Calibri"/>
                <w:b/>
                <w:i w:val="0"/>
                <w:color w:val="0056D2"/>
                <w:sz w:val="17"/>
              </w:rPr>
              <w:t>Kiểm tra Long Châu listing</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Cytisine</w:t>
            </w:r>
          </w:p>
        </w:tc>
        <w:tc>
          <w:tcPr>
            <w:tcW w:type="dxa" w:w="2381"/>
          </w:tcPr>
          <w:p>
            <w:pPr>
              <w:spacing w:before="60" w:after="60"/>
              <w:ind w:left="85"/>
            </w:pPr>
            <w:r>
              <w:rPr>
                <w:rFonts w:ascii="Calibri" w:hAnsi="Calibri"/>
                <w:b w:val="0"/>
                <w:i w:val="0"/>
                <w:color w:val="374151"/>
                <w:sz w:val="17"/>
              </w:rPr>
              <w:t>Cai thuốc lá</w:t>
            </w:r>
          </w:p>
        </w:tc>
        <w:tc>
          <w:tcPr>
            <w:tcW w:type="dxa" w:w="1134"/>
          </w:tcPr>
          <w:p>
            <w:pPr>
              <w:spacing w:before="60" w:after="60"/>
              <w:ind w:left="85"/>
            </w:pPr>
            <w:r>
              <w:rPr>
                <w:rFonts w:ascii="Calibri" w:hAnsi="Calibri"/>
                <w:b w:val="0"/>
                <w:i w:val="0"/>
                <w:color w:val="374151"/>
                <w:sz w:val="17"/>
              </w:rPr>
              <w:t>Pre-launch</w:t>
            </w:r>
          </w:p>
        </w:tc>
        <w:tc>
          <w:tcPr>
            <w:tcW w:type="dxa" w:w="1247"/>
            <w:shd w:val="clear" w:color="auto" w:fill="EFF6FF"/>
          </w:tcPr>
          <w:p>
            <w:pPr>
              <w:spacing w:before="60" w:after="60"/>
              <w:ind w:left="85"/>
            </w:pPr>
            <w:r>
              <w:rPr>
                <w:rFonts w:ascii="Calibri" w:hAnsi="Calibri"/>
                <w:b/>
                <w:i w:val="0"/>
                <w:color w:val="0056D2"/>
                <w:sz w:val="17"/>
              </w:rPr>
              <w:t>Q4/2026 – Cơ hội vàng</w:t>
            </w:r>
          </w:p>
        </w:tc>
        <w:tc>
          <w:tcPr>
            <w:tcW w:type="dxa" w:w="2608"/>
          </w:tcPr>
          <w:p>
            <w:pPr>
              <w:spacing w:before="60" w:after="60"/>
              <w:ind w:left="85"/>
            </w:pPr>
            <w:r>
              <w:rPr>
                <w:rFonts w:ascii="Calibri" w:hAnsi="Calibri"/>
                <w:b w:val="0"/>
                <w:i w:val="0"/>
                <w:color w:val="374151"/>
                <w:sz w:val="17"/>
              </w:rPr>
            </w:r>
          </w:p>
        </w:tc>
      </w:tr>
      <w:tr>
        <w:tc>
          <w:tcPr>
            <w:tcW w:type="dxa" w:w="1701"/>
          </w:tcPr>
          <w:p>
            <w:pPr>
              <w:spacing w:before="60" w:after="60"/>
              <w:ind w:left="85"/>
            </w:pPr>
            <w:r>
              <w:rPr>
                <w:rFonts w:ascii="Calibri" w:hAnsi="Calibri"/>
                <w:b/>
                <w:i w:val="0"/>
                <w:color w:val="003B71"/>
                <w:sz w:val="17"/>
              </w:rPr>
              <w:t>Metilone</w:t>
            </w:r>
          </w:p>
        </w:tc>
        <w:tc>
          <w:tcPr>
            <w:tcW w:type="dxa" w:w="2381"/>
          </w:tcPr>
          <w:p>
            <w:pPr>
              <w:spacing w:before="60" w:after="60"/>
              <w:ind w:left="85"/>
            </w:pPr>
            <w:r>
              <w:rPr>
                <w:rFonts w:ascii="Calibri" w:hAnsi="Calibri"/>
                <w:b w:val="0"/>
                <w:i w:val="0"/>
                <w:color w:val="374151"/>
                <w:sz w:val="17"/>
              </w:rPr>
              <w:t>Kháng viêm</w:t>
            </w:r>
          </w:p>
        </w:tc>
        <w:tc>
          <w:tcPr>
            <w:tcW w:type="dxa" w:w="1134"/>
          </w:tcPr>
          <w:p>
            <w:pPr>
              <w:spacing w:before="60" w:after="60"/>
              <w:ind w:left="85"/>
            </w:pPr>
            <w:r>
              <w:rPr>
                <w:rFonts w:ascii="Calibri" w:hAnsi="Calibri"/>
                <w:b w:val="0"/>
                <w:i w:val="0"/>
                <w:color w:val="374151"/>
                <w:sz w:val="17"/>
              </w:rPr>
              <w:t>Ổn  VNDịnh</w:t>
            </w:r>
          </w:p>
        </w:tc>
        <w:tc>
          <w:tcPr>
            <w:tcW w:type="dxa" w:w="1247"/>
            <w:shd w:val="clear" w:color="auto" w:fill="EFF6FF"/>
          </w:tcPr>
          <w:p>
            <w:pPr>
              <w:spacing w:before="60" w:after="60"/>
              <w:ind w:left="85"/>
            </w:pPr>
            <w:r>
              <w:rPr>
                <w:rFonts w:ascii="Calibri" w:hAnsi="Calibri"/>
                <w:b/>
                <w:i w:val="0"/>
                <w:color w:val="0056D2"/>
                <w:sz w:val="17"/>
              </w:rPr>
              <w:t>Duy trì kênh ETC</w:t>
            </w:r>
          </w:p>
        </w:tc>
        <w:tc>
          <w:tcPr>
            <w:tcW w:type="dxa" w:w="2608"/>
          </w:tcPr>
          <w:p>
            <w:pPr>
              <w:spacing w:before="60" w:after="60"/>
              <w:ind w:left="85"/>
            </w:pPr>
            <w:r>
              <w:rPr>
                <w:rFonts w:ascii="Calibri" w:hAnsi="Calibri"/>
                <w:b w:val="0"/>
                <w:i w:val="0"/>
                <w:color w:val="374151"/>
                <w:sz w:val="17"/>
              </w:rPr>
            </w:r>
          </w:p>
        </w:tc>
      </w:tr>
    </w:tbl>
    <w:p>
      <w:pPr>
        <w:spacing w:after="200"/>
      </w:pPr>
    </w:p>
    <w:p>
      <w:pPr>
        <w:spacing w:before="320" w:after="120"/>
        <w:pBdr>
          <w:bottom w:val="single" w:sz="8" w:color="003B71"/>
        </w:pBdr>
      </w:pPr>
      <w:r>
        <w:rPr>
          <w:rFonts w:ascii="Calibri" w:hAnsi="Calibri"/>
          <w:b/>
          <w:i w:val="0"/>
          <w:color w:val="003B71"/>
          <w:sz w:val="22"/>
        </w:rPr>
        <w:t>TOP 5 MOST SEARCHED PRODUCTS — DAVIPHARM.INFO</w:t>
      </w:r>
    </w:p>
    <w:p>
      <w:pPr>
        <w:spacing w:before="40" w:after="60"/>
      </w:pPr>
      <w:r>
        <w:rPr>
          <w:rFonts w:ascii="Calibri" w:hAnsi="Calibri"/>
          <w:b w:val="0"/>
          <w:i/>
          <w:color w:val="9CA3AF"/>
          <w:sz w:val="17"/>
        </w:rPr>
        <w:t>Google Search Console  ·  Last 30 days  ·  Data: 11/05/2026</w:t>
      </w:r>
    </w:p>
    <w:p>
      <w:pPr>
        <w:spacing w:before="120" w:after="120"/>
        <w:jc w:val="center"/>
      </w:pPr>
      <w:r>
        <w:drawing>
          <wp:inline xmlns:a="http://schemas.openxmlformats.org/drawingml/2006/main" xmlns:pic="http://schemas.openxmlformats.org/drawingml/2006/picture">
            <wp:extent cx="5580000" cy="244421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444219"/>
                    </a:xfrm>
                    <a:prstGeom prst="rect"/>
                  </pic:spPr>
                </pic:pic>
              </a:graphicData>
            </a:graphic>
          </wp:inline>
        </w:drawing>
      </w:r>
    </w:p>
    <w:p>
      <w:r>
        <w:br w:type="page"/>
      </w:r>
    </w:p>
    <w:p>
      <w:pPr>
        <w:spacing w:before="320" w:after="120"/>
        <w:pBdr>
          <w:bottom w:val="single" w:sz="8" w:color="003B71"/>
        </w:pBdr>
      </w:pPr>
      <w:r>
        <w:rPr>
          <w:rFonts w:ascii="Calibri" w:hAnsi="Calibri"/>
          <w:b/>
          <w:i w:val="0"/>
          <w:color w:val="003B71"/>
          <w:sz w:val="22"/>
        </w:rPr>
        <w:t>ACTION RECOMMENDATIONS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454"/>
            <w:shd w:val="clear" w:color="auto" w:fill="003B71"/>
            <w:tcBorders>
              <w:top w:val="none" w:sz="6" w:color="auto"/>
              <w:bottom w:val="none" w:sz="6" w:color="auto"/>
              <w:left w:val="none" w:sz="6" w:color="auto"/>
              <w:right w:val="none" w:sz="6" w:color="auto"/>
            </w:tcBorders>
          </w:tcPr>
          <w:p>
            <w:pPr>
              <w:spacing w:before="80" w:after="80"/>
              <w:ind w:left="0"/>
              <w:jc w:val="center"/>
            </w:pPr>
          </w:p>
        </w:tc>
        <w:tc>
          <w:tcPr>
            <w:tcW w:type="dxa" w:w="4422"/>
            <w:shd w:val="clear" w:color="auto" w:fill="003B71"/>
            <w:tcBorders>
              <w:top w:val="none" w:sz="6" w:color="auto"/>
              <w:bottom w:val="none" w:sz="6" w:color="auto"/>
              <w:left w:val="none" w:sz="6" w:color="auto"/>
              <w:right w:val="none" w:sz="6" w:color="auto"/>
            </w:tcBorders>
          </w:tcPr>
          <w:p>
            <w:pPr>
              <w:spacing w:before="80" w:after="80"/>
              <w:ind w:left="85"/>
              <w:jc w:val="left"/>
            </w:pPr>
            <w:r>
              <w:rPr>
                <w:rFonts w:ascii="Calibri" w:hAnsi="Calibri"/>
                <w:b/>
                <w:i w:val="0"/>
                <w:color w:val="FFFFFF"/>
                <w:sz w:val="17"/>
              </w:rPr>
              <w:t>Strategic Action</w:t>
            </w:r>
          </w:p>
        </w:tc>
        <w:tc>
          <w:tcPr>
            <w:tcW w:type="dxa" w:w="1417"/>
            <w:shd w:val="clear" w:color="auto" w:fill="003B7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Team</w:t>
            </w:r>
          </w:p>
        </w:tc>
        <w:tc>
          <w:tcPr>
            <w:tcW w:type="dxa" w:w="1134"/>
            <w:shd w:val="clear" w:color="auto" w:fill="003B7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Source</w:t>
            </w:r>
          </w:p>
        </w:tc>
        <w:tc>
          <w:tcPr>
            <w:tcW w:type="dxa" w:w="1644"/>
            <w:shd w:val="clear" w:color="auto" w:fill="003B71"/>
            <w:tcBorders>
              <w:top w:val="none" w:sz="6" w:color="auto"/>
              <w:bottom w:val="none" w:sz="6" w:color="auto"/>
              <w:left w:val="none" w:sz="6" w:color="auto"/>
              <w:right w:val="none" w:sz="6" w:color="auto"/>
            </w:tcBorders>
          </w:tcPr>
          <w:p>
            <w:pPr>
              <w:spacing w:before="80" w:after="80"/>
              <w:ind w:left="0"/>
              <w:jc w:val="center"/>
            </w:pPr>
            <w:r>
              <w:rPr>
                <w:rFonts w:ascii="Calibri" w:hAnsi="Calibri"/>
                <w:b/>
                <w:i w:val="0"/>
                <w:color w:val="FFFFFF"/>
                <w:sz w:val="17"/>
              </w:rPr>
              <w:t>Priority</w:t>
            </w:r>
          </w:p>
        </w:tc>
      </w:tr>
      <w:tr>
        <w:tc>
          <w:tcPr>
            <w:tcW w:type="dxa" w:w="454"/>
            <w:shd w:val="clear" w:color="auto" w:fill="DCFCE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FFF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High — Qualify for Group 1 tenders with EU-GMP dossier</w:t>
            </w:r>
          </w:p>
        </w:tc>
        <w:tc>
          <w:tcPr>
            <w:tcW w:type="dxa" w:w="1417"/>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RA &amp; Marketing</w:t>
            </w:r>
          </w:p>
        </w:tc>
        <w:tc>
          <w:tcPr>
            <w:tcW w:type="dxa" w:w="1134"/>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Tendering Policy</w:t>
            </w:r>
          </w:p>
        </w:tc>
        <w:tc>
          <w:tcPr>
            <w:tcW w:type="dxa" w:w="1644"/>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22C55E"/>
                <w:sz w:val="17"/>
              </w:rPr>
              <w:t>🔴 High</w:t>
            </w:r>
          </w:p>
        </w:tc>
      </w:tr>
      <w:tr>
        <w:tc>
          <w:tcPr>
            <w:tcW w:type="dxa" w:w="454"/>
            <w:shd w:val="clear" w:color="auto" w:fill="DCFCE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AFB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High — Negotiate group-level deal, not store-by-store</w:t>
            </w:r>
          </w:p>
        </w:tc>
        <w:tc>
          <w:tcPr>
            <w:tcW w:type="dxa" w:w="1417"/>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Sales</w:t>
            </w:r>
          </w:p>
        </w:tc>
        <w:tc>
          <w:tcPr>
            <w:tcW w:type="dxa" w:w="1134"/>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Long Châu Expansion</w:t>
            </w:r>
          </w:p>
        </w:tc>
        <w:tc>
          <w:tcPr>
            <w:tcW w:type="dxa" w:w="1644"/>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22C55E"/>
                <w:sz w:val="17"/>
              </w:rPr>
              <w:t>🔴 High</w:t>
            </w:r>
          </w:p>
        </w:tc>
      </w:tr>
      <w:tr>
        <w:tc>
          <w:tcPr>
            <w:tcW w:type="dxa" w:w="454"/>
            <w:shd w:val="clear" w:color="auto" w:fill="DCFCE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FFF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Medium — Review API stock and alternative suppliers</w:t>
            </w:r>
          </w:p>
        </w:tc>
        <w:tc>
          <w:tcPr>
            <w:tcW w:type="dxa" w:w="1417"/>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Supply Chain</w:t>
            </w:r>
          </w:p>
        </w:tc>
        <w:tc>
          <w:tcPr>
            <w:tcW w:type="dxa" w:w="1134"/>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Raw Material Import</w:t>
            </w:r>
          </w:p>
        </w:tc>
        <w:tc>
          <w:tcPr>
            <w:tcW w:type="dxa" w:w="1644"/>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22C55E"/>
                <w:sz w:val="17"/>
              </w:rPr>
              <w:t>🟡 Medium</w:t>
            </w:r>
          </w:p>
        </w:tc>
      </w:tr>
      <w:tr>
        <w:tc>
          <w:tcPr>
            <w:tcW w:type="dxa" w:w="454"/>
            <w:shd w:val="clear" w:color="auto" w:fill="DCFCE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AFB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Medium — Monitor Sun Pharma pricing for Tadalafil</w:t>
            </w:r>
          </w:p>
        </w:tc>
        <w:tc>
          <w:tcPr>
            <w:tcW w:type="dxa" w:w="1417"/>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Marketing</w:t>
            </w:r>
          </w:p>
        </w:tc>
        <w:tc>
          <w:tcPr>
            <w:tcW w:type="dxa" w:w="1134"/>
            <w:shd w:val="clear" w:color="auto" w:fill="FAFB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Sản phẩm Tadalafil</w:t>
            </w:r>
          </w:p>
        </w:tc>
        <w:tc>
          <w:tcPr>
            <w:tcW w:type="dxa" w:w="1644"/>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22C55E"/>
                <w:sz w:val="17"/>
              </w:rPr>
              <w:t>🟡 Medium</w:t>
            </w:r>
          </w:p>
        </w:tc>
      </w:tr>
      <w:tr>
        <w:tc>
          <w:tcPr>
            <w:tcW w:type="dxa" w:w="454"/>
            <w:shd w:val="clear" w:color="auto" w:fill="DCFCE7"/>
            <w:tcBorders>
              <w:top w:val="none" w:sz="6" w:color="auto"/>
              <w:bottom w:val="none" w:sz="6" w:color="auto"/>
              <w:left w:val="none" w:sz="6" w:color="auto"/>
              <w:right w:val="none" w:sz="6" w:color="auto"/>
            </w:tcBorders>
          </w:tcPr>
          <w:p>
            <w:pPr>
              <w:spacing w:before="100" w:after="100"/>
              <w:jc w:val="center"/>
            </w:pPr>
            <w:r>
              <w:t>🟢</w:t>
            </w:r>
          </w:p>
        </w:tc>
        <w:tc>
          <w:tcPr>
            <w:tcW w:type="dxa" w:w="4422"/>
            <w:shd w:val="clear" w:color="auto" w:fill="FFFFFF"/>
            <w:tcBorders>
              <w:top w:val="none" w:sz="6" w:color="auto"/>
              <w:bottom w:val="none" w:sz="6" w:color="auto"/>
              <w:left w:val="none" w:sz="6" w:color="auto"/>
              <w:right w:val="none" w:sz="6" w:color="auto"/>
            </w:tcBorders>
          </w:tcPr>
          <w:p>
            <w:pPr>
              <w:spacing w:before="80" w:after="80"/>
              <w:ind w:left="85"/>
            </w:pPr>
            <w:r>
              <w:rPr>
                <w:rFonts w:ascii="Calibri" w:hAnsi="Calibri"/>
                <w:b/>
                <w:i w:val="0"/>
                <w:color w:val="111827"/>
                <w:sz w:val="18"/>
              </w:rPr>
              <w:t>Low — Plan Q4/2026 Cytisine launch; assess cessation market</w:t>
            </w:r>
          </w:p>
        </w:tc>
        <w:tc>
          <w:tcPr>
            <w:tcW w:type="dxa" w:w="1417"/>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003B71"/>
                <w:sz w:val="17"/>
              </w:rPr>
              <w:t>Strategy</w:t>
            </w:r>
          </w:p>
        </w:tc>
        <w:tc>
          <w:tcPr>
            <w:tcW w:type="dxa" w:w="1134"/>
            <w:shd w:val="clear" w:color="auto" w:fill="FFFFFF"/>
            <w:tcBorders>
              <w:top w:val="none" w:sz="6" w:color="auto"/>
              <w:bottom w:val="none" w:sz="6" w:color="auto"/>
              <w:left w:val="none" w:sz="6" w:color="auto"/>
              <w:right w:val="none" w:sz="6" w:color="auto"/>
            </w:tcBorders>
          </w:tcPr>
          <w:p>
            <w:pPr>
              <w:spacing w:before="80" w:after="80"/>
              <w:jc w:val="center"/>
            </w:pPr>
            <w:r>
              <w:rPr>
                <w:rFonts w:ascii="Calibri" w:hAnsi="Calibri"/>
                <w:b w:val="0"/>
                <w:i w:val="0"/>
                <w:color w:val="6B7280"/>
                <w:sz w:val="17"/>
              </w:rPr>
              <w:t>Portfolio Cytisine</w:t>
            </w:r>
          </w:p>
        </w:tc>
        <w:tc>
          <w:tcPr>
            <w:tcW w:type="dxa" w:w="1644"/>
            <w:shd w:val="clear" w:color="auto" w:fill="DCFCE7"/>
            <w:tcBorders>
              <w:top w:val="none" w:sz="6" w:color="auto"/>
              <w:bottom w:val="none" w:sz="6" w:color="auto"/>
              <w:left w:val="none" w:sz="6" w:color="auto"/>
              <w:right w:val="none" w:sz="6" w:color="auto"/>
            </w:tcBorders>
          </w:tcPr>
          <w:p>
            <w:pPr>
              <w:spacing w:before="80" w:after="80"/>
              <w:jc w:val="center"/>
            </w:pPr>
            <w:r>
              <w:rPr>
                <w:rFonts w:ascii="Calibri" w:hAnsi="Calibri"/>
                <w:b/>
                <w:i w:val="0"/>
                <w:color w:val="22C55E"/>
                <w:sz w:val="17"/>
              </w:rPr>
              <w:t>🟢 Low</w:t>
            </w:r>
          </w:p>
        </w:tc>
      </w:tr>
    </w:tbl>
    <w:p>
      <w:pPr>
        <w:spacing w:after="200"/>
      </w:pPr>
    </w:p>
    <w:tbl>
      <w:tblPr>
        <w:tblStyle w:val="TableGrid"/>
        <w:tblW w:type="auto" w:w="0"/>
        <w:tblLook w:firstColumn="1" w:firstRow="1" w:lastColumn="0" w:lastRow="0" w:noHBand="0" w:noVBand="1" w:val="04A0"/>
      </w:tblPr>
      <w:tblGrid>
        <w:gridCol w:w="9072"/>
      </w:tblGrid>
      <w:tr>
        <w:tc>
          <w:tcPr>
            <w:tcW w:type="dxa" w:w="9072"/>
            <w:shd w:val="clear" w:color="auto" w:fill="F1F5F9"/>
            <w:tcBorders>
              <w:top w:val="none" w:sz="6" w:color="auto"/>
              <w:bottom w:val="none" w:sz="6" w:color="auto"/>
              <w:left w:val="none" w:sz="6" w:color="auto"/>
              <w:right w:val="none" w:sz="6" w:color="auto"/>
            </w:tcBorders>
          </w:tcPr>
          <w:p>
            <w:pPr>
              <w:spacing w:before="120" w:after="120"/>
              <w:jc w:val="center"/>
            </w:pPr>
            <w:r>
              <w:rPr>
                <w:rFonts w:ascii="Calibri" w:hAnsi="Calibri"/>
                <w:b w:val="0"/>
                <w:i/>
                <w:color w:val="9CA3AF"/>
                <w:sz w:val="15"/>
              </w:rPr>
              <w:t>Davipharm Market Intelligence System  ·  Powered by Claude Sonnet 4.6  ·  11/05/2026  ·  CONFIDENTIAL</w:t>
            </w:r>
          </w:p>
        </w:tc>
      </w:tr>
    </w:tbl>
    <w:sectPr w:rsidR="00FC693F" w:rsidRPr="0006063C" w:rsidSect="00034616">
      <w:footerReference w:type="default" r:id="rId9"/>
      <w:pgSz w:w="11906" w:h="16838"/>
      <w:pgMar w:top="1134" w:right="141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9CA3AF"/>
        <w:sz w:val="16"/>
      </w:rPr>
      <w:fldChar w:fldCharType="begin"/>
      <w:instrText xml:space="preserve">PAGE</w:instrText>
      <w:fldChar w:fldCharType="separate"/>
      <w:fldChar w:fldCharType="end"/>
    </w:r>
    <w:r>
      <w:rPr>
        <w:rFonts w:ascii="Calibri" w:hAnsi="Calibri"/>
        <w:b w:val="0"/>
        <w:i w:val="0"/>
        <w:color w:val="9CA3AF"/>
        <w:sz w:val="16"/>
      </w:rPr>
      <w:t xml:space="preserve"> / </w:t>
    </w:r>
    <w:r>
      <w:rPr>
        <w:rFonts w:ascii="Calibri" w:hAnsi="Calibri"/>
        <w:b w:val="0"/>
        <w:i w:val="0"/>
        <w:color w:val="9CA3AF"/>
        <w:sz w:val="16"/>
      </w:rPr>
      <w:fldChar w:fldCharType="begin"/>
      <w:instrText xml:space="preserve">NUMPAGES</w:instrText>
      <w:fldChar w:fldCharType="separate"/>
      <w:fldChar w:fldCharType="end"/>
    </w:r>
    <w:r>
      <w:rPr>
        <w:rFonts w:ascii="Calibri" w:hAnsi="Calibri"/>
        <w:b w:val="0"/>
        <w:i w:val="0"/>
        <w:color w:val="9CA3AF"/>
        <w:sz w:val="14"/>
      </w:rPr>
      <w:t xml:space="preserve">  |  Davipharm Market Intelligence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