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ook w:firstColumn="1" w:firstRow="1" w:lastColumn="0" w:lastRow="0" w:noHBand="0" w:noVBand="1" w:val="04A0"/>
      </w:tblPr>
      <w:tblGrid>
        <w:gridCol w:w="9072"/>
      </w:tblGrid>
      <w:tr>
        <w:tc>
          <w:tcPr>
            <w:tcW w:type="dxa" w:w="9071"/>
            <w:shd w:val="clear" w:color="auto" w:fill="003B71"/>
            <w:tcBorders>
              <w:top w:val="none" w:sz="6" w:color="auto"/>
              <w:bottom w:val="none" w:sz="6" w:color="auto"/>
              <w:left w:val="none" w:sz="6" w:color="auto"/>
              <w:right w:val="none" w:sz="6" w:color="auto"/>
            </w:tcBorders>
          </w:tcPr>
          <w:p>
            <w:pPr>
              <w:spacing w:before="120" w:after="120"/>
              <w:ind w:left="170"/>
            </w:pPr>
            <w:r>
              <w:rPr>
                <w:rFonts w:ascii="Calibri" w:hAnsi="Calibri"/>
                <w:b/>
                <w:i w:val="0"/>
                <w:color w:val="FFFFFF"/>
                <w:sz w:val="16"/>
              </w:rPr>
              <w:t>MARKET INTELLIGENCE  ·  BÁO CÁO TUẦN</w:t>
            </w:r>
          </w:p>
        </w:tc>
      </w:tr>
    </w:tbl>
    <w:p>
      <w:pPr>
        <w:spacing w:before="720" w:after="360"/>
        <w:jc w:val="center"/>
      </w:pPr>
      <w:r>
        <w:drawing>
          <wp:inline xmlns:a="http://schemas.openxmlformats.org/drawingml/2006/main" xmlns:pic="http://schemas.openxmlformats.org/drawingml/2006/picture">
            <wp:extent cx="3060000" cy="484691"/>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3060000" cy="484691"/>
                    </a:xfrm>
                    <a:prstGeom prst="rect"/>
                  </pic:spPr>
                </pic:pic>
              </a:graphicData>
            </a:graphic>
          </wp:inline>
        </w:drawing>
      </w:r>
    </w:p>
    <w:tbl>
      <w:tblPr>
        <w:tblW w:type="auto" w:w="0"/>
        <w:jc w:val="center"/>
        <w:tblLook w:firstColumn="1" w:firstRow="1" w:lastColumn="0" w:lastRow="0" w:noHBand="0" w:noVBand="1" w:val="04A0"/>
      </w:tblPr>
      <w:tblGrid>
        <w:gridCol w:w="4536"/>
        <w:gridCol w:w="4536"/>
      </w:tblGrid>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BÁO CÁO</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i w:val="0"/>
                <w:color w:val="003B71"/>
                <w:sz w:val="19"/>
              </w:rPr>
              <w:t>Market Intelligence Report</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TUẦN</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12/05 – 18/05/2026</w:t>
            </w:r>
          </w:p>
        </w:tc>
      </w:tr>
      <w:tr>
        <w:tc>
          <w:tcPr>
            <w:tcW w:type="dxa" w:w="1984"/>
            <w:shd w:val="clear" w:color="auto" w:fill="F1F5F9"/>
            <w:tcBorders>
              <w:top w:val="none" w:sz="6" w:color="auto"/>
              <w:bottom w:val="none" w:sz="6" w:color="auto"/>
              <w:left w:val="none" w:sz="6" w:color="auto"/>
              <w:right w:val="none" w:sz="6" w:color="auto"/>
            </w:tcBorders>
          </w:tcPr>
          <w:p>
            <w:pPr>
              <w:spacing w:before="80" w:after="80"/>
              <w:ind w:left="113"/>
            </w:pPr>
            <w:r>
              <w:rPr>
                <w:rFonts w:ascii="Calibri" w:hAnsi="Calibri"/>
                <w:b/>
                <w:i w:val="0"/>
                <w:color w:val="9CA3AF"/>
                <w:sz w:val="16"/>
              </w:rPr>
              <w:t>NGÀY</w:t>
            </w:r>
          </w:p>
        </w:tc>
        <w:tc>
          <w:tcPr>
            <w:tcW w:type="dxa" w:w="4819"/>
            <w:tcBorders>
              <w:top w:val="none" w:sz="6" w:color="auto"/>
              <w:bottom w:val="none" w:sz="6" w:color="auto"/>
              <w:left w:val="none" w:sz="6" w:color="auto"/>
              <w:right w:val="none" w:sz="6" w:color="auto"/>
            </w:tcBorders>
          </w:tcPr>
          <w:p>
            <w:pPr>
              <w:spacing w:before="80" w:after="80"/>
              <w:ind w:left="113"/>
            </w:pPr>
            <w:r>
              <w:rPr>
                <w:rFonts w:ascii="Calibri" w:hAnsi="Calibri"/>
                <w:b w:val="0"/>
                <w:i w:val="0"/>
                <w:color w:val="111827"/>
                <w:sz w:val="19"/>
              </w:rPr>
              <w:t>11/05/2026</w:t>
            </w:r>
          </w:p>
        </w:tc>
      </w:tr>
    </w:tbl>
    <w:p>
      <w:pPr>
        <w:spacing w:before="360"/>
        <w:jc w:val="center"/>
      </w:pPr>
      <w:r>
        <w:rPr>
          <w:rFonts w:ascii="Calibri" w:hAnsi="Calibri"/>
          <w:b w:val="0"/>
          <w:i/>
          <w:color w:val="CCCCCC"/>
          <w:sz w:val="16"/>
        </w:rPr>
        <w:t>Adamed Group  ·  Davipharm  ·  CONFIDENTIAL</w:t>
      </w:r>
    </w:p>
    <w:p>
      <w:r>
        <w:br w:type="page"/>
      </w:r>
    </w:p>
    <w:p>
      <w:pPr>
        <w:spacing w:before="320" w:after="120"/>
        <w:pBdr>
          <w:bottom w:val="single" w:sz="8" w:color="003B71"/>
        </w:pBdr>
      </w:pPr>
      <w:r>
        <w:rPr>
          <w:rFonts w:ascii="Calibri" w:hAnsi="Calibri"/>
          <w:b/>
          <w:i w:val="0"/>
          <w:color w:val="003B71"/>
          <w:sz w:val="22"/>
        </w:rPr>
        <w:t>TÓM TẮT ĐIỀU HÀNH</w:t>
      </w:r>
    </w:p>
    <w:tbl>
      <w:tblPr>
        <w:tblStyle w:val="TableGrid"/>
        <w:tblW w:type="auto" w:w="0"/>
        <w:jc w:val="left"/>
        <w:tblLook w:firstColumn="1" w:firstRow="1" w:lastColumn="0" w:lastRow="0" w:noHBand="0" w:noVBand="1" w:val="04A0"/>
      </w:tblPr>
      <w:tblGrid>
        <w:gridCol w:w="9072"/>
      </w:tblGrid>
      <w:tr>
        <w:tc>
          <w:tcPr>
            <w:tcW w:type="dxa" w:w="9071"/>
            <w:shd w:val="clear" w:color="auto" w:fill="EFF6FF"/>
            <w:tcBorders>
              <w:top w:val="none" w:sz="6" w:color="auto"/>
              <w:bottom w:val="none" w:sz="6" w:color="auto"/>
              <w:left w:val="single" w:sz="18" w:color="0056D2"/>
              <w:right w:val="none" w:sz="6" w:color="auto"/>
            </w:tcBorders>
          </w:tcPr>
          <w:p>
            <w:pPr>
              <w:spacing w:before="80" w:after="80"/>
              <w:ind w:left="170"/>
            </w:pPr>
            <w:r>
              <w:rPr>
                <w:rFonts w:ascii="Calibri" w:hAnsi="Calibri"/>
                <w:b/>
                <w:i w:val="0"/>
                <w:color w:val="111827"/>
                <w:sz w:val="20"/>
              </w:rPr>
              <w:t>Tuần này: Cải cách đấu thầu mở cơ hội cho Davipharm trong khi Long Châu tăng tốc mở rộng tạo áp lực kênh phân phối.</w:t>
            </w:r>
          </w:p>
        </w:tc>
      </w:tr>
    </w:tbl>
    <w:p>
      <w:pPr>
        <w:spacing w:before="80"/>
      </w:pPr>
    </w:p>
    <w:p>
      <w:pPr>
        <w:spacing w:after="80"/>
      </w:pPr>
    </w:p>
    <w:tbl>
      <w:tblPr>
        <w:tblStyle w:val="TableGrid"/>
        <w:tblW w:type="auto" w:w="0"/>
        <w:jc w:val="left"/>
        <w:tblLook w:firstColumn="1" w:firstRow="1" w:lastColumn="0" w:lastRow="0" w:noHBand="0" w:noVBand="1" w:val="04A0"/>
      </w:tblPr>
      <w:tblGrid>
        <w:gridCol w:w="4536"/>
        <w:gridCol w:w="4536"/>
      </w:tblGrid>
      <w:tr>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3B71"/>
                <w:sz w:val="17"/>
              </w:rPr>
              <w:t>💡  INSIGHTS TUẦN NÀY</w:t>
            </w:r>
          </w:p>
          <w:p>
            <w:pPr>
              <w:spacing w:before="20" w:after="60"/>
              <w:ind w:left="142"/>
            </w:pPr>
            <w:r>
              <w:rPr>
                <w:rFonts w:ascii="Calibri" w:hAnsi="Calibri"/>
                <w:b w:val="0"/>
                <w:i w:val="0"/>
                <w:color w:val="111827"/>
                <w:sz w:val="17"/>
              </w:rPr>
              <w:t>▸  Đấu thầu:Tiêu chí không còn là "giá thấp nhất" — nhà sản xuất GMP-EU được hưởng lợi trực tiếp.</w:t>
            </w:r>
          </w:p>
          <w:p>
            <w:pPr>
              <w:spacing w:before="20" w:after="60"/>
              <w:ind w:left="142"/>
            </w:pPr>
            <w:r>
              <w:rPr>
                <w:rFonts w:ascii="Calibri" w:hAnsi="Calibri"/>
                <w:b w:val="0"/>
                <w:i w:val="0"/>
                <w:color w:val="111827"/>
                <w:sz w:val="17"/>
              </w:rPr>
              <w:t>▸  Kênh OTC:FPT Retail lãi tăng 73% Q1/2026, Long Châu dẫn dắt tăng trưởng — đàm phán shelf-space ngày càng khó.</w:t>
            </w:r>
          </w:p>
          <w:p>
            <w:pPr>
              <w:spacing w:before="20" w:after="60"/>
              <w:ind w:left="142"/>
            </w:pPr>
            <w:r>
              <w:rPr>
                <w:rFonts w:ascii="Calibri" w:hAnsi="Calibri"/>
                <w:b w:val="0"/>
                <w:i w:val="0"/>
                <w:color w:val="111827"/>
                <w:sz w:val="17"/>
              </w:rPr>
              <w:t>▸  Cung ứng:Nhập khẩu nguyên liệu Q1/2026 giảm mạnh — cần đánh giá lại chuỗi cung ứng API.</w:t>
            </w:r>
          </w:p>
          <w:p>
            <w:pPr>
              <w:spacing w:before="20" w:after="60"/>
              <w:ind w:left="142"/>
            </w:pPr>
            <w:r>
              <w:rPr>
                <w:rFonts w:ascii="Calibri" w:hAnsi="Calibri"/>
                <w:b w:val="0"/>
                <w:i w:val="0"/>
                <w:color w:val="111827"/>
                <w:sz w:val="17"/>
              </w:rPr>
              <w:t>▸  P1RA/Marketing: Chuẩn bị hồ sơ EU-GMP để đủ điều kiện thầu Nhóm 1 theo quy định mới.</w:t>
            </w:r>
          </w:p>
          <w:p>
            <w:pPr>
              <w:spacing w:before="20" w:after="60"/>
              <w:ind w:left="142"/>
            </w:pPr>
            <w:r>
              <w:rPr>
                <w:rFonts w:ascii="Calibri" w:hAnsi="Calibri"/>
                <w:b w:val="0"/>
                <w:i w:val="0"/>
                <w:color w:val="111827"/>
                <w:sz w:val="17"/>
              </w:rPr>
              <w:t>▸  P2Sales: Đàm phán partnership cấp tập đoàn với Long Châu — tránh đàm phán từng điểm bán.</w:t>
            </w:r>
          </w:p>
          <w:p>
            <w:pPr>
              <w:spacing w:before="20" w:after="60"/>
              <w:ind w:left="142"/>
            </w:pPr>
            <w:r>
              <w:rPr>
                <w:rFonts w:ascii="Calibri" w:hAnsi="Calibri"/>
                <w:b w:val="0"/>
                <w:i w:val="0"/>
                <w:color w:val="111827"/>
                <w:sz w:val="17"/>
              </w:rPr>
              <w:t>▸  P3Supply Chain: Rà soát tồn kho API, đánh giá nguồn cung thay thế trong bối cảnh nhập khẩu giảm.</w:t>
            </w:r>
          </w:p>
        </w:tc>
        <w:tc>
          <w:tcPr>
            <w:tcW w:type="dxa" w:w="4535"/>
            <w:tcBorders>
              <w:top w:val="none" w:sz="6" w:color="auto"/>
              <w:bottom w:val="none" w:sz="6" w:color="auto"/>
              <w:left w:val="none" w:sz="6" w:color="auto"/>
              <w:right w:val="none" w:sz="6" w:color="auto"/>
            </w:tcBorders>
            <w:shd w:val="clear" w:color="auto" w:fill="FAFBFF"/>
          </w:tcPr>
          <w:p>
            <w:pPr>
              <w:spacing w:before="80"/>
              <w:ind w:left="113"/>
            </w:pPr>
            <w:r>
              <w:rPr>
                <w:rFonts w:ascii="Calibri" w:hAnsi="Calibri"/>
                <w:b/>
                <w:i w:val="0"/>
                <w:color w:val="0056D2"/>
                <w:sz w:val="17"/>
              </w:rPr>
              <w:t>⚡  HÀNH ĐỘNG ƯU TIÊN</w:t>
            </w:r>
          </w:p>
          <w:p>
            <w:pPr>
              <w:spacing w:before="20" w:after="60"/>
              <w:ind w:left="142"/>
            </w:pPr>
            <w:r>
              <w:rPr>
                <w:rFonts w:ascii="Calibri" w:hAnsi="Calibri"/>
                <w:b w:val="0"/>
                <w:i w:val="0"/>
                <w:color w:val="0056D2"/>
                <w:sz w:val="17"/>
              </w:rPr>
              <w:t>→  P1RA/Marketing: Chuẩn bị hồ sơ EU-GMP để đủ điều kiện thầu Nhóm 1 theo quy định mới.</w:t>
            </w:r>
          </w:p>
          <w:p>
            <w:pPr>
              <w:spacing w:before="20" w:after="60"/>
              <w:ind w:left="142"/>
            </w:pPr>
            <w:r>
              <w:rPr>
                <w:rFonts w:ascii="Calibri" w:hAnsi="Calibri"/>
                <w:b w:val="0"/>
                <w:i w:val="0"/>
                <w:color w:val="0056D2"/>
                <w:sz w:val="17"/>
              </w:rPr>
              <w:t>→  P2Sales: Đàm phán partnership cấp tập đoàn với Long Châu — tránh đàm phán từng điểm bán.</w:t>
            </w:r>
          </w:p>
          <w:p>
            <w:pPr>
              <w:spacing w:before="20" w:after="60"/>
              <w:ind w:left="142"/>
            </w:pPr>
            <w:r>
              <w:rPr>
                <w:rFonts w:ascii="Calibri" w:hAnsi="Calibri"/>
                <w:b w:val="0"/>
                <w:i w:val="0"/>
                <w:color w:val="0056D2"/>
                <w:sz w:val="17"/>
              </w:rPr>
              <w:t>→  P3Supply Chain: Rà soát tồn kho API, đánh giá nguồn cung thay thế trong bối cảnh nhập khẩu giảm.</w:t>
            </w:r>
          </w:p>
        </w:tc>
      </w:tr>
    </w:tbl>
    <w:p>
      <w:pPr>
        <w:spacing w:after="120"/>
      </w:pPr>
    </w:p>
    <w:p>
      <w:pPr>
        <w:spacing w:before="200" w:after="80"/>
      </w:pPr>
      <w:r>
        <w:rPr>
          <w:rFonts w:ascii="Calibri" w:hAnsi="Calibri"/>
          <w:b/>
          <w:i w:val="0"/>
          <w:color w:val="9CA3AF"/>
          <w:sz w:val="20"/>
        </w:rPr>
        <w:t>📡  Đề cập thương hiệu — Davipharm · Adamed</w:t>
      </w:r>
    </w:p>
    <w:tbl>
      <w:tblPr>
        <w:tblStyle w:val="TableGrid"/>
        <w:tblW w:type="auto" w:w="0"/>
        <w:jc w:val="left"/>
        <w:tblLook w:firstColumn="1" w:firstRow="1" w:lastColumn="0" w:lastRow="0" w:noHBand="0" w:noVBand="1" w:val="04A0"/>
      </w:tblPr>
      <w:tblGrid>
        <w:gridCol w:w="9072"/>
      </w:tblGrid>
      <w:tr>
        <w:tc>
          <w:tcPr>
            <w:tcW w:type="dxa" w:w="9071"/>
            <w:shd w:val="clear" w:color="auto" w:fill="F0FDF4"/>
            <w:tcBorders>
              <w:top w:val="none" w:sz="6" w:color="auto"/>
              <w:bottom w:val="none" w:sz="6" w:color="auto"/>
              <w:left w:val="single" w:sz="18" w:color="166534"/>
              <w:right w:val="none" w:sz="6" w:color="auto"/>
            </w:tcBorders>
          </w:tcPr>
          <w:p>
            <w:pPr>
              <w:spacing w:before="80" w:after="80"/>
              <w:ind w:left="170"/>
            </w:pPr>
            <w:r>
              <w:rPr>
                <w:rFonts w:ascii="Calibri" w:hAnsi="Calibri"/>
                <w:b/>
                <w:i w:val="0"/>
                <w:color w:val="111827"/>
                <w:sz w:val="18"/>
              </w:rPr>
              <w:t>✅ Không có đề cập tiêu cực nào về Davipharm hoặc Adamed trong 7 ngày qua. Thương hiệu đang ở trạng thái yên tĩnh — không cần xử lý khủng hoảng truyền thông.</w:t>
            </w:r>
          </w:p>
        </w:tc>
      </w:tr>
    </w:tbl>
    <w:p>
      <w:pPr>
        <w:spacing w:before="80"/>
      </w:pPr>
    </w:p>
    <w:p>
      <w:pPr>
        <w:spacing w:after="40"/>
      </w:pPr>
    </w:p>
    <w:p>
      <w:pPr>
        <w:spacing w:before="320" w:after="120"/>
        <w:pBdr>
          <w:bottom w:val="single" w:sz="8" w:color="003B71"/>
        </w:pBdr>
      </w:pPr>
      <w:r>
        <w:rPr>
          <w:rFonts w:ascii="Calibri" w:hAnsi="Calibri"/>
          <w:b/>
          <w:i w:val="0"/>
          <w:color w:val="003B71"/>
          <w:sz w:val="22"/>
        </w:rPr>
        <w:t>TÂM LÝ THỊ TRƯỜNG TUẦN NÀY</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3118"/>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Nhóm tin</w:t>
            </w:r>
          </w:p>
        </w:tc>
        <w:tc>
          <w:tcPr>
            <w:tcW w:type="dxa" w:w="1701"/>
            <w:shd w:val="clear" w:color="auto" w:fill="166534"/>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Tích cực</w:t>
            </w:r>
          </w:p>
        </w:tc>
        <w:tc>
          <w:tcPr>
            <w:tcW w:type="dxa" w:w="1984"/>
            <w:shd w:val="clear" w:color="auto" w:fill="37415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Trung tính</w:t>
            </w:r>
          </w:p>
        </w:tc>
        <w:tc>
          <w:tcPr>
            <w:tcW w:type="dxa" w:w="2268"/>
            <w:shd w:val="clear" w:color="auto" w:fill="991B1B"/>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  Rủi ro / Thách thức</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Chính sách &amp; PL</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2</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1</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5F7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Tin ngành Dược</w:t>
            </w:r>
          </w:p>
        </w:tc>
        <w:tc>
          <w:tcPr>
            <w:tcW w:type="dxa" w:w="1701"/>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166534"/>
                <w:sz w:val="22"/>
              </w:rPr>
              <w:t>3</w:t>
            </w:r>
          </w:p>
        </w:tc>
        <w:tc>
          <w:tcPr>
            <w:tcW w:type="dxa" w:w="1984"/>
            <w:shd w:val="clear" w:color="auto" w:fill="F3F4F6"/>
            <w:tcBorders>
              <w:top w:val="none" w:sz="6" w:color="auto"/>
              <w:bottom w:val="none" w:sz="6" w:color="auto"/>
              <w:left w:val="none" w:sz="6" w:color="auto"/>
              <w:right w:val="none" w:sz="6" w:color="auto"/>
            </w:tcBorders>
          </w:tcPr>
          <w:p>
            <w:pPr>
              <w:spacing w:before="80" w:after="80"/>
              <w:jc w:val="center"/>
            </w:pPr>
            <w:r>
              <w:rPr>
                <w:rFonts w:ascii="Calibri" w:hAnsi="Calibri"/>
                <w:b/>
                <w:i w:val="0"/>
                <w:color w:val="374151"/>
                <w:sz w:val="22"/>
              </w:rPr>
              <w:t>2</w:t>
            </w:r>
          </w:p>
        </w:tc>
        <w:tc>
          <w:tcPr>
            <w:tcW w:type="dxa" w:w="2268"/>
            <w:shd w:val="clear" w:color="auto" w:fill="FFF0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r>
      <w:tr>
        <w:tc>
          <w:tcPr>
            <w:tcW w:type="dxa" w:w="3118"/>
            <w:shd w:val="clear" w:color="auto" w:fill="FAFBFF"/>
            <w:tcBorders>
              <w:top w:val="none" w:sz="6" w:color="auto"/>
              <w:bottom w:val="none" w:sz="6" w:color="auto"/>
              <w:left w:val="none" w:sz="6" w:color="auto"/>
              <w:right w:val="none" w:sz="6" w:color="auto"/>
            </w:tcBorders>
          </w:tcPr>
          <w:p>
            <w:pPr>
              <w:spacing w:before="100" w:after="100"/>
              <w:ind w:left="113"/>
            </w:pPr>
            <w:r>
              <w:rPr>
                <w:rFonts w:ascii="Calibri" w:hAnsi="Calibri"/>
                <w:b/>
                <w:i w:val="0"/>
                <w:color w:val="111827"/>
                <w:sz w:val="18"/>
              </w:rPr>
              <w:t>Đối thủ</w:t>
            </w:r>
          </w:p>
        </w:tc>
        <w:tc>
          <w:tcPr>
            <w:tcW w:type="dxa" w:w="1701"/>
            <w:shd w:val="clear" w:color="auto" w:fill="E9FBF0"/>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1984"/>
            <w:shd w:val="clear" w:color="auto" w:fill="F9FAFB"/>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CCCCCC"/>
                <w:sz w:val="22"/>
              </w:rPr>
              <w:t>—</w:t>
            </w:r>
          </w:p>
        </w:tc>
        <w:tc>
          <w:tcPr>
            <w:tcW w:type="dxa" w:w="2268"/>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991B1B"/>
                <w:sz w:val="22"/>
              </w:rPr>
              <w:t>3</w:t>
            </w:r>
          </w:p>
        </w:tc>
      </w:tr>
    </w:tbl>
    <w:p>
      <w:pPr>
        <w:spacing w:after="80"/>
      </w:pPr>
    </w:p>
    <w:p>
      <w:r>
        <w:br w:type="page"/>
      </w:r>
    </w:p>
    <w:p>
      <w:pPr>
        <w:spacing w:before="320" w:after="120"/>
        <w:pBdr>
          <w:bottom w:val="single" w:sz="8" w:color="003B71"/>
        </w:pBdr>
      </w:pPr>
      <w:r>
        <w:rPr>
          <w:rFonts w:ascii="Calibri" w:hAnsi="Calibri"/>
          <w:b/>
          <w:i w:val="0"/>
          <w:color w:val="003B71"/>
          <w:sz w:val="22"/>
        </w:rPr>
        <w:t>CHÍNH SÁCH &amp; PHÁP LÝ</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ĐẤU THẦU THUỐC</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Thuốc giá rẻ không còn chiếm ưu thế tuyệt đối trong đấu thầu</w:t>
            </w:r>
          </w:p>
        </w:tc>
      </w:tr>
    </w:tbl>
    <w:p>
      <w:pPr>
        <w:spacing w:before="40" w:after="40"/>
        <w:ind w:left="170"/>
      </w:pPr>
      <w:r>
        <w:rPr>
          <w:rFonts w:ascii="Calibri" w:hAnsi="Calibri"/>
          <w:b w:val="0"/>
          <w:i/>
          <w:color w:val="6B7280"/>
          <w:sz w:val="18"/>
        </w:rPr>
        <w:t>Các quy định đấu thầu thuốc mới đang dịch chuyển tiêu chí lựa chọn từ "giá thấp nhất" sang tổng hợp nhiều yếu tố như chất lượng, năng lực sản xuất và tiêu chuẩn GMP, tạo ra sân chơi bình đẳng hơn cho các nhà sản xuất dược phẩm trong nước đạt chuẩn cao.</w:t>
      </w:r>
    </w:p>
    <w:p>
      <w:pPr>
        <w:spacing w:before="20" w:after="40"/>
        <w:ind w:left="170"/>
      </w:pPr>
      <w:r>
        <w:rPr>
          <w:rFonts w:ascii="Calibri" w:hAnsi="Calibri"/>
          <w:b/>
          <w:i w:val="0"/>
          <w:color w:val="166534"/>
          <w:sz w:val="17"/>
        </w:rPr>
        <w:t>✅ Tích cực — Cơ hội lớn cho nhà sản xuất đạt chuẩn chất lượng cao</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Cơ hội chiến lược:Sự dịch chuyển tiêu chí đấu thầu từ "giá rẻ nhất" sang "giá trị tổng thể" là tin cực kỳ thuận lợi cho Davipharm — một nhà sản xuất đầu tư bài bản vào tiêu chuẩn EU-GMP/WHO-GMP. Trước đây, Davipharm thường bị cạnh tranh bởi các đối thủ cắt giảm chi phí sản xuất để thắng thầu bằng giá. Nay, lợi thế chất lượng trở thành vũ khí cạnh tranh hợp pháp trong đấu thầu.⚔️ Cạnh tranh với đối thủ trực tiếp (Imexpharm, DHG, Traphaco):Đây là cuộc đua mới về "hồ sơ năng lực". Imexpharm với chuẩn EU-GMP sẽ là đối thủ đáng gờm nhất trong phân khúc đấu thầu bệnh viện hạng cao. DHG và Traphaco có danh mục rộng nhưng cần đánh giá lại mức độ đạt chuẩn từng nhà máy. Davipharm cầnchủ động xây dựng hồ sơ năng lực chuẩn hóa(GMP certificates, stability data, bioequivalence studies) để tối đa hóa điểm kỹ thuật trong các gói thầu nhóm 1-2.📋 Hành động ưu tiên:(1) Rà soát toàn bộ danh mục sản phẩm để xác định SKU đủ điều kiện dự thầu nhóm 1 (EU-GMP); (2) Tăng cường đội ngũ đấu thầu chuyên biệt với năng lực soạn hồ sơ kỹ thuật vượt trội; (3) Định vị thương hiệu Davipharm = "Chất lượng châu Âu, Giá Việt Nam" trong truyền thông B2B với bệnh viện và Sở Y tế.</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CHÍNH SÁCH DƯỢC PHẨM VIỆT NAM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Mỹ nêu lo ngại về chính sách dược phẩm của Hàn Quốc - KBS WORLD Radio</w:t>
            </w:r>
          </w:p>
        </w:tc>
      </w:tr>
    </w:tbl>
    <w:p>
      <w:pPr>
        <w:spacing w:before="40" w:after="40"/>
        <w:ind w:left="170"/>
      </w:pPr>
      <w:r>
        <w:rPr>
          <w:rFonts w:ascii="Calibri" w:hAnsi="Calibri"/>
          <w:b w:val="0"/>
          <w:i/>
          <w:color w:val="6B7280"/>
          <w:sz w:val="18"/>
        </w:rPr>
        <w:t>Hoa Kỳ chính thức bày tỏ lo ngại với Hàn Quốc về các chính sách dược phẩm, bao gồm cơ chế định giá thuốc, điều kiện hoàn trả bảo hiểm y tế và rào cản tiếp cận thị trường đối với các sản phẩm dược phẩm nước ngoài. Đây là một phần trong khuôn khổ đàm phán thương mại song phương, phản ánh xu hướng các cường quốc ngày càng chú trọng đến minh bạch hóa chính sách dược phẩm toàn cầu.</w:t>
      </w:r>
    </w:p>
    <w:p>
      <w:pPr>
        <w:spacing w:before="20" w:after="40"/>
        <w:ind w:left="170"/>
      </w:pPr>
      <w:r>
        <w:rPr>
          <w:rFonts w:ascii="Calibri" w:hAnsi="Calibri"/>
          <w:b/>
          <w:i w:val="0"/>
          <w:color w:val="374151"/>
          <w:sz w:val="17"/>
        </w:rPr>
        <w:t>⚠️ Tác động gián tiếp — Tín hiệu cảnh báo chính sách cho thị trường Việt Nam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Sự kiện Mỹ gây áp lực lên chính sách dược phẩm Hàn Quốc là tín hiệu chiến lược quan trọng cho Davipharm trên nhiều chiều:1. Rủi ro chính sách tại Việt Nam:Việt Nam đang trong quá trình đàm phán và thực thi các FTA (EVFTA, CPTPP, UKVFTA). Áp lực tương tự từ các đối tác thương mại lớn có thể buộc Bộ Y tế điều chỉnh cơ chế đấu thầu, định giá và hoàn trả BHYT — ảnh hưởng trực tiếp đến danh mục generic của Davipharm.2. Cơ hội cho Empagliflozin &amp; Dapoxetine:Nếu chính sách hoàn trả BHYT được mở rộng theo hướng minh bạch hơn (dưới áp lực quốc tế), các sản phẩm generic chất lượng cao như Empagliflozin (điều trị đái tháo đường type 2) và Dapoxetine (rối loạn xuất tinh sớm) của Davipharm có cơ hội được đưa vào danh mục thanh toán BHYT, mở rộng tệp bệnh nhân tiếp cận.3. Tadalafil — Định vị OTC chiến lược:Trong bối cảnh chính sách hoàn trả có thể bị siết chặt hoặc tái cơ cấu, Tadalafil nên được Davipharm đẩy mạnh theo kênh OTC và ETC song song, giảm phụ thuộc vào đấu thầu bệnh viện.Khuyến nghị:Davipharm cần theo dõi sát diễn biến đàm phán thương mại Mỹ–Việt và chủ động tham gia các diễn đàn chính sách dược phẩm trong nước để bảo vệ lợi thế cạnh tranh của dòng sản phẩm generic nội địa.</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BỘ Y TẾ · ĐẤU THẦU &amp; MUA SẮM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Bộ trưởng Bộ Y tế thông tin về mua sắm, đấu thầu vaccine tiêm chủng mở rộng</w:t>
            </w:r>
          </w:p>
        </w:tc>
      </w:tr>
    </w:tbl>
    <w:p>
      <w:pPr>
        <w:spacing w:before="40" w:after="40"/>
        <w:ind w:left="170"/>
      </w:pPr>
      <w:r>
        <w:rPr>
          <w:rFonts w:ascii="Calibri" w:hAnsi="Calibri"/>
          <w:b w:val="0"/>
          <w:i/>
          <w:color w:val="6B7280"/>
          <w:sz w:val="18"/>
        </w:rPr>
        <w:t>Bộ trưởng Bộ Y tế đã cung cấp thông tin chính thức về quy trình mua sắm và đấu thầu vaccine trong Chương trình Tiêm chủng Mở rộng Quốc gia, nhấn mạnh yêu cầu minh bạch, đúng quy định pháp luật và đảm bảo nguồn cung ổn định cho người dân. Đây là tín hiệu cho thấy Chính phủ đang tăng cường giám sát và cải thiện cơ chế đấu thầu dược phẩm công.</w:t>
      </w:r>
    </w:p>
    <w:p>
      <w:pPr>
        <w:spacing w:before="20" w:after="40"/>
        <w:ind w:left="170"/>
      </w:pPr>
      <w:r>
        <w:rPr>
          <w:rFonts w:ascii="Calibri" w:hAnsi="Calibri"/>
          <w:b/>
          <w:i w:val="0"/>
          <w:color w:val="166534"/>
          <w:sz w:val="17"/>
        </w:rPr>
        <w:t>✅ Tích cực — Cải cách đấu thầu công tạo môi trường cạnh tranh minh bạch hơn cho doanh nghiệp dược nội địa</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Mặc dù bài báo tập trung vào vaccine — không phải phân khúc cốt lõi của Davipharm — nhưng tín hiệu cải cách đấu thầu công có tác động lan tỏa quan trọng:① Cơ hội hệ thống:Việc Bộ Y tế tăng cường minh bạch hóa quy trình đấu thầu (Thông tư 14, 15) tạo điều kiện thuận lợi hơn cho các sản phẩm generic chất lượng cao của Davipharm — đặc biệtEmpagliflozin(điều trị đái tháo đường type 2) vàTadalafil— tham gia đấu thầu bệnh viện nhóm 1–2 với lợi thế cạnh tranh về giá và tiêu chuẩn GMP.② Rủi ro cần theo dõi:Nếu cơ chế đấu thầu tập trung quốc gia được mở rộng sang các nhóm thuốc điều trị mãn tính (tim mạch, tiểu đường), áp lực giảm giá sẽ gia tăng — đòi hỏi Davipharm tối ưu hóa chi phí sản xuất và xây dựng hồ sơ năng lực đấu thầu vững chắc.③ Chiến lược đề xuất:Chủ động chuẩn bị hồ sơ kỹ thuật đầy đủ choDapoxetinevàEmpagliflozinđể sẵn sàng tham gia các gói thầu bệnh viện tuyến tỉnh/trung ương ngay khi danh mục đấu thầu tập trung được cập nhật trong Q3–Q4/2025.</w:t>
            </w:r>
          </w:p>
        </w:tc>
      </w:tr>
    </w:tbl>
    <w:p>
      <w:pPr>
        <w:spacing w:before="40" w:after="120"/>
      </w:pPr>
    </w:p>
    <w:p>
      <w:r>
        <w:br w:type="page"/>
      </w:r>
    </w:p>
    <w:p>
      <w:pPr>
        <w:spacing w:before="320" w:after="120"/>
        <w:pBdr>
          <w:bottom w:val="single" w:sz="8" w:color="003B71"/>
        </w:pBdr>
      </w:pPr>
      <w:r>
        <w:rPr>
          <w:rFonts w:ascii="Calibri" w:hAnsi="Calibri"/>
          <w:b/>
          <w:i w:val="0"/>
          <w:color w:val="003B71"/>
          <w:sz w:val="22"/>
        </w:rPr>
        <w:t>TIN NGÀNH DƯỢC</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THỊ TRƯỜNG DƯỢC PHẨM VIỆT NAM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Nhượng quyền chuỗi nhà thuốc: Hướng mở rộng thị trường gắn với chuẩn hóa quản trị dược phẩm</w:t>
            </w:r>
          </w:p>
        </w:tc>
      </w:tr>
    </w:tbl>
    <w:p>
      <w:pPr>
        <w:spacing w:before="40" w:after="40"/>
        <w:ind w:left="170"/>
      </w:pPr>
      <w:r>
        <w:rPr>
          <w:rFonts w:ascii="Calibri" w:hAnsi="Calibri"/>
          <w:b w:val="0"/>
          <w:i/>
          <w:color w:val="6B7280"/>
          <w:sz w:val="18"/>
        </w:rPr>
        <w:t>Mô hình nhượng quyền chuỗi nhà thuốc đang nổi lên như một xu hướng mở rộng thị trường bán lẻ dược phẩm tại Việt Nam, kết hợp giữa tăng trưởng điểm bán và chuẩn hóa quy trình quản trị, kiểm soát chất lượng thuốc theo tiêu chuẩn GPP. Các chuỗi lớn như Long Châu, Pharmacity đang đẩy mạnh mô hình này để nhanh chóng phủ rộng mạng lưới phân phối trên toàn quốc.</w:t>
      </w:r>
    </w:p>
    <w:p>
      <w:pPr>
        <w:spacing w:before="20" w:after="40"/>
        <w:ind w:left="170"/>
      </w:pPr>
      <w:r>
        <w:rPr>
          <w:rFonts w:ascii="Calibri" w:hAnsi="Calibri"/>
          <w:b/>
          <w:i w:val="0"/>
          <w:color w:val="166534"/>
          <w:sz w:val="17"/>
        </w:rPr>
        <w:t>⚡ Tác động Tích cực có Điều kiện — Mở rộng kênh phân phối tạo cơ hội tiếp cận thị trường rộng hơn cho nhà sản xuất, nhưng đi kèm áp lực đàm phán listing phí và shelf-space ngày càng tăng.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Quyền lực kênh (Channel Power) — Rủi ro cốt lõi cần theo dõi:Khi Long Châu và Pharmacity mở rộng mạng lưới nhượng quyền, quy mô điểm bán tăng nhanh đồng nghĩa với việc quyền lực đàm phán của các chuỗi này với nhà sản xuất ngày càng lớn hơn. Davipharm cần cảnh giác với 3 rủi ro chính: (1)Listing fee leo thang— chi phí để sản phẩm Davipharm xuất hiện trên kệ chuỗi nhượng quyền có thể tăng đáng kể; (2)Shelf-space bị thu hẹp— các chuỗi ưu tiên nhãn hàng riêng (private label) hoặc đối tác độc quyền, đẩy sản phẩm Davipharm xuống vị trí kém thuận lợi; (3)Áp lực chiết khấu— mô hình nhượng quyền cần biên lợi nhuận hấp dẫn cho franchisee, tạo áp lực giảm giá bán buôn từ nhà sản xuất.✅ Cơ hội chiến lược cho Davipharm:Ngược lại, sự chuẩn hóa GPP trong mô hình nhượng quyền là lợi thế cho Davipharm — các sản phẩm đạt chuẩn GMP-WHO, có hồ sơ chất lượng rõ ràng sẽ dễ được chấp thuận listing hơn. Davipharm nên: (1) Chủ động đàm phánpartnership agreementvới các chuỗi lớn ở cấp độ tập đoàn (không chỉ từng điểm bán) để đảm bảo shelf-space ổn định; (2) Phát triển danh mục sản phẩmOTC có thương hiệu mạnhđể tạo pull-demand từ người tiêu dùng, giảm phụ thuộc vào quyết định của chuỗi; (3) Xem xét hợp tác cung cấpprivate labelcó chọn lọc để duy trì doanh số sản lượng trong khi xây dựng thương hiệu riêng song song.</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THỊ TRƯỜNG DƯỢC PHẨM VIỆT NAM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3 tháng đầu năm 2026: Kim ngạch nhập khẩu nguyên phụ liệu dược phẩm của Việt Nam giảm mạnh</w:t>
            </w:r>
          </w:p>
        </w:tc>
      </w:tr>
    </w:tbl>
    <w:p>
      <w:pPr>
        <w:spacing w:before="40" w:after="40"/>
        <w:ind w:left="170"/>
      </w:pPr>
      <w:r>
        <w:rPr>
          <w:rFonts w:ascii="Calibri" w:hAnsi="Calibri"/>
          <w:b w:val="0"/>
          <w:i/>
          <w:color w:val="6B7280"/>
          <w:sz w:val="18"/>
        </w:rPr>
        <w:t>Theo số liệu từ Vinanet, kim ngạch nhập khẩu nguyên phụ liệu dược phẩm của Việt Nam trong 3 tháng đầu năm 2026 ghi nhận mức giảm đáng kể so với cùng kỳ năm trước. Điều này phản ánh sự thay đổi trong chuỗi cung ứng dược phẩm toàn cầu, áp lực tỷ giá, cũng như xu hướng các nhà sản xuất trong nước tìm kiếm nguồn nguyên liệu thay thế hoặc tối ưu hóa tồn kho.</w:t>
      </w:r>
    </w:p>
    <w:p>
      <w:pPr>
        <w:spacing w:before="20" w:after="40"/>
        <w:ind w:left="170"/>
      </w:pPr>
      <w:r>
        <w:rPr>
          <w:rFonts w:ascii="Calibri" w:hAnsi="Calibri"/>
          <w:b/>
          <w:i w:val="0"/>
          <w:color w:val="374151"/>
          <w:sz w:val="17"/>
        </w:rPr>
        <w:t>⚠️ Tác động Trung lập – Hai chiều: Rủi ro thiếu hụt nguyên liệu nhưng mở ra cơ hội tái cơ cấu chuỗi cung ứng và nâng cao lợi thế cạnh tranh nội địa</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Thách thức – Rủi ro chuỗi cung ứng:Sự sụt giảm nhập khẩu nguyên phụ liệu có thể báo hiệu tình trạng khan hiếm nguồn cung trong ngắn hạn, đặc biệt với các hoạt chất nhập từ Trung Quốc và Ấn Độ – hai thị trường cung cấp chính cho Davipharm. Nếu không có kế hoạch dự trữ chiến lược, Davipharm có nguy cơ gián đoạn sản xuất, ảnh hưởng đến tiến độ giao hàng cho các hợp đồng đấu thầu bệnh viện và nhà thuốc.🟡 Rủi ro chi phí &amp; giá thành:Khi nguồn cung nguyên liệu giảm, giá nguyên liệu thô có thể tăng do cạnh tranh thu mua giữa các nhà sản xuất nội địa (Imexpharm, DHG, Traphaco). Điều này tạo áp lực lên biên lợi nhuận gộp của Davipharm, đặc biệt trong bối cảnh đấu thầu thuốc generic vốn cạnh tranh về giá.🟢 Cơ hội chiến lược – Đa dạng hóa nguồn cung:Đây là thời điểm Davipharm nên đẩy nhanh chiến lược đa dạng hóa nhà cung cấp nguyên liệu, bao gồm tìm kiếm đối tác từ châu Âu (EU-GMP) để vừa giảm rủi ro địa chính trị vừa nâng cao tiêu chuẩn chất lượng – tạo lợi thế trong đấu thầu nhóm 1, nhóm 2.🟢 Lợi thế cạnh tranh so với đối thủ:Nếu Davipharm có tồn kho nguyên liệu tốt hơn hoặc hợp đồng dài hạn với nhà cung cấp, đây là cơ hội đểtăng thị phần đấu thầukhi các đối thủ như Imexpharm, DHG, Traphaco gặp khó khăn về nguồn nguyên liệu và buộc phải giảm sản lượng hoặc tăng giá bán.📌</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THỊ TRƯỜNG DƯỢC PHẨM VIỆT NAM</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Dược phẩm 2/9 đặt mục tiêu doanh thu trăm tỉ đồng, kiện toàn nhân sự cấp cao</w:t>
            </w:r>
          </w:p>
        </w:tc>
      </w:tr>
    </w:tbl>
    <w:p>
      <w:pPr>
        <w:spacing w:before="40" w:after="40"/>
        <w:ind w:left="170"/>
      </w:pPr>
      <w:r>
        <w:rPr>
          <w:rFonts w:ascii="Calibri" w:hAnsi="Calibri"/>
          <w:b w:val="0"/>
          <w:i/>
          <w:color w:val="6B7280"/>
          <w:sz w:val="18"/>
        </w:rPr>
        <w:t>Công ty Dược phẩm 2/9 (DNP) công bố mục tiêu doanh thu trăm tỉ đồng trong năm tài chính tới, đồng thời thực hiện kiện toàn nhân sự cấp cao nhằm tăng cường năng lực quản trị và thúc đẩy tăng trưởng. Đây là tín hiệu cho thấy các doanh nghiệp dược vừa và nhỏ trong nước đang tích cực tái cơ cấu để cạnh tranh trong bối cảnh thị trường ngày càng sôi động.</w:t>
      </w:r>
    </w:p>
    <w:p>
      <w:pPr>
        <w:spacing w:before="20" w:after="40"/>
        <w:ind w:left="170"/>
      </w:pPr>
      <w:r>
        <w:rPr>
          <w:rFonts w:ascii="Calibri" w:hAnsi="Calibri"/>
          <w:b/>
          <w:i w:val="0"/>
          <w:color w:val="374151"/>
          <w:sz w:val="17"/>
        </w:rPr>
        <w:t>⚠️ Trung lập – Tín hiệu cạnh tranh gián tiếp từ phân khúc dược nội địa tầm trung</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Bối cảnh cạnh tranh – Nhà sản xuất nội địa tầm trung đang trỗi dậy:Dược phẩm 2/9 không phải đối thủ trực tiếp lớn của Davipharm, nhưng động thái đặt mục tiêu doanh thu trăm tỉ và kiện toàn nhân sự cấp cao phản ánh xu hướngtái cơ cấu mạnh mẽcủa các nhà sản xuất dược nội địa quy mô vừa. Đây là tín hiệu cảnh báo sớm:làn sóng chuyên nghiệp hóađang lan rộng trong ngành, thu hẹp khoảng cách năng lực giữa các doanh nghiệp.⚔️ Cạnh tranh sản phẩm &amp; Đấu thầu:Khi DNP nâng cấp nhân sự và đặt mục tiêu tăng trưởng tham vọng, khả năng họ sẽmở rộng danh mục sản phẩmvà tích cực hơn trong các gói thầu bệnh viện (ETC channel) là rất cao. Davipharm cần rà soát các phân khúc sản phẩm có thể bị chồng lấn, đặc biệt ở nhóm generic phổ thông và các gói thầu địa phương tại khu vực phía Nam – nơi DNP có lợi thế địa lý.💡 Khuyến nghị chiến lược cho Davipharm:Củng cố vị thế thương hiệu:Đẩy mạnh định vị "chất lượng EU-GMP" để tạo khoảng cách rõ ràng với các đối thủ tầm trung đang nâng cấp.Ưu tiên đấu thầu chiến lược:Tập trung vào các gói thầu nhóm 1-2 (tiêu chí kỹ thuật cao) thay vì cạnh tranh giá ở nhóm generic thông thường.Theo dõi nhân sự DNP:Các lãnh đạo mới được bổ nhiệm có thể mang theo chiến lược từ các công ty dược lớn hơn – cần cập nhật thông tin tình báo cạnh tranh.Cơ hội M&amp;A/hợp tác:Sự tái cơ cấu của DNP cũng có thể mở ra cơ hội hợp tác phân phối hoặc nhượng quyền sản phẩm tại các thị trường ngách mà Davipharm chưa phủ sâu.</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FPT RETAIL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Long Châu dẫn đầu tăng trưởng FPT Retail, đặt lợi ích người dân làm trung tâm</w:t>
            </w:r>
          </w:p>
        </w:tc>
      </w:tr>
    </w:tbl>
    <w:p>
      <w:pPr>
        <w:spacing w:before="40" w:after="40"/>
        <w:ind w:left="170"/>
      </w:pPr>
      <w:r>
        <w:rPr>
          <w:rFonts w:ascii="Calibri" w:hAnsi="Calibri"/>
          <w:b w:val="0"/>
          <w:i/>
          <w:color w:val="6B7280"/>
          <w:sz w:val="18"/>
        </w:rPr>
        <w:t>Chuỗi nhà thuốc Long Châu (thuộc FPT Retail) tiếp tục là động lực tăng trưởng chủ lực, mở rộng mạng lưới và củng cố vị thế dẫn đầu thị trường bán lẻ dược phẩm tại Việt Nam. Chiến lược của Long Châu tập trung vào việc phục vụ lợi ích sức khỏe cộng đồng, gia tăng độ phủ điểm bán và nâng cao trải nghiệm khách hàng.</w:t>
      </w:r>
    </w:p>
    <w:p>
      <w:pPr>
        <w:spacing w:before="20" w:after="40"/>
        <w:ind w:left="170"/>
      </w:pPr>
      <w:r>
        <w:rPr>
          <w:rFonts w:ascii="Calibri" w:hAnsi="Calibri"/>
          <w:b/>
          <w:i w:val="0"/>
          <w:color w:val="166534"/>
          <w:sz w:val="17"/>
        </w:rPr>
        <w:t>⚡ Tác động Kép: Cơ hội mở rộng kênh phân phối — nhưng kèm rủi ro phụ thuộc &amp; áp lực đàm phán giá</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Quyền lực kênh (Channel Power):Sự tăng trưởng liên tục của Long Châu — hiện sở hữu hơn 1.800+ điểm bán trên toàn quốc — đang tái định hình cán cân quyền lực giữa nhà sản xuất và nhà bán lẻ. Khi Long Châu chiếm tỷ trọng ngày càng lớn trong doanh thu OTC của Davipharm, nhà bán lẻ này có thể yêu cầu chiết khấu cao hơn, điều kiện thanh toán dài hơn, hoặc độc quyền SKU nhất định — tạo ra rủi ro phụ thuộc kênh nghiêm trọng.📦 Shelf-space &amp; Danh mục sản phẩm:Với chiến lược "đặt lợi ích người dân làm trung tâm", Long Châu có xu hướng ưu tiên các sản phẩm có giá trị lâm sàng rõ ràng, giá cạnh tranh và nhận diện thương hiệu mạnh. Davipharm cần chủ động đàm phán vị trí shelf-space ưu tiên (eye-level, end-cap) cho các dòng sản phẩm chiến lược, đặc biệt là các nhóm vitamin, kháng sinh OTC và sản phẩm generic cao cấp.🤝 Khuyến nghị chiến lược:(1) Xây dựng chương trình đối tác chiến lược (Strategic Partnership Program) với Long Châu, bao gồm hỗ trợ đào tạo dược sĩ tư vấn về sản phẩm Davipharm; (2) Phát triển SKU độc quyền hoặc bundle pack dành riêng cho kênh Long Châu để tăng tính gắn kết; (3) Đầu tư vào dữ liệu sell-out từ Long Châu để tối ưu hóa dự báo nhu cầu và tránh tình trạng out-of-stock; (4) Đồng thời đa dạng hóa kênh phân phối (Pharmacity, nhà thuốc độc lập, kênh ETC) để giảm thiểu rủi ro phụ thuộc vào một kênh duy nhất.</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PHARMACITY</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Pharmacity: Khát vọng 'nối liền bản đồ y tế' và sứ mệnh phụng sự vì sức khỏe Việt</w:t>
            </w:r>
          </w:p>
        </w:tc>
      </w:tr>
    </w:tbl>
    <w:p>
      <w:pPr>
        <w:spacing w:before="40" w:after="40"/>
        <w:ind w:left="170"/>
      </w:pPr>
      <w:r>
        <w:rPr>
          <w:rFonts w:ascii="Calibri" w:hAnsi="Calibri"/>
          <w:b w:val="0"/>
          <w:i/>
          <w:color w:val="6B7280"/>
          <w:sz w:val="18"/>
        </w:rPr>
        <w:t>Pharmacity tiếp tục khẳng định tầm nhìn mở rộng mạng lưới chuỗi nhà thuốc trên toàn quốc, hướng đến mục tiêu phủ sóng rộng khắp các tỉnh thành, kể cả vùng sâu vùng xa, nhằm "nối liền bản đồ y tế" Việt Nam. Chuỗi này nhấn mạnh sứ mệnh cung cấp dịch vụ chăm sóc sức khỏe toàn diện, không chỉ bán thuốc mà còn tư vấn và kết nối bệnh nhân với hệ sinh thái y tế.</w:t>
      </w:r>
    </w:p>
    <w:p>
      <w:pPr>
        <w:spacing w:before="20" w:after="40"/>
        <w:ind w:left="170"/>
      </w:pPr>
      <w:r>
        <w:rPr>
          <w:rFonts w:ascii="Calibri" w:hAnsi="Calibri"/>
          <w:b/>
          <w:i w:val="0"/>
          <w:color w:val="166534"/>
          <w:sz w:val="17"/>
        </w:rPr>
        <w:t>⚡ Tác động Tích cực có Điều kiện — Cơ hội mở rộng kênh phân phối lớn, nhưng đi kèm rủi ro phụ thuộc và áp lực shelf-space</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Quyền lực kênh (Channel Power):Pharmacity mở rộng mạng lưới đồng nghĩa với việc chuỗi này ngày càng nắm giữ quyền lực lớn hơn trong chuỗi giá trị dược phẩm OTC. Khi Pharmacity "nối liền bản đồ y tế" — đặc biệt tại các tỉnh thành vùng sâu vùng xa — họ trở thành cổng tiếp cận người tiêu dùng không thể thiếu. Davipharm cần đánh giá lại mức độ phụ thuộc vào kênh này: nếu doanh thu từ Pharmacity chiếm tỷ trọng cao, rủi ro đàm phán giá và điều khoản sẽ tăng theo.📦 Shelf-space &amp; Listing Fee:Tham vọng mở rộng của Pharmacity thường đi kèm với yêu cầu listing fee cao hơn, yêu cầu SKU tối ưu hóa và áp lực co-marketing. Davipharm cần chủ động đàm phán vị trí trưng bày ưu tiên (prime shelf) cho các sản phẩm chiến lược, đặc biệt là các dòng OTC có biên lợi nhuận cao. Cần xây dựng bộ dữ liệu sell-through để chứng minh giá trị sản phẩm với buyer của Pharmacity.🌏 Cơ hội địa lý:Việc Pharmacity phủ sóng vùng sâu vùng xa là cơ hội vàng để Davipharm đưa sản phẩm đến các thị trường mà trước đây khó tiếp cận qua kênh truyền thống. Đây là đòn bẩy để tăng trưởng doanh thu mà không cần đầu tư hạ tầng phân phối riêng.⚠️ Khuyến nghị chiến lược:Duy trì đa dạng hóa kênh (không để Pharmacity chiếm &gt;30% doanh thu OTC); đồng thời xây dựng chương trình đối tác chiến lược dài hạn với Pharmacity để đảm bảo vị thế ưu tiên trong danh mục sản phẩm của chuỗi.</w:t>
            </w:r>
          </w:p>
        </w:tc>
      </w:tr>
    </w:tbl>
    <w:p>
      <w:pPr>
        <w:spacing w:before="40" w:after="120"/>
      </w:pPr>
    </w:p>
    <w:p>
      <w:r>
        <w:br w:type="page"/>
      </w:r>
    </w:p>
    <w:p>
      <w:pPr>
        <w:spacing w:before="320" w:after="120"/>
        <w:pBdr>
          <w:bottom w:val="single" w:sz="8" w:color="003B71"/>
        </w:pBdr>
      </w:pPr>
      <w:r>
        <w:rPr>
          <w:rFonts w:ascii="Calibri" w:hAnsi="Calibri"/>
          <w:b/>
          <w:i w:val="0"/>
          <w:color w:val="003B71"/>
          <w:sz w:val="22"/>
        </w:rPr>
        <w:t>ĐỐI THỦ CẠNH TRANH</w:t>
      </w: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DƯỢC HẬU GIANG</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Dược Hậu Giang chi cổ tức đậm, ông lớn Nhật Taisho đều đặn bỏ túi trăm tỷ</w:t>
            </w:r>
          </w:p>
        </w:tc>
      </w:tr>
    </w:tbl>
    <w:p>
      <w:pPr>
        <w:spacing w:before="40" w:after="40"/>
        <w:ind w:left="170"/>
      </w:pPr>
      <w:r>
        <w:rPr>
          <w:rFonts w:ascii="Calibri" w:hAnsi="Calibri"/>
          <w:b w:val="0"/>
          <w:i/>
          <w:color w:val="6B7280"/>
          <w:sz w:val="18"/>
        </w:rPr>
        <w:t>Dược Hậu Giang (DHG) tiếp tục duy trì chính sách chi trả cổ tức cao, qua đó cổ đông chiến lược Taisho (Nhật Bản) — đang nắm giữ tỷ lệ cổ phần lớn — đều đặn thu về hàng trăm tỷ đồng mỗi năm. Điều này phản ánh nền tảng tài chính vững mạnh và khả năng sinh lời ổn định của DHG trong ngành dược phẩm Việt Nam.</w:t>
      </w:r>
    </w:p>
    <w:p>
      <w:pPr>
        <w:spacing w:before="20" w:after="40"/>
        <w:ind w:left="170"/>
      </w:pPr>
      <w:r>
        <w:rPr>
          <w:rFonts w:ascii="Calibri" w:hAnsi="Calibri"/>
          <w:b/>
          <w:i w:val="0"/>
          <w:color w:val="991B1B"/>
          <w:sz w:val="17"/>
        </w:rPr>
        <w:t>⚠️ Thách thức — Đối thủ được hậu thuẫn tài chính mạnh từ cổ đông Nhật Bản, gia tăng áp lực cạnh tranh dài hạn lên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 Cạnh tranh sản phẩm &amp; Năng lực tài chính đối thủ:Việc DHG duy trì cổ tức cao và được Taisho hậu thuẫn tài chính bền vững cho thấy đối thủ này có nguồn lực dồi dào để tiếp tục đầu tư vào R&amp;D, nâng cấp dây chuyền sản xuất (GMP), và mở rộng danh mục sản phẩm — đặc biệt trong phân khúc OTC và generic cao cấp, vốn là địa bàn cạnh tranh trực tiếp với Davipharm.🔴 Đấu thầu bệnh viện:Với nền tảng tài chính vững chắc, DHG có khả năng chấp nhận biên lợi nhuận thấp hơn trong các gói thầu bệnh viện (ETC channel) để giành thị phần, tạo áp lực giá đáng kể lên Davipharm tại kênh đấu thầu.🟡 Cơ hội cho Davipharm:Sự tập trung của DHG vào việc duy trì lợi nhuận để trả cổ tức có thể khiến họ thận trọng hơn trong việc đầu tư mạo hiểm vào các phân khúc mới hoặc sản phẩm chuyên biệt. Davipharm nên tận dụng khoảng trống này để đẩy mạnh đổi mới sản phẩm, tấn công vào các phân khúc điều trị chuyên sâu mà DHG chưa phủ mạnh, đồng thời xây dựng lợi thế cạnh tranh bền vững thông qua chất lượng sản xuất (EU-GMP) và tốc độ đưa sản phẩm ra thị trường.</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CHUỖI NHÀ THUỐC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Long Châu: Tiên phong ứng dụng dữ liệu số, ra mắt dịch vụ y tế đột phá</w:t>
            </w:r>
          </w:p>
        </w:tc>
      </w:tr>
    </w:tbl>
    <w:p>
      <w:pPr>
        <w:spacing w:before="40" w:after="40"/>
        <w:ind w:left="170"/>
      </w:pPr>
      <w:r>
        <w:rPr>
          <w:rFonts w:ascii="Calibri" w:hAnsi="Calibri"/>
          <w:b w:val="0"/>
          <w:i/>
          <w:color w:val="6B7280"/>
          <w:sz w:val="18"/>
        </w:rPr>
        <w:t>Chuỗi nhà thuốc Long Châu (FPT Retail) đang đẩy mạnh ứng dụng dữ liệu số và công nghệ vào vận hành, ra mắt các dịch vụ y tế mới nhằm nâng cao trải nghiệm khách hàng và củng cố vị thế dẫn đầu thị trường bán lẻ dược phẩm tại Việt Nam. Chiến lược này bao gồm cá nhân hóa tư vấn sức khỏe, tích hợp hồ sơ bệnh nhân số và mở rộng hệ sinh thái chăm sóc sức khỏe toàn diện.</w:t>
      </w:r>
    </w:p>
    <w:p>
      <w:pPr>
        <w:spacing w:before="20" w:after="40"/>
        <w:ind w:left="170"/>
      </w:pPr>
      <w:r>
        <w:rPr>
          <w:rFonts w:ascii="Calibri" w:hAnsi="Calibri"/>
          <w:b/>
          <w:i w:val="0"/>
          <w:color w:val="991B1B"/>
          <w:sz w:val="17"/>
        </w:rPr>
        <w:t>⚠️ Thách thức cạnh tranh cao — Long Châu tăng tốc số hóa, tạo áp lực lớn lên nhà cung cấp dược phẩm generic</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Thách thức trực tiếp:Khi Long Châu tích hợp dữ liệu số và cá nhân hóa tư vấn, chuỗi này sẽ có xu hướng ưu tiên các sản phẩm có dữ liệu lâm sàng mạnh, nhãn hiệu được nhận diện tốt hoặc sản phẩm độc quyền phân phối — gây bất lợi cho các generic chưa có chiến lược thương hiệu rõ ràng của Davipharm.Rủi ro với Empagliflozin:Trong phân khúc đái tháo đường type 2, Long Châu có thể ưu tiên đẩy các sản phẩm originator (Jardiance) hoặc generic đã có thỏa thuận độc quyền. Davipharm cần đàm phán vị trí ưu tiên trên kệ số (digital shelf) và trong hệ thống gợi ý AI của Long Châu.Cơ hội với Tadalafil &amp; Dapoxetine:Dịch vụ tư vấn sức khỏe nam giới qua kênh số/kín đáo của Long Châu là cơ hội vàng. Davipharm nên đề xuất chương trình co-branding hoặc gói tư vấn sức khỏe nam giới tích hợp sản phẩm Tadalafil/Dapoxetine vào hành trình khách hàng số của Long Châu.Hành động chiến lược:Ưu tiên ký kết thỏa thuận cung ứng chiến lược với Long Châu; đầu tư vào dữ liệu thực địa (RWE) cho Empagliflozin để đáp ứng tiêu chí lựa chọn dựa trên bằng chứng của nền tảng số Long Châu.</w:t>
            </w:r>
          </w:p>
        </w:tc>
      </w:tr>
    </w:tbl>
    <w:p>
      <w:pPr>
        <w:spacing w:before="40" w:after="120"/>
      </w:pPr>
    </w:p>
    <w:tbl>
      <w:tblPr>
        <w:tblStyle w:val="TableGrid"/>
        <w:tblW w:type="auto" w:w="0"/>
        <w:jc w:val="left"/>
        <w:tblLook w:firstColumn="1" w:firstRow="1" w:lastColumn="0" w:lastRow="0" w:noHBand="0" w:noVBand="1" w:val="04A0"/>
      </w:tblPr>
      <w:tblGrid>
        <w:gridCol w:w="4536"/>
        <w:gridCol w:w="4536"/>
      </w:tblGrid>
      <w:tr>
        <w:tc>
          <w:tcPr>
            <w:tcW w:type="dxa" w:w="1984"/>
            <w:shd w:val="clear" w:color="auto" w:fill="EEF2FF"/>
            <w:tcBorders>
              <w:top w:val="none" w:sz="6" w:color="auto"/>
              <w:bottom w:val="none" w:sz="6" w:color="auto"/>
              <w:left w:val="none" w:sz="6" w:color="auto"/>
              <w:right w:val="none" w:sz="6" w:color="auto"/>
            </w:tcBorders>
          </w:tcPr>
          <w:p>
            <w:pPr>
              <w:spacing w:before="80" w:after="80"/>
              <w:ind w:left="85"/>
            </w:pPr>
            <w:r>
              <w:rPr>
                <w:rFonts w:ascii="Calibri" w:hAnsi="Calibri"/>
                <w:b/>
                <w:i w:val="0"/>
                <w:color w:val="4338CA"/>
                <w:sz w:val="15"/>
              </w:rPr>
              <w:t>FPT RETAIL LONG CHÂU</w:t>
            </w:r>
          </w:p>
        </w:tc>
        <w:tc>
          <w:tcPr>
            <w:tcW w:type="dxa" w:w="4536"/>
            <w:tcBorders>
              <w:top w:val="none" w:sz="6" w:color="auto"/>
              <w:bottom w:val="none" w:sz="6" w:color="auto"/>
              <w:left w:val="none" w:sz="6" w:color="auto"/>
              <w:right w:val="none" w:sz="6" w:color="auto"/>
            </w:tcBorders>
          </w:tcPr>
          <w:p>
            <w:pPr>
              <w:spacing w:before="60" w:after="60"/>
              <w:ind w:left="113"/>
            </w:pPr>
            <w:r>
              <w:rPr>
                <w:rFonts w:ascii="Calibri" w:hAnsi="Calibri"/>
                <w:b/>
                <w:i w:val="0"/>
                <w:color w:val="111827"/>
                <w:sz w:val="21"/>
              </w:rPr>
              <w:t>FPT Retail báo lãi quý 1/2026 tăng 73% — Chuỗi Long Châu tiếp tục dẫn dắt tăng trưởng</w:t>
            </w:r>
          </w:p>
        </w:tc>
      </w:tr>
    </w:tbl>
    <w:p>
      <w:pPr>
        <w:spacing w:before="40" w:after="40"/>
        <w:ind w:left="170"/>
      </w:pPr>
      <w:r>
        <w:rPr>
          <w:rFonts w:ascii="Calibri" w:hAnsi="Calibri"/>
          <w:b w:val="0"/>
          <w:i/>
          <w:color w:val="6B7280"/>
          <w:sz w:val="18"/>
        </w:rPr>
        <w:t>FPT Retail ghi nhận lợi nhuận sau thuế quý 1/2026 tăng trưởng 73% so với cùng kỳ năm trước, chủ yếu nhờ chuỗi nhà thuốc Long Châu mở rộng mạng lưới điểm bán, tăng doanh thu từ dược phẩm kê đơn và OTC, đồng thời cải thiện biên lợi nhuận gộp thông qua tối ưu hóa danh mục sản phẩm và đàm phán trực tiếp với nhà sản xuất.</w:t>
      </w:r>
    </w:p>
    <w:p>
      <w:pPr>
        <w:spacing w:before="20" w:after="40"/>
        <w:ind w:left="170"/>
      </w:pPr>
      <w:r>
        <w:rPr>
          <w:rFonts w:ascii="Calibri" w:hAnsi="Calibri"/>
          <w:b/>
          <w:i w:val="0"/>
          <w:color w:val="991B1B"/>
          <w:sz w:val="17"/>
        </w:rPr>
        <w:t>⚠️ Tác động tiêu cực — Long Châu tăng trưởng mạnh đồng nghĩa áp lực cạnh tranh kênh bán lẻ dược phẩm gia tăng đáng kể với Davipharm</w:t>
      </w:r>
    </w:p>
    <w:tbl>
      <w:tblPr>
        <w:tblStyle w:val="TableGrid"/>
        <w:tblW w:type="auto" w:w="0"/>
        <w:tblLook w:firstColumn="1" w:firstRow="1" w:lastColumn="0" w:lastRow="0" w:noHBand="0" w:noVBand="1" w:val="04A0"/>
      </w:tblPr>
      <w:tblGrid>
        <w:gridCol w:w="9072"/>
      </w:tblGrid>
      <w:tr>
        <w:tc>
          <w:tcPr>
            <w:tcW w:type="dxa" w:w="9072"/>
            <w:shd w:val="clear" w:color="auto" w:fill="F8FAFC"/>
            <w:tcBorders>
              <w:top w:val="none" w:sz="6" w:color="auto"/>
              <w:bottom w:val="none" w:sz="6" w:color="auto"/>
              <w:left w:val="single" w:sz="12" w:color="003B71"/>
              <w:right w:val="none" w:sz="6" w:color="auto"/>
            </w:tcBorders>
          </w:tcPr>
          <w:p>
            <w:pPr>
              <w:spacing w:before="60" w:after="60"/>
              <w:ind w:left="142"/>
            </w:pPr>
            <w:r>
              <w:rPr>
                <w:rFonts w:ascii="Calibri" w:hAnsi="Calibri"/>
                <w:b/>
                <w:i w:val="0"/>
                <w:color w:val="003B71"/>
                <w:sz w:val="17"/>
              </w:rPr>
              <w:t xml:space="preserve">Strategy  </w:t>
            </w:r>
            <w:r>
              <w:rPr>
                <w:rFonts w:ascii="Calibri" w:hAnsi="Calibri"/>
                <w:b w:val="0"/>
                <w:i w:val="0"/>
                <w:color w:val="334155"/>
                <w:sz w:val="17"/>
              </w:rPr>
              <w:t>Thách thức trực tiếp:Long Châu với hơn 3.000 điểm bán và tăng trưởng lợi nhuận 73% đang củng cố vị thế đàm phán vượt trội so với nhà sản xuất. Điều này tạo áp lực giảm giá bán buôn và rút ngắn thời hạn thanh toán đối với Davipharm trong các hợp đồng cung ứng. Đặc biệt vớiEmpagliflozin(điều trị đái tháo đường type 2) — phân khúc đang tăng trưởng nóng — Long Châu có thể ưu tiên nhập hàng từ các đối thủ generic quốc tế có giá thấp hơn nếu Davipharm không duy trì lợi thế cạnh tranh về giá và chính sách chiết khấu.Cơ hội chiến lược:Tốc độ mở rộng của Long Châu tạo ra nhu cầu lớn về nguồn cung ổn định, đặc biệt các sản phẩm có biên lợi nhuận cao nhưTadalafilvàDapoxetine— nhóm sản phẩm nhạy cảm mà Long Châu cần đối tác sản xuất uy tín trong nước để đảm bảo tính hợp pháp và kiểm soát chất lượng. Davipharm nên chủ động đàm phán hợp đồng độc quyền hoặc ưu tiên cung ứng cho Long Châu với các SKU này, kèm chương trình hỗ trợ đào tạo dược sĩ tư vấn tại quầy.Khuyến nghị hành động:(1) Xây dựng đề xuất giá trị riêng biệt cho kênh Long Châu với gói combo Empagliflozin + tư vấn tuân thủ điều trị; (2) Đàm phán listing fee ưu đãi đổi lấy cam kết doanh số tối thiểu; (3) Theo dõi sát chiến lược nhãn hàng riêng (private label) của Long Châu để phòng ngừa rủi ro bị thay thế.</w:t>
            </w:r>
          </w:p>
        </w:tc>
      </w:tr>
    </w:tbl>
    <w:p>
      <w:pPr>
        <w:spacing w:before="40" w:after="120"/>
      </w:pPr>
    </w:p>
    <w:p>
      <w:r>
        <w:br w:type="page"/>
      </w:r>
    </w:p>
    <w:p>
      <w:pPr>
        <w:spacing w:before="320" w:after="120"/>
        <w:pBdr>
          <w:bottom w:val="single" w:sz="8" w:color="003B71"/>
        </w:pBdr>
      </w:pPr>
      <w:r>
        <w:rPr>
          <w:rFonts w:ascii="Calibri" w:hAnsi="Calibri"/>
          <w:b/>
          <w:i w:val="0"/>
          <w:color w:val="003B71"/>
          <w:sz w:val="22"/>
        </w:rPr>
        <w:t>THEO DÕI DANH MỤC SẢN PHẨM</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1701"/>
            <w:shd w:val="clear" w:color="auto" w:fill="003B71"/>
          </w:tcPr>
          <w:p>
            <w:pPr>
              <w:spacing w:before="80" w:after="80"/>
              <w:ind w:left="85"/>
            </w:pPr>
            <w:r>
              <w:rPr>
                <w:rFonts w:ascii="Calibri" w:hAnsi="Calibri"/>
                <w:b/>
                <w:i w:val="0"/>
                <w:color w:val="FFFFFF"/>
                <w:sz w:val="17"/>
              </w:rPr>
              <w:t>Sản phẩm</w:t>
            </w:r>
          </w:p>
        </w:tc>
        <w:tc>
          <w:tcPr>
            <w:tcW w:type="dxa" w:w="2381"/>
            <w:shd w:val="clear" w:color="auto" w:fill="003B71"/>
          </w:tcPr>
          <w:p>
            <w:pPr>
              <w:spacing w:before="80" w:after="80"/>
              <w:ind w:left="85"/>
            </w:pPr>
            <w:r>
              <w:rPr>
                <w:rFonts w:ascii="Calibri" w:hAnsi="Calibri"/>
                <w:b/>
                <w:i w:val="0"/>
                <w:color w:val="FFFFFF"/>
                <w:sz w:val="17"/>
              </w:rPr>
              <w:t>Hoạt chất · Chỉ định</w:t>
            </w:r>
          </w:p>
        </w:tc>
        <w:tc>
          <w:tcPr>
            <w:tcW w:type="dxa" w:w="1134"/>
            <w:shd w:val="clear" w:color="auto" w:fill="003B71"/>
          </w:tcPr>
          <w:p>
            <w:pPr>
              <w:spacing w:before="80" w:after="80"/>
              <w:ind w:left="85"/>
            </w:pPr>
            <w:r>
              <w:rPr>
                <w:rFonts w:ascii="Calibri" w:hAnsi="Calibri"/>
                <w:b/>
                <w:i w:val="0"/>
                <w:color w:val="FFFFFF"/>
                <w:sz w:val="17"/>
              </w:rPr>
              <w:t>Giá bán</w:t>
            </w:r>
          </w:p>
        </w:tc>
        <w:tc>
          <w:tcPr>
            <w:tcW w:type="dxa" w:w="1247"/>
            <w:shd w:val="clear" w:color="auto" w:fill="003B71"/>
          </w:tcPr>
          <w:p>
            <w:pPr>
              <w:spacing w:before="80" w:after="80"/>
              <w:ind w:left="85"/>
            </w:pPr>
            <w:r>
              <w:rPr>
                <w:rFonts w:ascii="Calibri" w:hAnsi="Calibri"/>
                <w:b/>
                <w:i w:val="0"/>
                <w:color w:val="FFFFFF"/>
                <w:sz w:val="17"/>
              </w:rPr>
              <w:t>Trạng thái</w:t>
            </w:r>
          </w:p>
        </w:tc>
        <w:tc>
          <w:tcPr>
            <w:tcW w:type="dxa" w:w="2608"/>
            <w:shd w:val="clear" w:color="auto" w:fill="003B71"/>
          </w:tcPr>
          <w:p>
            <w:pPr>
              <w:spacing w:before="80" w:after="80"/>
              <w:ind w:left="85"/>
            </w:pPr>
            <w:r>
              <w:rPr>
                <w:rFonts w:ascii="Calibri" w:hAnsi="Calibri"/>
                <w:b/>
                <w:i w:val="0"/>
                <w:color w:val="FFFFFF"/>
                <w:sz w:val="17"/>
              </w:rPr>
              <w:t>Ghi chú chiến lược</w:t>
            </w:r>
          </w:p>
        </w:tc>
      </w:tr>
      <w:tr>
        <w:tc>
          <w:tcPr>
            <w:tcW w:type="dxa" w:w="1701"/>
          </w:tcPr>
          <w:p>
            <w:pPr>
              <w:spacing w:before="60" w:after="60"/>
              <w:ind w:left="85"/>
            </w:pPr>
            <w:r>
              <w:rPr>
                <w:rFonts w:ascii="Calibri" w:hAnsi="Calibri"/>
                <w:b/>
                <w:i w:val="0"/>
                <w:color w:val="003B71"/>
                <w:sz w:val="17"/>
              </w:rPr>
              <w:t>EIMLER-10</w:t>
            </w:r>
          </w:p>
        </w:tc>
        <w:tc>
          <w:tcPr>
            <w:tcW w:type="dxa" w:w="2381"/>
          </w:tcPr>
          <w:p>
            <w:pPr>
              <w:spacing w:before="60" w:after="60"/>
              <w:ind w:left="85"/>
            </w:pPr>
            <w:r>
              <w:rPr>
                <w:rFonts w:ascii="Calibri" w:hAnsi="Calibri"/>
                <w:b w:val="0"/>
                <w:i w:val="0"/>
                <w:color w:val="374151"/>
                <w:sz w:val="17"/>
              </w:rPr>
              <w:t>Empagliflozin 10mg · Đái tháo đường / Suy tim</w:t>
            </w:r>
          </w:p>
        </w:tc>
        <w:tc>
          <w:tcPr>
            <w:tcW w:type="dxa" w:w="1134"/>
          </w:tcPr>
          <w:p>
            <w:pPr>
              <w:spacing w:before="60" w:after="60"/>
              <w:ind w:left="85"/>
            </w:pPr>
            <w:r>
              <w:rPr>
                <w:rFonts w:ascii="Calibri" w:hAnsi="Calibri"/>
                <w:b w:val="0"/>
                <w:i w:val="0"/>
                <w:color w:val="374151"/>
                <w:sz w:val="17"/>
              </w:rPr>
              <w:t>597.000đ/ Hộp 30 viên</w:t>
            </w:r>
          </w:p>
        </w:tc>
        <w:tc>
          <w:tcPr>
            <w:tcW w:type="dxa" w:w="1247"/>
            <w:shd w:val="clear" w:color="auto" w:fill="E7F9EE"/>
          </w:tcPr>
          <w:p>
            <w:pPr>
              <w:spacing w:before="60" w:after="60"/>
              <w:ind w:left="85"/>
            </w:pPr>
            <w:r>
              <w:rPr>
                <w:rFonts w:ascii="Calibri" w:hAnsi="Calibri"/>
                <w:b/>
                <w:i w:val="0"/>
                <w:color w:val="166534"/>
                <w:sz w:val="17"/>
              </w:rPr>
              <w:t>Cơ hội cao</w:t>
            </w:r>
          </w:p>
        </w:tc>
        <w:tc>
          <w:tcPr>
            <w:tcW w:type="dxa" w:w="2608"/>
          </w:tcPr>
          <w:p>
            <w:pPr>
              <w:spacing w:before="60" w:after="60"/>
              <w:ind w:left="85"/>
            </w:pPr>
            <w:r>
              <w:rPr>
                <w:rFonts w:ascii="Calibri" w:hAnsi="Calibri"/>
                <w:b w:val="0"/>
                <w:i w:val="0"/>
                <w:color w:val="374151"/>
                <w:sz w:val="17"/>
              </w:rPr>
              <w:t>Ưu tiên thầu Nhóm 1 – GMP-EU</w:t>
            </w:r>
          </w:p>
        </w:tc>
      </w:tr>
      <w:tr>
        <w:tc>
          <w:tcPr>
            <w:tcW w:type="dxa" w:w="1701"/>
          </w:tcPr>
          <w:p>
            <w:pPr>
              <w:spacing w:before="60" w:after="60"/>
              <w:ind w:left="85"/>
            </w:pPr>
            <w:r>
              <w:rPr>
                <w:rFonts w:ascii="Calibri" w:hAnsi="Calibri"/>
                <w:b/>
                <w:i w:val="0"/>
                <w:color w:val="003B71"/>
                <w:sz w:val="17"/>
              </w:rPr>
              <w:t>JANUS-30</w:t>
            </w:r>
          </w:p>
        </w:tc>
        <w:tc>
          <w:tcPr>
            <w:tcW w:type="dxa" w:w="2381"/>
          </w:tcPr>
          <w:p>
            <w:pPr>
              <w:spacing w:before="60" w:after="60"/>
              <w:ind w:left="85"/>
            </w:pPr>
            <w:r>
              <w:rPr>
                <w:rFonts w:ascii="Calibri" w:hAnsi="Calibri"/>
                <w:b w:val="0"/>
                <w:i w:val="0"/>
                <w:color w:val="374151"/>
                <w:sz w:val="17"/>
              </w:rPr>
              <w:t>Dapoxetin 30mg · Tiết niệu – Nam khoa</w:t>
            </w:r>
          </w:p>
        </w:tc>
        <w:tc>
          <w:tcPr>
            <w:tcW w:type="dxa" w:w="1134"/>
          </w:tcPr>
          <w:p>
            <w:pPr>
              <w:spacing w:before="60" w:after="60"/>
              <w:ind w:left="85"/>
            </w:pPr>
            <w:r>
              <w:rPr>
                <w:rFonts w:ascii="Calibri" w:hAnsi="Calibri"/>
                <w:b w:val="0"/>
                <w:i w:val="0"/>
                <w:color w:val="374151"/>
                <w:sz w:val="17"/>
              </w:rPr>
              <w:t>480.000đ/ Hộp 8 viên</w:t>
            </w:r>
          </w:p>
        </w:tc>
        <w:tc>
          <w:tcPr>
            <w:tcW w:type="dxa" w:w="1247"/>
            <w:shd w:val="clear" w:color="auto" w:fill="EFF6FF"/>
          </w:tcPr>
          <w:p>
            <w:pPr>
              <w:spacing w:before="60" w:after="60"/>
              <w:ind w:left="85"/>
            </w:pPr>
            <w:r>
              <w:rPr>
                <w:rFonts w:ascii="Calibri" w:hAnsi="Calibri"/>
                <w:b/>
                <w:i w:val="0"/>
                <w:color w:val="0056D2"/>
                <w:sz w:val="17"/>
              </w:rPr>
              <w:t>Ổn định</w:t>
            </w:r>
          </w:p>
        </w:tc>
        <w:tc>
          <w:tcPr>
            <w:tcW w:type="dxa" w:w="2608"/>
          </w:tcPr>
          <w:p>
            <w:pPr>
              <w:spacing w:before="60" w:after="60"/>
              <w:ind w:left="85"/>
            </w:pPr>
            <w:r>
              <w:rPr>
                <w:rFonts w:ascii="Calibri" w:hAnsi="Calibri"/>
                <w:b w:val="0"/>
                <w:i w:val="0"/>
                <w:color w:val="374151"/>
                <w:sz w:val="17"/>
              </w:rPr>
              <w:t>Kiểm tra listing Long Châu / Pharmacity</w:t>
            </w:r>
          </w:p>
        </w:tc>
      </w:tr>
      <w:tr>
        <w:tc>
          <w:tcPr>
            <w:tcW w:type="dxa" w:w="1701"/>
          </w:tcPr>
          <w:p>
            <w:pPr>
              <w:spacing w:before="60" w:after="60"/>
              <w:ind w:left="85"/>
            </w:pPr>
            <w:r>
              <w:rPr>
                <w:rFonts w:ascii="Calibri" w:hAnsi="Calibri"/>
                <w:b/>
                <w:i w:val="0"/>
                <w:color w:val="003B71"/>
                <w:sz w:val="17"/>
              </w:rPr>
              <w:t>TADALAFIL 20MG</w:t>
            </w:r>
          </w:p>
        </w:tc>
        <w:tc>
          <w:tcPr>
            <w:tcW w:type="dxa" w:w="2381"/>
          </w:tcPr>
          <w:p>
            <w:pPr>
              <w:spacing w:before="60" w:after="60"/>
              <w:ind w:left="85"/>
            </w:pPr>
            <w:r>
              <w:rPr>
                <w:rFonts w:ascii="Calibri" w:hAnsi="Calibri"/>
                <w:b w:val="0"/>
                <w:i w:val="0"/>
                <w:color w:val="374151"/>
                <w:sz w:val="17"/>
              </w:rPr>
              <w:t>Tadalafil 20mg · Tiết niệu – Nam khoa</w:t>
            </w:r>
          </w:p>
        </w:tc>
        <w:tc>
          <w:tcPr>
            <w:tcW w:type="dxa" w:w="1134"/>
          </w:tcPr>
          <w:p>
            <w:pPr>
              <w:spacing w:before="60" w:after="60"/>
              <w:ind w:left="85"/>
            </w:pPr>
            <w:r>
              <w:rPr>
                <w:rFonts w:ascii="Calibri" w:hAnsi="Calibri"/>
                <w:b w:val="0"/>
                <w:i w:val="0"/>
                <w:color w:val="374151"/>
                <w:sz w:val="17"/>
              </w:rPr>
              <w:t>42.000đ/ Hộp 2 viên</w:t>
            </w:r>
          </w:p>
        </w:tc>
        <w:tc>
          <w:tcPr>
            <w:tcW w:type="dxa" w:w="1247"/>
            <w:shd w:val="clear" w:color="auto" w:fill="FFF7ED"/>
          </w:tcPr>
          <w:p>
            <w:pPr>
              <w:spacing w:before="60" w:after="60"/>
              <w:ind w:left="85"/>
            </w:pPr>
            <w:r>
              <w:rPr>
                <w:rFonts w:ascii="Calibri" w:hAnsi="Calibri"/>
                <w:b/>
                <w:i w:val="0"/>
                <w:color w:val="D97706"/>
                <w:sz w:val="17"/>
              </w:rPr>
              <w:t>Cạnh tranh</w:t>
            </w:r>
          </w:p>
        </w:tc>
        <w:tc>
          <w:tcPr>
            <w:tcW w:type="dxa" w:w="2608"/>
          </w:tcPr>
          <w:p>
            <w:pPr>
              <w:spacing w:before="60" w:after="60"/>
              <w:ind w:left="85"/>
            </w:pPr>
            <w:r>
              <w:rPr>
                <w:rFonts w:ascii="Calibri" w:hAnsi="Calibri"/>
                <w:b w:val="0"/>
                <w:i w:val="0"/>
                <w:color w:val="374151"/>
                <w:sz w:val="17"/>
              </w:rPr>
              <w:t>Theo dõi giá Sun Pharma &amp; biên lợi nhuận</w:t>
            </w:r>
          </w:p>
        </w:tc>
      </w:tr>
    </w:tbl>
    <w:p>
      <w:pPr>
        <w:spacing w:after="200"/>
      </w:pPr>
    </w:p>
    <w:p>
      <w:pPr>
        <w:spacing w:before="320" w:after="120"/>
        <w:pBdr>
          <w:bottom w:val="single" w:sz="8" w:color="003B71"/>
        </w:pBdr>
      </w:pPr>
      <w:r>
        <w:rPr>
          <w:rFonts w:ascii="Calibri" w:hAnsi="Calibri"/>
          <w:b/>
          <w:i w:val="0"/>
          <w:color w:val="003B71"/>
          <w:sz w:val="22"/>
        </w:rPr>
        <w:t>TOP 5 SẢN PHẨM TÌM KIẾM NHIỀU NHẤT — DAVIPHARM.INFO</w:t>
      </w:r>
    </w:p>
    <w:p>
      <w:pPr>
        <w:spacing w:before="40" w:after="60"/>
      </w:pPr>
      <w:r>
        <w:rPr>
          <w:rFonts w:ascii="Calibri" w:hAnsi="Calibri"/>
          <w:b w:val="0"/>
          <w:i/>
          <w:color w:val="9CA3AF"/>
          <w:sz w:val="17"/>
        </w:rPr>
        <w:t>Google Search Console  ·  30 ngày gần nhất  ·  Dữ liệu: 11/05/2026</w:t>
      </w:r>
    </w:p>
    <w:p>
      <w:pPr>
        <w:spacing w:before="120" w:after="120"/>
        <w:jc w:val="center"/>
      </w:pPr>
      <w:r>
        <w:drawing>
          <wp:inline xmlns:a="http://schemas.openxmlformats.org/drawingml/2006/main" xmlns:pic="http://schemas.openxmlformats.org/drawingml/2006/picture">
            <wp:extent cx="5580000" cy="2444219"/>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80000" cy="2444219"/>
                    </a:xfrm>
                    <a:prstGeom prst="rect"/>
                  </pic:spPr>
                </pic:pic>
              </a:graphicData>
            </a:graphic>
          </wp:inline>
        </w:drawing>
      </w:r>
    </w:p>
    <w:p>
      <w:r>
        <w:br w:type="page"/>
      </w:r>
    </w:p>
    <w:p>
      <w:pPr>
        <w:spacing w:before="320" w:after="120"/>
        <w:pBdr>
          <w:bottom w:val="single" w:sz="8" w:color="003B71"/>
        </w:pBdr>
      </w:pPr>
      <w:r>
        <w:rPr>
          <w:rFonts w:ascii="Calibri" w:hAnsi="Calibri"/>
          <w:b/>
          <w:i w:val="0"/>
          <w:color w:val="003B71"/>
          <w:sz w:val="22"/>
        </w:rPr>
        <w:t>KHUYẾN NGHỊ HÀNH ĐỘNG</w:t>
      </w: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454"/>
            <w:shd w:val="clear" w:color="auto" w:fill="003B71"/>
            <w:tcBorders>
              <w:top w:val="none" w:sz="6" w:color="auto"/>
              <w:bottom w:val="none" w:sz="6" w:color="auto"/>
              <w:left w:val="none" w:sz="6" w:color="auto"/>
              <w:right w:val="none" w:sz="6" w:color="auto"/>
            </w:tcBorders>
          </w:tcPr>
          <w:p>
            <w:pPr>
              <w:spacing w:before="80" w:after="80"/>
              <w:ind w:left="0"/>
              <w:jc w:val="center"/>
            </w:pPr>
          </w:p>
        </w:tc>
        <w:tc>
          <w:tcPr>
            <w:tcW w:type="dxa" w:w="4422"/>
            <w:shd w:val="clear" w:color="auto" w:fill="003B71"/>
            <w:tcBorders>
              <w:top w:val="none" w:sz="6" w:color="auto"/>
              <w:bottom w:val="none" w:sz="6" w:color="auto"/>
              <w:left w:val="none" w:sz="6" w:color="auto"/>
              <w:right w:val="none" w:sz="6" w:color="auto"/>
            </w:tcBorders>
          </w:tcPr>
          <w:p>
            <w:pPr>
              <w:spacing w:before="80" w:after="80"/>
              <w:ind w:left="85"/>
              <w:jc w:val="left"/>
            </w:pPr>
            <w:r>
              <w:rPr>
                <w:rFonts w:ascii="Calibri" w:hAnsi="Calibri"/>
                <w:b/>
                <w:i w:val="0"/>
                <w:color w:val="FFFFFF"/>
                <w:sz w:val="17"/>
              </w:rPr>
              <w:t>Hành động chiến lược</w:t>
            </w:r>
          </w:p>
        </w:tc>
        <w:tc>
          <w:tcPr>
            <w:tcW w:type="dxa" w:w="1417"/>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Team</w:t>
            </w:r>
          </w:p>
        </w:tc>
        <w:tc>
          <w:tcPr>
            <w:tcW w:type="dxa" w:w="113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Nguồn</w:t>
            </w:r>
          </w:p>
        </w:tc>
        <w:tc>
          <w:tcPr>
            <w:tcW w:type="dxa" w:w="1644"/>
            <w:shd w:val="clear" w:color="auto" w:fill="003B71"/>
            <w:tcBorders>
              <w:top w:val="none" w:sz="6" w:color="auto"/>
              <w:bottom w:val="none" w:sz="6" w:color="auto"/>
              <w:left w:val="none" w:sz="6" w:color="auto"/>
              <w:right w:val="none" w:sz="6" w:color="auto"/>
            </w:tcBorders>
          </w:tcPr>
          <w:p>
            <w:pPr>
              <w:spacing w:before="80" w:after="80"/>
              <w:ind w:left="0"/>
              <w:jc w:val="center"/>
            </w:pPr>
            <w:r>
              <w:rPr>
                <w:rFonts w:ascii="Calibri" w:hAnsi="Calibri"/>
                <w:b/>
                <w:i w:val="0"/>
                <w:color w:val="FFFFFF"/>
                <w:sz w:val="17"/>
              </w:rPr>
              <w:t>Ưu tiên</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Chuẩn bị hồ sơ EU-GMP để tham gia thầu Nhóm 1</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RA &amp; Marketing</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Chính sách đấu thầu</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E2E2"/>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Đàm phán partnership cấp tập đoàn với Long Châu/Pharmacity</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Sales</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Long Châu expansion</w:t>
            </w:r>
          </w:p>
        </w:tc>
        <w:tc>
          <w:tcPr>
            <w:tcW w:type="dxa" w:w="1644"/>
            <w:shd w:val="clear" w:color="auto" w:fill="FEE2E2"/>
            <w:tcBorders>
              <w:top w:val="none" w:sz="6" w:color="auto"/>
              <w:bottom w:val="none" w:sz="6" w:color="auto"/>
              <w:left w:val="none" w:sz="6" w:color="auto"/>
              <w:right w:val="none" w:sz="6" w:color="auto"/>
            </w:tcBorders>
          </w:tcPr>
          <w:p>
            <w:pPr>
              <w:spacing w:before="80" w:after="80"/>
              <w:jc w:val="center"/>
            </w:pPr>
            <w:r>
              <w:rPr>
                <w:rFonts w:ascii="Calibri" w:hAnsi="Calibri"/>
                <w:b/>
                <w:i w:val="0"/>
                <w:color w:val="EF4444"/>
                <w:sz w:val="17"/>
              </w:rPr>
              <w:t>🔴 Cao</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Rà soát API inventory, tìm nguồn cung thay thế</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Supply Chain</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Nhập khẩu nguyên liệu</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FEF3C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AFB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Theo dõi giá Sun Pharma cho Tadalafil, điều chỉnh chiến lược giá</w:t>
            </w:r>
          </w:p>
        </w:tc>
        <w:tc>
          <w:tcPr>
            <w:tcW w:type="dxa" w:w="1417"/>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Marketing</w:t>
            </w:r>
          </w:p>
        </w:tc>
        <w:tc>
          <w:tcPr>
            <w:tcW w:type="dxa" w:w="1134"/>
            <w:shd w:val="clear" w:color="auto" w:fill="FAFB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Sản phẩm Tadalafil</w:t>
            </w:r>
          </w:p>
        </w:tc>
        <w:tc>
          <w:tcPr>
            <w:tcW w:type="dxa" w:w="1644"/>
            <w:shd w:val="clear" w:color="auto" w:fill="FEF3C7"/>
            <w:tcBorders>
              <w:top w:val="none" w:sz="6" w:color="auto"/>
              <w:bottom w:val="none" w:sz="6" w:color="auto"/>
              <w:left w:val="none" w:sz="6" w:color="auto"/>
              <w:right w:val="none" w:sz="6" w:color="auto"/>
            </w:tcBorders>
          </w:tcPr>
          <w:p>
            <w:pPr>
              <w:spacing w:before="80" w:after="80"/>
              <w:jc w:val="center"/>
            </w:pPr>
            <w:r>
              <w:rPr>
                <w:rFonts w:ascii="Calibri" w:hAnsi="Calibri"/>
                <w:b/>
                <w:i w:val="0"/>
                <w:color w:val="D97706"/>
                <w:sz w:val="17"/>
              </w:rPr>
              <w:t>🟡 Trung</w:t>
            </w:r>
          </w:p>
        </w:tc>
      </w:tr>
      <w:tr>
        <w:tc>
          <w:tcPr>
            <w:tcW w:type="dxa" w:w="454"/>
            <w:shd w:val="clear" w:color="auto" w:fill="DCFCE7"/>
            <w:tcBorders>
              <w:top w:val="none" w:sz="6" w:color="auto"/>
              <w:bottom w:val="none" w:sz="6" w:color="auto"/>
              <w:left w:val="none" w:sz="6" w:color="auto"/>
              <w:right w:val="none" w:sz="6" w:color="auto"/>
            </w:tcBorders>
          </w:tcPr>
          <w:p>
            <w:pPr>
              <w:spacing w:before="100" w:after="100"/>
              <w:jc w:val="center"/>
            </w:pPr>
            <w:r>
              <w:t>🟢</w:t>
            </w:r>
          </w:p>
        </w:tc>
        <w:tc>
          <w:tcPr>
            <w:tcW w:type="dxa" w:w="4422"/>
            <w:shd w:val="clear" w:color="auto" w:fill="FFFFFF"/>
            <w:tcBorders>
              <w:top w:val="none" w:sz="6" w:color="auto"/>
              <w:bottom w:val="none" w:sz="6" w:color="auto"/>
              <w:left w:val="none" w:sz="6" w:color="auto"/>
              <w:right w:val="none" w:sz="6" w:color="auto"/>
            </w:tcBorders>
          </w:tcPr>
          <w:p>
            <w:pPr>
              <w:spacing w:before="80" w:after="80"/>
              <w:ind w:left="85"/>
            </w:pPr>
            <w:r>
              <w:rPr>
                <w:rFonts w:ascii="Calibri" w:hAnsi="Calibri"/>
                <w:b/>
                <w:i w:val="0"/>
                <w:color w:val="111827"/>
                <w:sz w:val="18"/>
              </w:rPr>
              <w:t>Lập kế hoạch ra mắt Cytisine Q4/2026 — phân tích thị trường cai thuốc lá</w:t>
            </w:r>
          </w:p>
        </w:tc>
        <w:tc>
          <w:tcPr>
            <w:tcW w:type="dxa" w:w="1417"/>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003B71"/>
                <w:sz w:val="17"/>
              </w:rPr>
              <w:t>Strategy</w:t>
            </w:r>
          </w:p>
        </w:tc>
        <w:tc>
          <w:tcPr>
            <w:tcW w:type="dxa" w:w="1134"/>
            <w:shd w:val="clear" w:color="auto" w:fill="FFFFFF"/>
            <w:tcBorders>
              <w:top w:val="none" w:sz="6" w:color="auto"/>
              <w:bottom w:val="none" w:sz="6" w:color="auto"/>
              <w:left w:val="none" w:sz="6" w:color="auto"/>
              <w:right w:val="none" w:sz="6" w:color="auto"/>
            </w:tcBorders>
          </w:tcPr>
          <w:p>
            <w:pPr>
              <w:spacing w:before="80" w:after="80"/>
              <w:jc w:val="center"/>
            </w:pPr>
            <w:r>
              <w:rPr>
                <w:rFonts w:ascii="Calibri" w:hAnsi="Calibri"/>
                <w:b w:val="0"/>
                <w:i w:val="0"/>
                <w:color w:val="6B7280"/>
                <w:sz w:val="17"/>
              </w:rPr>
              <w:t>Portfolio Cytisine</w:t>
            </w:r>
          </w:p>
        </w:tc>
        <w:tc>
          <w:tcPr>
            <w:tcW w:type="dxa" w:w="1644"/>
            <w:shd w:val="clear" w:color="auto" w:fill="DCFCE7"/>
            <w:tcBorders>
              <w:top w:val="none" w:sz="6" w:color="auto"/>
              <w:bottom w:val="none" w:sz="6" w:color="auto"/>
              <w:left w:val="none" w:sz="6" w:color="auto"/>
              <w:right w:val="none" w:sz="6" w:color="auto"/>
            </w:tcBorders>
          </w:tcPr>
          <w:p>
            <w:pPr>
              <w:spacing w:before="80" w:after="80"/>
              <w:jc w:val="center"/>
            </w:pPr>
            <w:r>
              <w:rPr>
                <w:rFonts w:ascii="Calibri" w:hAnsi="Calibri"/>
                <w:b/>
                <w:i w:val="0"/>
                <w:color w:val="22C55E"/>
                <w:sz w:val="17"/>
              </w:rPr>
              <w:t>🟢 Thấp</w:t>
            </w:r>
          </w:p>
        </w:tc>
      </w:tr>
    </w:tbl>
    <w:p>
      <w:pPr>
        <w:spacing w:after="200"/>
      </w:pPr>
    </w:p>
    <w:tbl>
      <w:tblPr>
        <w:tblStyle w:val="TableGrid"/>
        <w:tblW w:type="auto" w:w="0"/>
        <w:tblLook w:firstColumn="1" w:firstRow="1" w:lastColumn="0" w:lastRow="0" w:noHBand="0" w:noVBand="1" w:val="04A0"/>
      </w:tblPr>
      <w:tblGrid>
        <w:gridCol w:w="9072"/>
      </w:tblGrid>
      <w:tr>
        <w:tc>
          <w:tcPr>
            <w:tcW w:type="dxa" w:w="9072"/>
            <w:shd w:val="clear" w:color="auto" w:fill="F1F5F9"/>
            <w:tcBorders>
              <w:top w:val="none" w:sz="6" w:color="auto"/>
              <w:bottom w:val="none" w:sz="6" w:color="auto"/>
              <w:left w:val="none" w:sz="6" w:color="auto"/>
              <w:right w:val="none" w:sz="6" w:color="auto"/>
            </w:tcBorders>
          </w:tcPr>
          <w:p>
            <w:pPr>
              <w:spacing w:before="120" w:after="120"/>
              <w:jc w:val="center"/>
            </w:pPr>
            <w:r>
              <w:rPr>
                <w:rFonts w:ascii="Calibri" w:hAnsi="Calibri"/>
                <w:b w:val="0"/>
                <w:i/>
                <w:color w:val="9CA3AF"/>
                <w:sz w:val="15"/>
              </w:rPr>
              <w:t>Davipharm Market Intelligence System  ·  Powered by Claude Sonnet 4.6  ·  11/05/2026  ·  CONFIDENTIAL</w:t>
            </w:r>
          </w:p>
        </w:tc>
      </w:tr>
    </w:tbl>
    <w:sectPr w:rsidR="00FC693F" w:rsidRPr="0006063C" w:rsidSect="00034616">
      <w:footerReference w:type="default" r:id="rId9"/>
      <w:pgSz w:w="11906" w:h="16838"/>
      <w:pgMar w:top="1134"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b w:val="0"/>
        <w:i w:val="0"/>
        <w:color w:val="9CA3AF"/>
        <w:sz w:val="16"/>
      </w:rPr>
      <w:fldChar w:fldCharType="begin"/>
      <w:instrText xml:space="preserve">PAGE</w:instrText>
      <w:fldChar w:fldCharType="separate"/>
      <w:fldChar w:fldCharType="end"/>
    </w:r>
    <w:r>
      <w:rPr>
        <w:rFonts w:ascii="Calibri" w:hAnsi="Calibri"/>
        <w:b w:val="0"/>
        <w:i w:val="0"/>
        <w:color w:val="9CA3AF"/>
        <w:sz w:val="16"/>
      </w:rPr>
      <w:t xml:space="preserve"> / </w:t>
    </w:r>
    <w:r>
      <w:rPr>
        <w:rFonts w:ascii="Calibri" w:hAnsi="Calibri"/>
        <w:b w:val="0"/>
        <w:i w:val="0"/>
        <w:color w:val="9CA3AF"/>
        <w:sz w:val="16"/>
      </w:rPr>
      <w:fldChar w:fldCharType="begin"/>
      <w:instrText xml:space="preserve">NUMPAGES</w:instrText>
      <w:fldChar w:fldCharType="separate"/>
      <w:fldChar w:fldCharType="end"/>
    </w:r>
    <w:r>
      <w:rPr>
        <w:rFonts w:ascii="Calibri" w:hAnsi="Calibri"/>
        <w:b w:val="0"/>
        <w:i w:val="0"/>
        <w:color w:val="9CA3AF"/>
        <w:sz w:val="14"/>
      </w:rPr>
      <w:t xml:space="preserve">  |  Davipharm Market Intelligence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