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No direct regulatory or tender events this week, but MoH's proposal to elevate Bach Mai &amp; Viet Duc satellite hospitals to full-fee status is the most strategically significant ETC expansion signal requiring early action.</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ETC Expansion – Bach Mai 2 &amp; Viet Duc 2:If approved, two new independent procurement units in Ha Nam and Ninh Binh will open inaugural tender cycles — direct opportunity for RAVASTEL, EIMLER-10, PECHAUNOX, and HYYR.</w:t>
            </w:r>
          </w:p>
          <w:p>
            <w:pPr>
              <w:spacing w:before="20" w:after="60"/>
              <w:ind w:left="142"/>
            </w:pPr>
            <w:r>
              <w:rPr>
                <w:rFonts w:ascii="Calibri" w:hAnsi="Calibri"/>
                <w:b w:val="0"/>
                <w:i w:val="0"/>
                <w:color w:val="111827"/>
                <w:sz w:val="17"/>
              </w:rPr>
              <w:t>▸  Oncology – Early Detection Trend:Shift toward curative surgery for early-stage cancers may gradually reduce the patient pool for targeted therapies, with long-term tender implications for HYYR and LARRIVEY at top-tier hospitals.</w:t>
            </w:r>
          </w:p>
          <w:p>
            <w:pPr>
              <w:spacing w:before="20" w:after="60"/>
              <w:ind w:left="142"/>
            </w:pPr>
            <w:r>
              <w:rPr>
                <w:rFonts w:ascii="Calibri" w:hAnsi="Calibri"/>
                <w:b w:val="0"/>
                <w:i w:val="0"/>
                <w:color w:val="111827"/>
                <w:sz w:val="17"/>
              </w:rPr>
              <w:t>▸  OTC – Rising Out-of-Pocket Spending:HCM City's VND 3,500B dental tourism figure confirms a macro consumer willingness to pay outside BHYT, reinforcing the investment case for private-clinic channels targeting the Men's Health portfolio (JANUS, TADALAFIL 20MG, DRYCHES).</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1</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9</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S.I.S Can Tho Hospital Guided on Medical Wastewater Compliance</w:t>
            </w:r>
          </w:p>
        </w:tc>
      </w:tr>
    </w:tbl>
    <w:p>
      <w:pPr>
        <w:spacing w:before="40" w:after="40"/>
        <w:ind w:left="170"/>
      </w:pPr>
      <w:r>
        <w:rPr>
          <w:rFonts w:ascii="Calibri" w:hAnsi="Calibri"/>
          <w:b w:val="0"/>
          <w:i/>
          <w:color w:val="6B7280"/>
          <w:sz w:val="18"/>
        </w:rPr>
        <w:t>The article covers environmental compliance at S.I.S International Hospital in Can Tho regarding medical wastewater collection and treatment — with no direct relevance to the pharmaceutical market or drug distribution channels. Content is local administrative in nature with no actionable market intelligence.[Source]</w:t>
      </w:r>
    </w:p>
    <w:p>
      <w:pPr>
        <w:spacing w:before="20" w:after="40"/>
        <w:ind w:left="170"/>
      </w:pPr>
      <w:r>
        <w:rPr>
          <w:rFonts w:ascii="Calibri" w:hAnsi="Calibri"/>
          <w:b/>
          <w:i w:val="0"/>
          <w:color w:val="374151"/>
          <w:sz w:val="17"/>
        </w:rPr>
        <w:t>⚪ This news has no discernible impact on Davipharm's business operations or strategy.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 article falls outside pharmaceutical strategic monitoring scope; recommend excluding similar environmental compliance news from BOD intelligence filters to improve reporting efficiency.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Essential Food Groups for Post-50 Nutrition: Market Signal for Healthy Aging Supplements</w:t>
            </w:r>
          </w:p>
        </w:tc>
      </w:tr>
    </w:tbl>
    <w:p>
      <w:pPr>
        <w:spacing w:before="40" w:after="40"/>
        <w:ind w:left="170"/>
      </w:pPr>
      <w:r>
        <w:rPr>
          <w:rFonts w:ascii="Calibri" w:hAnsi="Calibri"/>
          <w:b w:val="0"/>
          <w:i/>
          <w:color w:val="6B7280"/>
          <w:sz w:val="18"/>
        </w:rPr>
        <w:t>Health media is amplifying nutritional content targeting the 50+ demographic, reflecting growing consumer awareness and demand in Vietnam's rapidly aging population. This trend signals a clear market opportunity in micronutrient supplements, calcium, vitamin D, and omega-3 product lines.[Source]</w:t>
      </w:r>
    </w:p>
    <w:p>
      <w:pPr>
        <w:spacing w:before="20" w:after="40"/>
        <w:ind w:left="170"/>
      </w:pPr>
      <w:r>
        <w:rPr>
          <w:rFonts w:ascii="Calibri" w:hAnsi="Calibri"/>
          <w:b/>
          <w:i w:val="0"/>
          <w:color w:val="166534"/>
          <w:sz w:val="17"/>
        </w:rPr>
        <w:t>📈 Rising health media coverage on senior nutrition signals a market expansion opportunity for Davipharm's nutraceutical portfolio targeting the 50+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Leverage this media trend to accelerate marketing of existing calcium, multivitamin D, and omega-3 products; evaluate launching an "Active 50+" nutritional combo SKU to capture the fast-growing senior consumer segment ahead of competitors.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Supplements to Avoid with Anticoagulant Therapy: Drug-Interaction Alert</w:t>
            </w:r>
          </w:p>
        </w:tc>
      </w:tr>
    </w:tbl>
    <w:p>
      <w:pPr>
        <w:spacing w:before="40" w:after="40"/>
        <w:ind w:left="170"/>
      </w:pPr>
      <w:r>
        <w:rPr>
          <w:rFonts w:ascii="Calibri" w:hAnsi="Calibri"/>
          <w:b w:val="0"/>
          <w:i/>
          <w:color w:val="6B7280"/>
          <w:sz w:val="18"/>
        </w:rPr>
        <w:t>SK&amp;ĐS warns against 11 supplement categories that dangerously interact with anticoagulants, increasing risks of bleeding or abnormal clotting. This surfaces amid Vietnam's booming supplement market where drug-supplement interaction awareness remains critically low.[Source]</w:t>
      </w:r>
    </w:p>
    <w:p>
      <w:pPr>
        <w:spacing w:before="20" w:after="40"/>
        <w:ind w:left="170"/>
      </w:pPr>
      <w:r>
        <w:rPr>
          <w:rFonts w:ascii="Calibri" w:hAnsi="Calibri"/>
          <w:b/>
          <w:i w:val="0"/>
          <w:color w:val="166534"/>
          <w:sz w:val="17"/>
        </w:rPr>
        <w:t>💡 Opportunity for Davipharm to position as a drug-safety authority, gaining B2B and B2C communication advantage in the cardiovascular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Develop a "Safe Anticoagulant Use Guide" distributed through pharmacy chains and prescribing physicians to boost brand visibility in the cardiovascular segment and strengthen ETC/OTC channel relationships. Simultaneously, audit existing OTC/supplement labels to ensure adequate drug-interaction warnings, mitigating regulatory and liability risks.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Severe Chickenpox Complication in Child Highlights Antibiotic &amp; Antiviral Market Opportunity</w:t>
            </w:r>
          </w:p>
        </w:tc>
      </w:tr>
    </w:tbl>
    <w:p>
      <w:pPr>
        <w:spacing w:before="40" w:after="40"/>
        <w:ind w:left="170"/>
      </w:pPr>
      <w:r>
        <w:rPr>
          <w:rFonts w:ascii="Calibri" w:hAnsi="Calibri"/>
          <w:b w:val="0"/>
          <w:i/>
          <w:color w:val="6B7280"/>
          <w:sz w:val="18"/>
        </w:rPr>
        <w:t>A high-profile case of a 6-year-old developing sepsis as a chickenpox complication is raising public awareness of secondary bacterial infections post-viral illness. Demand for antibiotics targeting secondary infections and antivirals in pediatric settings is expected to rise during chickenpox season.[Source]</w:t>
      </w:r>
    </w:p>
    <w:p>
      <w:pPr>
        <w:spacing w:before="20" w:after="40"/>
        <w:ind w:left="170"/>
      </w:pPr>
      <w:r>
        <w:rPr>
          <w:rFonts w:ascii="Calibri" w:hAnsi="Calibri"/>
          <w:b/>
          <w:i w:val="0"/>
          <w:color w:val="166534"/>
          <w:sz w:val="17"/>
        </w:rPr>
        <w:t>📈 Short-term growth opportunity for Davipharm's pediatric antibiotic and chickenpox complication treatment portfolio.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Intensify Medical Rep coverage at pediatric hospitals and clinics with broad-spectrum antibiotics (amoxicillin-clavulanate, cephalosporins) and acyclovir, emphasizing early intervention to prevent complications. Consider publishing KOL-supported materials on chickenpox complication management protocols to strengthen Davipharm's brand presence in the pediatric segment.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"Dr. Luong" Thyroid Surgery Technique Draws International Patients &amp; Medical Professionals</w:t>
            </w:r>
          </w:p>
        </w:tc>
      </w:tr>
    </w:tbl>
    <w:p>
      <w:pPr>
        <w:spacing w:before="40" w:after="40"/>
        <w:ind w:left="170"/>
      </w:pPr>
      <w:r>
        <w:rPr>
          <w:rFonts w:ascii="Calibri" w:hAnsi="Calibri"/>
          <w:b w:val="0"/>
          <w:i/>
          <w:color w:val="6B7280"/>
          <w:sz w:val="18"/>
        </w:rPr>
        <w:t>Vietnam's "Dr. Luong" endoscopic thyroid surgery technique is attracting patients from the Philippines and physicians from Azerbaijan and India, cementing Vietnam's status as a regional medical excellence hub. This inbound medical tourism trend signals growing demand for post-operative and thyroid-related pharmaceuticals at leading hospitals.[Source]</w:t>
      </w:r>
    </w:p>
    <w:p>
      <w:pPr>
        <w:spacing w:before="20" w:after="40"/>
        <w:ind w:left="170"/>
      </w:pPr>
      <w:r>
        <w:rPr>
          <w:rFonts w:ascii="Calibri" w:hAnsi="Calibri"/>
          <w:b/>
          <w:i w:val="0"/>
          <w:color w:val="166534"/>
          <w:sz w:val="17"/>
        </w:rPr>
        <w:t>🟢 Indirect positive signal — growing medical tourism drives incremental demand for thyroid post-op pharmaceuticals at partner hospitals.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should proactively engage hospitals performing the "Dr. Luong" technique to secure preferred tender positioning for levothyroxine, calcium supplements, and post-surgical antibiotics. Rising international patient volumes will elevate drug quality standards — a competitive window for Davipharm's higher-quality generics over imports.</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CHÍNH SÁCH Y TẾ</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Quality Assurance in Pharmaceuticals, Cosmetics &amp; Food: Public Health Imperative</w:t>
            </w:r>
          </w:p>
        </w:tc>
      </w:tr>
    </w:tbl>
    <w:p>
      <w:pPr>
        <w:spacing w:before="40" w:after="40"/>
        <w:ind w:left="170"/>
      </w:pPr>
      <w:r>
        <w:rPr>
          <w:rFonts w:ascii="Calibri" w:hAnsi="Calibri"/>
          <w:b w:val="0"/>
          <w:i/>
          <w:color w:val="6B7280"/>
          <w:sz w:val="18"/>
        </w:rPr>
        <w:t>The article outlines general quality assurance directions for pharmaceuticals, cosmetics, and functional foods in Vietnam, with no specific regulatory document or tender result issued. The content is editorial in nature and carries no direct short-term impact on Davipharm's product portfolio or tendering operations.[Source]</w:t>
      </w:r>
    </w:p>
    <w:p>
      <w:pPr>
        <w:spacing w:before="20" w:after="40"/>
        <w:ind w:left="170"/>
      </w:pPr>
      <w:r>
        <w:rPr>
          <w:rFonts w:ascii="Calibri" w:hAnsi="Calibri"/>
          <w:b/>
          <w:i w:val="0"/>
          <w:color w:val="374151"/>
          <w:sz w:val="17"/>
        </w:rPr>
        <w:t>⚪ Neutral signal — no specific regulatory or tender event impacting Davipharm products; monitor in case quality control directions are formalized into binding regulation.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Regulatory Affairs team should monitor follow-up developments from the Drug Administration of Vietnam to detect early if this direction materializes into binding circulars or decrees affecting product registration or GMP conditions across the portfolio; no immediate action required at this stage.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Summer Travel Health Prep: Seasonal OTC Demand Signal</w:t>
            </w:r>
          </w:p>
        </w:tc>
      </w:tr>
    </w:tbl>
    <w:p>
      <w:pPr>
        <w:spacing w:before="40" w:after="40"/>
        <w:ind w:left="170"/>
      </w:pPr>
      <w:r>
        <w:rPr>
          <w:rFonts w:ascii="Calibri" w:hAnsi="Calibri"/>
          <w:b w:val="0"/>
          <w:i/>
          <w:color w:val="6B7280"/>
          <w:sz w:val="18"/>
        </w:rPr>
        <w:t>VNVC-sourced article advises summer travelers to stock basic OTC medicines (antipyretics, digestives, antiseptics) and vaccines, signaling a seasonal uptick in consumer OTC demand. Direct impact on Davipharm is minimal as its portfolio lacks dedicated travel-health OTC products and the article has no relevance to ETC/tender channels.[Source]</w:t>
      </w:r>
    </w:p>
    <w:p>
      <w:pPr>
        <w:spacing w:before="20" w:after="40"/>
        <w:ind w:left="170"/>
      </w:pPr>
      <w:r>
        <w:rPr>
          <w:rFonts w:ascii="Calibri" w:hAnsi="Calibri"/>
          <w:b/>
          <w:i w:val="0"/>
          <w:color w:val="374151"/>
          <w:sz w:val="17"/>
        </w:rPr>
        <w:t>➖ Article has no direct relevance to Davipharm's ETC portfolio or strategic products; no immediate opportunity or risk identified.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priority action required. Marketing team may log as a background OTC seasonal demand signal; no resource allocation needed as Davipharm lacks a travel-health OTC positioning for its digestive/antipyretic lines.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Minimally Invasive Esophagectomy for Early-Stage Cancer: Clinical Signal for Oncology Market</w:t>
            </w:r>
          </w:p>
        </w:tc>
      </w:tr>
    </w:tbl>
    <w:p>
      <w:pPr>
        <w:spacing w:before="40" w:after="40"/>
        <w:ind w:left="170"/>
      </w:pPr>
      <w:r>
        <w:rPr>
          <w:rFonts w:ascii="Calibri" w:hAnsi="Calibri"/>
          <w:b w:val="0"/>
          <w:i/>
          <w:color w:val="6B7280"/>
          <w:sz w:val="18"/>
        </w:rPr>
        <w:t>Tam Anh Hospital successfully performed total minimally invasive esophagectomy for an early-stage esophageal cancer patient (cT1bN0M0), with no adjuvant chemo-radiotherapy required post-surgery. This reflects a trend toward early cancer detection via routine screening, potentially shifting patient volume away from systemic oncology therapies relevant to Davipharm's HYYR (Erlotinib) and LARRIVEY (Bicalutamide).[Source]</w:t>
      </w:r>
    </w:p>
    <w:p>
      <w:pPr>
        <w:spacing w:before="20" w:after="40"/>
        <w:ind w:left="170"/>
      </w:pPr>
      <w:r>
        <w:rPr>
          <w:rFonts w:ascii="Calibri" w:hAnsi="Calibri"/>
          <w:b/>
          <w:i w:val="0"/>
          <w:color w:val="374151"/>
          <w:sz w:val="17"/>
        </w:rPr>
        <w:t>⚪ Watch signal: growing early-detection trend may gradually reduce the patient pool for targeted therapy — no immediate revenue impact for Davipharm, but warrants monitoring of oncology treatment model shifts in top-tier ETC hospital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Oncology Team to monitor the ratio of surgical resection vs. systemic treatment cases at top-tier hospitals (Tam Anh, Bach Mai, Cho Ray) to assess long-term bidding implications for HYYR and LARRIVEY; no immediate action required this quarter.</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MoH Proposes Bach Mai &amp; Viet Duc Satellite Hospitals Adopt Full Service Pricing Parity</w:t>
            </w:r>
          </w:p>
        </w:tc>
      </w:tr>
    </w:tbl>
    <w:p>
      <w:pPr>
        <w:spacing w:before="40" w:after="40"/>
        <w:ind w:left="170"/>
      </w:pPr>
      <w:r>
        <w:rPr>
          <w:rFonts w:ascii="Calibri" w:hAnsi="Calibri"/>
          <w:b w:val="0"/>
          <w:i/>
          <w:color w:val="6B7280"/>
          <w:sz w:val="18"/>
        </w:rPr>
        <w:t>The Ministry of Health has proposed allowing the satellite campuses of Bach Mai and Viet Duc hospitals to charge the same service fees as their main facilities, aiming to improve financial autonomy and patient volume at these two major northern tertiary centers. If approved, increased inpatient activity at these sites would expand ETC consumption opportunities for Davipharm's cardiovascular, diabetes, and oncology portfolios.[Source]</w:t>
      </w:r>
    </w:p>
    <w:p>
      <w:pPr>
        <w:spacing w:before="20" w:after="40"/>
        <w:ind w:left="170"/>
      </w:pPr>
      <w:r>
        <w:rPr>
          <w:rFonts w:ascii="Calibri" w:hAnsi="Calibri"/>
          <w:b/>
          <w:i w:val="0"/>
          <w:color w:val="166534"/>
          <w:sz w:val="17"/>
        </w:rPr>
        <w:t>📈 ETC expansion opportunity: two fully operational satellite hospitals represent additional independent procurement units — potential to list RAVASTEL, EIMLER-10, HYYR, and PECHAUNOX in new tender packages.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Northern ETC Sales Team should monitor approval progress and proactively engage the Pharmacy &amp; Medical Supply departments at Bach Mai 2 (Ha Nam) and Viet Duc 2 (Ninh Binh) upon official confirmation, prioritizing formulary listing of RAVASTEL, EIMLER-10, PECHAUNOX, and HYYR in these facilities' inaugural tender cycles.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HCM City Earns VND 3,500B from Dental Tourism — Signal from Vietnam's Growing Out-of-Pocket Healthcare Market</w:t>
            </w:r>
          </w:p>
        </w:tc>
      </w:tr>
    </w:tbl>
    <w:p>
      <w:pPr>
        <w:spacing w:before="40" w:after="40"/>
        <w:ind w:left="170"/>
      </w:pPr>
      <w:r>
        <w:rPr>
          <w:rFonts w:ascii="Calibri" w:hAnsi="Calibri"/>
          <w:b w:val="0"/>
          <w:i/>
          <w:color w:val="6B7280"/>
          <w:sz w:val="18"/>
        </w:rPr>
        <w:t>Ho Chi Minh City recorded VND 3,500 billion in revenue from dental tourism services, reflecting a growing consumer willingness to pay out-of-pocket for elective healthcare outside the BHYT system. This trend has no direct impact on Davipharm's ETC tender portfolio, but signals expansion potential for OTC and private-clinic channels.[Source]</w:t>
      </w:r>
    </w:p>
    <w:p>
      <w:pPr>
        <w:spacing w:before="20" w:after="40"/>
        <w:ind w:left="170"/>
      </w:pPr>
      <w:r>
        <w:rPr>
          <w:rFonts w:ascii="Calibri" w:hAnsi="Calibri"/>
          <w:b/>
          <w:i w:val="0"/>
          <w:color w:val="374151"/>
          <w:sz w:val="17"/>
        </w:rPr>
        <w:t>📊 No direct relevance to Davipharm's core portfolio; macro signal of rising out-of-pocket healthcare spending may indirectly benefit OTC channel products (JANUS, TADALAFIL 20MG, DRYCHES).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OTC Marketing team may reference this out-of-pocket spending trend to strengthen the investment case for private clinic and premium pharmacy channels for the Men's Health portfolio (JANUS, TADALAFIL 20MG, DRYCHES) in H2/2025 planning. No urgent action required — routine monitoring.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Ministry of Health Mobilizes ~VND 6B in Medicines &amp; Medical Equipment for Truong Sa Islands</w:t>
            </w:r>
          </w:p>
        </w:tc>
      </w:tr>
    </w:tbl>
    <w:p>
      <w:pPr>
        <w:spacing w:before="40" w:after="40"/>
        <w:ind w:left="170"/>
      </w:pPr>
      <w:r>
        <w:rPr>
          <w:rFonts w:ascii="Calibri" w:hAnsi="Calibri"/>
          <w:b w:val="0"/>
          <w:i/>
          <w:color w:val="6B7280"/>
          <w:sz w:val="18"/>
        </w:rPr>
        <w:t>The Ministry of Health donated nearly VND 6 billion in medicines and medical equipment to seven islands and one offshore platform in Truong Sa, with VND 3.3 billion earmarked for medical supplies and devices. This is a humanitarian/defense initiative outside the commercial ETC tendering channels relevant to Davipharm's core business.[Source]</w:t>
      </w:r>
    </w:p>
    <w:p>
      <w:pPr>
        <w:spacing w:before="20" w:after="40"/>
        <w:ind w:left="170"/>
      </w:pPr>
      <w:r>
        <w:rPr>
          <w:rFonts w:ascii="Calibri" w:hAnsi="Calibri"/>
          <w:b/>
          <w:i w:val="0"/>
          <w:color w:val="374151"/>
          <w:sz w:val="17"/>
        </w:rPr>
        <w:t>⚪ No direct impact on Davipharm's revenue or tender portfolio; monitor only if MoH expands defense healthcare supply into competitive centralized procurement mechanisms.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immediate action required. BD/Tender team may note the military healthcare supply channel (Ministry of Defense) as a long-term opportunity, particularly for essential products such as METILONE-4 (Methylprednisolone) — subject to first verifying the military's separate procurement process.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Triple Synthetic Drug Combo (Ketamine/MDMA/Meth) Triggers Severe CNS Damage — Public Health Alert</w:t>
            </w:r>
          </w:p>
        </w:tc>
      </w:tr>
    </w:tbl>
    <w:p>
      <w:pPr>
        <w:spacing w:before="40" w:after="40"/>
        <w:ind w:left="170"/>
      </w:pPr>
      <w:r>
        <w:rPr>
          <w:rFonts w:ascii="Calibri" w:hAnsi="Calibri"/>
          <w:b w:val="0"/>
          <w:i/>
          <w:color w:val="6B7280"/>
          <w:sz w:val="18"/>
        </w:rPr>
        <w:t>The arrest of singer Miu Lê testing positive for Methamphetamine, MDMA, and Ketamine simultaneously has prompted medical warnings about prolonged CNS damage, depression, and psychiatric disorders from polysubstance abuse. While unrelated to generic procurement or reg-policy, the trend indirectly signals potential growth in demand for psychiatric treatment (depression, anxiety, behavioral disorders) relevant to Davipharm's CNS portfolio.[Source]</w:t>
      </w:r>
    </w:p>
    <w:p>
      <w:pPr>
        <w:spacing w:before="20" w:after="40"/>
        <w:ind w:left="170"/>
      </w:pPr>
      <w:r>
        <w:rPr>
          <w:rFonts w:ascii="Calibri" w:hAnsi="Calibri"/>
          <w:b/>
          <w:i w:val="0"/>
          <w:color w:val="374151"/>
          <w:sz w:val="17"/>
        </w:rPr>
        <w:t>📊 No direct revenue or tender impact; monitor rising psychiatric patient volumes as a long-term demand signal for SERNAL (Risperidone) and LAFAXOR (Venlafaxine) in the ETC channel.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teams to monitor epidemiological data on substance-abuse-related psychiatric disorders; assess opportunity to expand SERNAL and LAFAXOR listings in psychiatric hospitals and general hospital psychiatry departments ahead of the next tender cycle (est. 2025–2026).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UK Military Parachute Drop to Rescue Suspected Hantavirus Patient on Remote Island</w:t>
            </w:r>
          </w:p>
        </w:tc>
      </w:tr>
    </w:tbl>
    <w:p>
      <w:pPr>
        <w:spacing w:before="40" w:after="40"/>
        <w:ind w:left="170"/>
      </w:pPr>
      <w:r>
        <w:rPr>
          <w:rFonts w:ascii="Calibri" w:hAnsi="Calibri"/>
          <w:b w:val="0"/>
          <w:i/>
          <w:color w:val="6B7280"/>
          <w:sz w:val="18"/>
        </w:rPr>
        <w:t>The UK military conducted an emergency parachute operation to Tristan da Cunha to treat a suspected Hantavirus (Andes strain) case from the MV Hondius, which has caused 3 deaths; the outbreak has potential person-to-person transmission. This international health event has no direct relevance to Vietnam's pharmaceutical market or Davipharm's product portfolio.[Source]</w:t>
      </w:r>
    </w:p>
    <w:p>
      <w:pPr>
        <w:spacing w:before="20" w:after="40"/>
        <w:ind w:left="170"/>
      </w:pPr>
      <w:r>
        <w:rPr>
          <w:rFonts w:ascii="Calibri" w:hAnsi="Calibri"/>
          <w:b/>
          <w:i w:val="0"/>
          <w:color w:val="374151"/>
          <w:sz w:val="17"/>
        </w:rPr>
        <w:t>⚪ No direct impact on Davipharm — international health news outside the company's product portfolio and target market scope.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BOD may monitor only if WHO or Vietnam's Ministry of Health issues a domestic Hantavirus epidemiological alert; currently, no Davipharm product addresses Hantavirus treatment.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Ultra-Processed Food Linked to Colorectal Cancer Rise — Implications for Oncology Drug Demand</w:t>
            </w:r>
          </w:p>
        </w:tc>
      </w:tr>
    </w:tbl>
    <w:p>
      <w:pPr>
        <w:spacing w:before="40" w:after="40"/>
        <w:ind w:left="170"/>
      </w:pPr>
      <w:r>
        <w:rPr>
          <w:rFonts w:ascii="Calibri" w:hAnsi="Calibri"/>
          <w:b w:val="0"/>
          <w:i/>
          <w:color w:val="6B7280"/>
          <w:sz w:val="18"/>
        </w:rPr>
        <w:t>A JAMA Oncology study confirms that high ultra-processed food consumption significantly raises adenomatous polyp risk, accelerating early colorectal cancer screening and treatment trends in Vietnam. This trend may expand the addressable ETC market for Davipharm's oncology portfolio, particularly HYYR (Erlotinib) and LARRIVEY (Bicalutamide) in hospital channels.[Source]</w:t>
      </w:r>
    </w:p>
    <w:p>
      <w:pPr>
        <w:spacing w:before="20" w:after="40"/>
        <w:ind w:left="170"/>
      </w:pPr>
      <w:r>
        <w:rPr>
          <w:rFonts w:ascii="Calibri" w:hAnsi="Calibri"/>
          <w:b/>
          <w:i w:val="0"/>
          <w:color w:val="374151"/>
          <w:sz w:val="17"/>
        </w:rPr>
        <w:t>📊 Long-term signal: rising oncology demand benefits the high-value ETC portfolio, but near-term revenue impact remains indirect and requires monitoring.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 Marketing Team, in coordination with Medical Affairs, should monitor colorectal cancer screening volume at key hospitals and assess opportunities to expand HYYR and LARRIVEY positioning ahead of the next tender cycle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Natural Beetroot Trend for Blood Pressure Control — Soft Competitive Signal for Antihypertensive Portfolio</w:t>
            </w:r>
          </w:p>
        </w:tc>
      </w:tr>
    </w:tbl>
    <w:p>
      <w:pPr>
        <w:spacing w:before="40" w:after="40"/>
        <w:ind w:left="170"/>
      </w:pPr>
      <w:r>
        <w:rPr>
          <w:rFonts w:ascii="Calibri" w:hAnsi="Calibri"/>
          <w:b w:val="0"/>
          <w:i/>
          <w:color w:val="6B7280"/>
          <w:sz w:val="18"/>
        </w:rPr>
        <w:t>Mainstream health media is promoting beetroot juice (reducing BP ~8/4 mmHg) as a drug-free alternative for hypertension, potentially reinforcing a "no medication needed" mindset among mild hypertensive patients — the target base for PECHAUNOX (Perindopril+Amlodipine), TABAREX (Valsartan), and HATLOP (Irbesartan). However, this content originates from international sources and does not yet reflect prescribing behavior changes in Vietnam.[Source]</w:t>
      </w:r>
    </w:p>
    <w:p>
      <w:pPr>
        <w:spacing w:before="20" w:after="40"/>
        <w:ind w:left="170"/>
      </w:pPr>
      <w:r>
        <w:rPr>
          <w:rFonts w:ascii="Calibri" w:hAnsi="Calibri"/>
          <w:b/>
          <w:i w:val="0"/>
          <w:color w:val="374151"/>
          <w:sz w:val="17"/>
        </w:rPr>
        <w:t>⚠️ Low long-term risk — the "food over medicine" trend may delay initiation in mild hypertension patients, but is insufficient to materially impact Davipharm's ETC hospital channel revenue in the near term.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team (cardiovascular) should monitor Vietnamese social media for rising "drug-free BP control" content frequency; if trend escalates through Q3/2025, coordinate with Medical Affairs to prepare HCP education materials reinforcing the irreplaceable role of pharmacotherapy (PECHAUNOX, TABAREX) in Grade 2+ hypertension and patients with comorbidities.</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Monitor Bach Mai 2/Viet Duc 2 approval; prep tender dossiers for RAVASTEL, EIMLER-10, PECHAUNOX, HYYR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ETC</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Bach Mai 2 &amp; Viet Duc 2 — new procurement units</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Engage pharmacy depts at Bach Mai 2 &amp; Viet Duc 2 to list HYYR and LARRIVEY in first tender cycle</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ETC</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Oncology ETC expansion — northern tertiary hospitals</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Track early esophageal cancer surgical trend; assess long-term tender impact on HYYR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Early-stage surgical resection trend — reduced targeted therapy patient pool</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&lt;span class="vi-</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