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11–17/05/2026 không phát sinh sự kiện pháp lý hay đấu thầu trực tiếp, nhưng đề xuất nâng cấp cơ sở 2 Bạch Mai &amp; Việt Đức là tín hiệu mở rộng ETC quan trọng nhất cần Davipharm hành động sớm.</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ETC mở rộng – Bạch Mai 2 &amp; Việt Đức 2:Nếu đề xuất được thông qua, hai đơn vị mua sắm độc lập mới tại Hà Nam và Ninh Bình sẽ mở chu kỳ thầu đầu tiên — cơ hội trực tiếp cho RAVASTEL, EIMLER-10, PECHAUNOX và HYYR.</w:t>
            </w:r>
          </w:p>
          <w:p>
            <w:pPr>
              <w:spacing w:before="20" w:after="60"/>
              <w:ind w:left="142"/>
            </w:pPr>
            <w:r>
              <w:rPr>
                <w:rFonts w:ascii="Calibri" w:hAnsi="Calibri"/>
                <w:b w:val="0"/>
                <w:i w:val="0"/>
                <w:color w:val="111827"/>
                <w:sz w:val="17"/>
              </w:rPr>
              <w:t>▸  Ung thư – Tầm soát sớm:Xu hướng phẫu thuật triệt căn ung thư giai đoạn sớm có thể dần thu hẹp nhóm bệnh nhân cần thuốc nhắm đích, tác động dài hạn đến vị thế thầu của HYYR và LARRIVEY tại bệnh viện tuyến đầu.</w:t>
            </w:r>
          </w:p>
          <w:p>
            <w:pPr>
              <w:spacing w:before="20" w:after="60"/>
              <w:ind w:left="142"/>
            </w:pPr>
            <w:r>
              <w:rPr>
                <w:rFonts w:ascii="Calibri" w:hAnsi="Calibri"/>
                <w:b w:val="0"/>
                <w:i w:val="0"/>
                <w:color w:val="111827"/>
                <w:sz w:val="17"/>
              </w:rPr>
              <w:t>▸  OTC – Chi tiêu tự nguyện tăng:Dữ liệu du lịch y tế TP.HCM (3.500 tỉ đồng) xác nhận xu hướng vĩ mô người tiêu dùng sẵn chi tiêu ngoài BHYT, hỗ trợ luận điểm đầu tư kênh phòng khám tư cho nhóm Nam khoa (JANUS, TADALAFIL 20MG, DRYCHES).</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tc>
      </w:tr>
    </w:tbl>
    <w:p>
      <w:pPr>
        <w:spacing w:after="12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1</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9</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Bệnh viện S.I.S Cần Thơ được hướng dẫn xử lý nước thải y tế</w:t>
            </w:r>
          </w:p>
        </w:tc>
      </w:tr>
    </w:tbl>
    <w:p>
      <w:pPr>
        <w:spacing w:before="40" w:after="40"/>
        <w:ind w:left="170"/>
      </w:pPr>
      <w:r>
        <w:rPr>
          <w:rFonts w:ascii="Calibri" w:hAnsi="Calibri"/>
          <w:b w:val="0"/>
          <w:i/>
          <w:color w:val="6B7280"/>
          <w:sz w:val="18"/>
        </w:rPr>
        <w:t>Bài báo phản ánh hoạt động tuân thủ môi trường tại bệnh viện tư nhân S.I.S Cần Thơ liên quan đến thu gom và xử lý nước thải y tế — không liên quan trực tiếp đến ngành dược phẩm hay thị trường phân phối thuốc. Nội dung bài mang tính thông tin địa phương, không có dữ liệu thị trường có giá trị phân tích.</w:t>
      </w:r>
    </w:p>
    <w:p>
      <w:pPr>
        <w:spacing w:before="20" w:after="40"/>
        <w:ind w:left="170"/>
      </w:pPr>
      <w:r>
        <w:rPr>
          <w:rFonts w:ascii="Calibri" w:hAnsi="Calibri"/>
          <w:b/>
          <w:i w:val="0"/>
          <w:color w:val="374151"/>
          <w:sz w:val="17"/>
        </w:rPr>
        <w:t>⚪ Tin tức không có tác động đến hoạt động kinh doanh hoặc chiến lược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có hành động cần thiết — bài báo nằm ngoài phạm vi theo dõi chiến lược dược phẩm; khuyến nghị loại khỏi bộ lọc tin tức BOD để tối ưu thời gian phân tích.</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5 nhóm thực phẩm thiết yếu trong dinh dưỡng sau tuổi 50</w:t>
            </w:r>
          </w:p>
        </w:tc>
      </w:tr>
    </w:tbl>
    <w:p>
      <w:pPr>
        <w:spacing w:before="40" w:after="40"/>
        <w:ind w:left="170"/>
      </w:pPr>
      <w:r>
        <w:rPr>
          <w:rFonts w:ascii="Calibri" w:hAnsi="Calibri"/>
          <w:b w:val="0"/>
          <w:i/>
          <w:color w:val="6B7280"/>
          <w:sz w:val="18"/>
        </w:rPr>
        <w:t>Truyền thông y tế đang đẩy mạnh nội dung dinh dưỡng cho người cao tuổi, phản ánh nhu cầu ngày càng tăng của nhóm dân số trên 50 tuổi tại Việt Nam. Xu hướng này tạo ra không gian thị trường rõ ràng cho các sản phẩm thực phẩm chức năng bổ sung vi chất, canxi, vitamin D và omega-3.</w:t>
      </w:r>
    </w:p>
    <w:p>
      <w:pPr>
        <w:spacing w:before="20" w:after="40"/>
        <w:ind w:left="170"/>
      </w:pPr>
      <w:r>
        <w:rPr>
          <w:rFonts w:ascii="Calibri" w:hAnsi="Calibri"/>
          <w:b/>
          <w:i w:val="0"/>
          <w:color w:val="166534"/>
          <w:sz w:val="17"/>
        </w:rPr>
        <w:t>📈 Nội dung truyền thông y tế về dinh dưỡng người cao tuổi gia tăng — cơ hội mở rộng danh mục TPCN cho phân khúc 50+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Tận dụng xu hướng truyền thông này để đẩy mạnh marketing cho các sản phẩm canxi, vitamin D tổng hợp và omega-3 hiện có, đồng thời xem xét phát triển combo dinh dưỡng "Active 50+" nhằm chiếm lĩnh phân khúc người cao tuổi đang tăng trưởng nhanh.</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11 thực phẩm chức năng cần tránh khi dùng thuốc chống đông máu</w:t>
            </w:r>
          </w:p>
        </w:tc>
      </w:tr>
    </w:tbl>
    <w:p>
      <w:pPr>
        <w:spacing w:before="40" w:after="40"/>
        <w:ind w:left="170"/>
      </w:pPr>
      <w:r>
        <w:rPr>
          <w:rFonts w:ascii="Calibri" w:hAnsi="Calibri"/>
          <w:b w:val="0"/>
          <w:i/>
          <w:color w:val="6B7280"/>
          <w:sz w:val="18"/>
        </w:rPr>
        <w:t>Báo SK&amp;ĐS cảnh báo 11 nhóm thực phẩm chức năng (TPCN) có tương tác nguy hiểm với thuốc chống đông, làm tăng nguy cơ chảy máu hoặc đông máu bất thường. Thông tin này xuất hiện trong bối cảnh thị trường TPCN Việt Nam tăng trưởng mạnh nhưng nhận thức về tương tác thuốc-TPCN còn thấp.</w:t>
      </w:r>
    </w:p>
    <w:p>
      <w:pPr>
        <w:spacing w:before="20" w:after="40"/>
        <w:ind w:left="170"/>
      </w:pPr>
      <w:r>
        <w:rPr>
          <w:rFonts w:ascii="Calibri" w:hAnsi="Calibri"/>
          <w:b/>
          <w:i w:val="0"/>
          <w:color w:val="166534"/>
          <w:sz w:val="17"/>
        </w:rPr>
        <w:t>💡 Cơ hội định vị Davipharm như chuyên gia an toàn dùng thuốc — lợi thế truyền thông B2B và B2C trong phân khúc tim mạch.</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Phát triển tài liệu tư vấn "Hướng dẫn dùng thuốc chống đông an toàn" phân phối qua nhà thuốc và bác sĩ kê toa — tăng nhận diện thương hiệu trong phân khúc tim mạch và củng cố quan hệ với kênh ETC/OTC. Đồng thời, rà soát danh mục TPCN/OTC hiện có để đảm bảo nhãn sản phẩm cảnh báo đầy đủ tương tác thuốc, giảm thiểu rủi ro pháp lý.</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Biến chứng thủy đậu nghiêm trọng: Trẻ 6 tuổi nhiễm khuẩn huyết, thở máy nguy kịch</w:t>
            </w:r>
          </w:p>
        </w:tc>
      </w:tr>
    </w:tbl>
    <w:p>
      <w:pPr>
        <w:spacing w:before="40" w:after="40"/>
        <w:ind w:left="170"/>
      </w:pPr>
      <w:r>
        <w:rPr>
          <w:rFonts w:ascii="Calibri" w:hAnsi="Calibri"/>
          <w:b w:val="0"/>
          <w:i/>
          <w:color w:val="6B7280"/>
          <w:sz w:val="18"/>
        </w:rPr>
        <w:t>Trường hợp trẻ 6 tuổi biến chứng nhiễm khuẩn huyết do thủy đậu gây chú ý dư luận, làm tăng nhận thức cộng đồng về nguy cơ bội nhiễm vi khuẩn sau nhiễm virus. Nhu cầu kháng sinh điều trị nhiễm khuẩn thứ phát và thuốc kháng virus tại các cơ sở nhi khoa dự kiến gia tăng trong mùa dịch thủy đậu.</w:t>
      </w:r>
    </w:p>
    <w:p>
      <w:pPr>
        <w:spacing w:before="20" w:after="40"/>
        <w:ind w:left="170"/>
      </w:pPr>
      <w:r>
        <w:rPr>
          <w:rFonts w:ascii="Calibri" w:hAnsi="Calibri"/>
          <w:b/>
          <w:i w:val="0"/>
          <w:color w:val="166534"/>
          <w:sz w:val="17"/>
        </w:rPr>
        <w:t>📈 Cơ hội tăng trưởng ngắn hạn cho danh mục kháng sinh nhi khoa và thuốc hỗ trợ điều trị biến chứng thủy đậu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Đẩy mạnh hoạt động Medical Rep tại các bệnh viện nhi và phòng khám nhi khoa với danh mục kháng sinh phổ rộng (amoxicillin-clavulanate, cephalosporin) và acyclovir — nhấn mạnh vai trò điều trị sớm để ngăn biến chứng. Cân nhắc phát hành tài liệu KOL/y văn hỗ trợ bác sĩ nhi về phác đồ xử lý biến chứng thủy đậu nhằm tăng nhận diện thương hiệu Davipharm trong phân khúc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NHÂN DÂN – XÃ HỘI</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Kỹ thuật mổ nội soi tuyến giáp "Dr Lương" thu hút bệnh nhân &amp; bác sĩ quốc tế đến Việt Nam</w:t>
            </w:r>
          </w:p>
        </w:tc>
      </w:tr>
    </w:tbl>
    <w:p>
      <w:pPr>
        <w:spacing w:before="40" w:after="40"/>
        <w:ind w:left="170"/>
      </w:pPr>
      <w:r>
        <w:rPr>
          <w:rFonts w:ascii="Calibri" w:hAnsi="Calibri"/>
          <w:b w:val="0"/>
          <w:i/>
          <w:color w:val="6B7280"/>
          <w:sz w:val="18"/>
        </w:rPr>
        <w:t>Phương pháp mổ nội soi tuyến giáp "Dr Lương" của Việt Nam đang thu hút bệnh nhân từ Philippines và bác sĩ từ Azerbaijan, Ấn Độ đến học hỏi, khẳng định vị thế trung tâm y tế chất lượng cao trong khu vực. Xu hướng du lịch y tế quốc tế vào Việt Nam mở ra nhu cầu gia tăng đối với dược phẩm hậu phẫu và thuốc đặc trị tuyến giáp tại các bệnh viện tuyến đầu.</w:t>
      </w:r>
    </w:p>
    <w:p>
      <w:pPr>
        <w:spacing w:before="20" w:after="40"/>
        <w:ind w:left="170"/>
      </w:pPr>
      <w:r>
        <w:rPr>
          <w:rFonts w:ascii="Calibri" w:hAnsi="Calibri"/>
          <w:b/>
          <w:i w:val="0"/>
          <w:color w:val="166534"/>
          <w:sz w:val="17"/>
        </w:rPr>
        <w:t>🟢 Tín hiệu tích cực gián tiếp — du lịch y tế tăng trưởng thúc đẩy nhu cầu dược phẩm hậu phẫu tuyến giáp tại bệnh viện đối tác.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Davipharm nên chủ động tiếp cận các bệnh viện chuyên sâu thực hiện kỹ thuật "Dr Lương" (như BV Nội tiết TW, BV Bạch Mai) để đưa thuốc levothyroxine, canxi và kháng sinh hậu phẫu vào danh mục ưu tiên đấu thầu. Đây là cơ hội xây dựng quan hệ đối tác bệnh viện dài hạn, đặc biệt khi lượng bệnh nhân quốc tế gia tăng sẽ nâng cao tiêu chuẩn thuốc được chỉ định.</w:t>
            </w:r>
          </w:p>
        </w:tc>
      </w:tr>
    </w:tbl>
    <w:p>
      <w:pPr>
        <w:spacing w:before="40" w:after="120"/>
      </w:pP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CHÍNH SÁCH Y TẾ</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Đảm bảo chất lượng thuốc, mỹ phẩm, thực phẩm vì sức khỏe cộng đồng</w:t>
            </w:r>
          </w:p>
        </w:tc>
      </w:tr>
    </w:tbl>
    <w:p>
      <w:pPr>
        <w:spacing w:before="40" w:after="40"/>
        <w:ind w:left="170"/>
      </w:pPr>
      <w:r>
        <w:rPr>
          <w:rFonts w:ascii="Calibri" w:hAnsi="Calibri"/>
          <w:b w:val="0"/>
          <w:i/>
          <w:color w:val="6B7280"/>
          <w:sz w:val="18"/>
        </w:rPr>
        <w:t>Bài viết đề cập định hướng chung về đảm bảo chất lượng thuốc, mỹ phẩm và thực phẩm chức năng tại Việt Nam, không có văn bản pháp quy cụ thể hay kết quả đấu thầu nào được ban hành. Nội dung mang tính tổng quan truyền thông, không tác động trực tiếp đến danh mục sản phẩm hay hoạt động đấu thầu của Davipharm trong ngắn hạn.</w:t>
      </w:r>
    </w:p>
    <w:p>
      <w:pPr>
        <w:spacing w:before="20" w:after="40"/>
        <w:ind w:left="170"/>
      </w:pPr>
      <w:r>
        <w:rPr>
          <w:rFonts w:ascii="Calibri" w:hAnsi="Calibri"/>
          <w:b/>
          <w:i w:val="0"/>
          <w:color w:val="374151"/>
          <w:sz w:val="17"/>
        </w:rPr>
        <w:t>⚪ Tín hiệu trung lập — không có sự kiện quy định hoặc thầu cụ thể tác động đến sản phẩm Davipharm; theo dõi nếu xu hướng kiểm soát chất lượng được cụ thể hóa thành văn bản.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Regulatory Affairs theo dõi các diễn biến tiếp theo từ Cục Quản lý Dược để phát hiện sớm nếu định hướng này chuyển thành thông tư/nghị định ảnh hưởng đến điều kiện lưu hành hoặc GMP của toàn danh mục; không cần hành động khẩn cấp tại thời điểm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Chuẩn bị sức khỏe du lịch hè vùng xa: tín hiệu nhu cầu OTC mùa hè</w:t>
            </w:r>
          </w:p>
        </w:tc>
      </w:tr>
    </w:tbl>
    <w:p>
      <w:pPr>
        <w:spacing w:before="40" w:after="40"/>
        <w:ind w:left="170"/>
      </w:pPr>
      <w:r>
        <w:rPr>
          <w:rFonts w:ascii="Calibri" w:hAnsi="Calibri"/>
          <w:b w:val="0"/>
          <w:i/>
          <w:color w:val="6B7280"/>
          <w:sz w:val="18"/>
        </w:rPr>
        <w:t>Bài viết từ VNVC khuyến nghị người đi du lịch hè vùng xa chuẩn bị túi thuốc cơ bản (hạ sốt, tiêu hóa, sát khuẩn) và vaccine, phản ánh nhu cầu tiêu dùng OTC theo mùa hè tăng cao. Tác động trực tiếp đến Davipharm rất hạn chế do danh mục không có sản phẩm OTC travel-health chủ lực; bài viết không đề cập đến kênh ETC hay đấu thầu.</w:t>
      </w:r>
    </w:p>
    <w:p>
      <w:pPr>
        <w:spacing w:before="20" w:after="40"/>
        <w:ind w:left="170"/>
      </w:pPr>
      <w:r>
        <w:rPr>
          <w:rFonts w:ascii="Calibri" w:hAnsi="Calibri"/>
          <w:b/>
          <w:i w:val="0"/>
          <w:color w:val="374151"/>
          <w:sz w:val="17"/>
        </w:rPr>
        <w:t>➖ Tin không liên quan trực tiếp đến danh mục ETC hay sản phẩm chiến lược của Davipharm; không phát sinh cơ hội hay rủi ro rõ ràng trong kỳ ngắn hạn.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ưu tiên. Marketing team có thể ghi nhận như tín hiệu nền về nhu cầu OTC mùa hè, tuy nhiên không cần phân bổ nguồn lực do Davipharm chưa có sản phẩm tiêu hóa/hạ sốt OTC định vị phân khúc travel-health.</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Phẫu thuật nội soi cắt thực quản triệt căn ung thư giai đoạn sớm tại Tâm Anh</w:t>
            </w:r>
          </w:p>
        </w:tc>
      </w:tr>
    </w:tbl>
    <w:p>
      <w:pPr>
        <w:spacing w:before="40" w:after="40"/>
        <w:ind w:left="170"/>
      </w:pPr>
      <w:r>
        <w:rPr>
          <w:rFonts w:ascii="Calibri" w:hAnsi="Calibri"/>
          <w:b w:val="0"/>
          <w:i/>
          <w:color w:val="6B7280"/>
          <w:sz w:val="18"/>
        </w:rPr>
        <w:t>Bệnh viện Tâm Anh Hà Nội thực hiện thành công phẫu thuật nội soi cắt toàn bộ thực quản cho bệnh nhân ung thư giai đoạn sớm (cT1bN0M0), bệnh nhân không cần hóa xạ trị bổ trợ sau mổ. Bài viết phản ánh xu hướng phát hiện ung thư sớm qua tầm soát định kỳ, có thể làm tăng tỷ lệ ca phẫu thuật triệt căn nhưng giảm nhu cầu điều trị hóa-xạ đa mô thức — phân khúc liên quan đến HYYR (Erlotinib) và LARRIVEY (Bicalutamide) của Davipharm.</w:t>
      </w:r>
    </w:p>
    <w:p>
      <w:pPr>
        <w:spacing w:before="20" w:after="40"/>
        <w:ind w:left="170"/>
      </w:pPr>
      <w:r>
        <w:rPr>
          <w:rFonts w:ascii="Calibri" w:hAnsi="Calibri"/>
          <w:b/>
          <w:i w:val="0"/>
          <w:color w:val="374151"/>
          <w:sz w:val="17"/>
        </w:rPr>
        <w:t>⚪ Tín hiệu theo dõi: xu hướng phát hiện ung thư sớm có thể giảm nhóm bệnh nhân dùng thuốc nhắm đích — không tác động trực tiếp đến doanh thu Davipharm trong ngắn hạn, nhưng cần theo dõi dịch chuyển mô hình điều trị ung thư tại kênh ETC bệnh viện tuyến đầu.</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Ung thư (Oncology) theo dõi tỷ lệ ca phẫu thuật triệt căn vs. điều trị hệ thống tại các bệnh viện tuyến trên (Tâm Anh, Bạch Mai, Chợ Rẫy) để đánh giá tác động dài hạn đến vị thế thầu của HYYR và LARRIVEY; không cần hành động khẩn trong Q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Y tế đề xuất cơ sở 2 Bạch Mai, Việt Đức áp dụng giá dịch vụ y tế ngang cơ sở chính</w:t>
            </w:r>
          </w:p>
        </w:tc>
      </w:tr>
    </w:tbl>
    <w:p>
      <w:pPr>
        <w:spacing w:before="40" w:after="40"/>
        <w:ind w:left="170"/>
      </w:pPr>
      <w:r>
        <w:rPr>
          <w:rFonts w:ascii="Calibri" w:hAnsi="Calibri"/>
          <w:b w:val="0"/>
          <w:i/>
          <w:color w:val="6B7280"/>
          <w:sz w:val="18"/>
        </w:rPr>
        <w:t>Bộ Y tế đề xuất cho phép cơ sở 2 của Bạch Mai và Việt Đức áp dụng mức giá dịch vụ y tế tương đương cơ sở chính, nhằm tăng khả năng thu hút bệnh nhân và tự chủ tài chính cho hai bệnh viện tuyến trung ương lớn nhất miền Bắc. Nếu được thông qua, lượng bệnh nhân điều trị nội trú tại hai cơ sở này sẽ tăng, mở rộng thị trường tiêu thụ ETC cho các nhóm thuốc tim mạch, đái tháo đường và ung thư của Davipharm.</w:t>
      </w:r>
    </w:p>
    <w:p>
      <w:pPr>
        <w:spacing w:before="20" w:after="40"/>
        <w:ind w:left="170"/>
      </w:pPr>
      <w:r>
        <w:rPr>
          <w:rFonts w:ascii="Calibri" w:hAnsi="Calibri"/>
          <w:b/>
          <w:i w:val="0"/>
          <w:color w:val="166534"/>
          <w:sz w:val="17"/>
        </w:rPr>
        <w:t>📈 Cơ hội mở rộng thị trường ETC: hai cơ sở 2 vận hành đầy đủ đồng nghĩa thêm 2 đơn vị mua sắm độc lập — tiềm năng đưa RAVASTEL, EIMLER-10, HYYR, PECHAUNOX vào danh mục thầu mới.</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Sales ETC miền Bắc cần theo dõi tiến độ phê duyệt đề xuất và chủ động tiếp cận Ban Dược — Vật tư y tế của cơ sở 2 Bạch Mai (Hà Nam) và Việt Đức (Ninh Bình) ngay khi có quyết định chính thức, ưu tiên đăng ký danh mục cho RAVASTEL, EIMLER-10, PECHAUNOX và HYYR trong chu kỳ thầu đầu tiên của các đơn vị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TP.HCM thu 3.500 tỉ đồng từ du lịch chăm sóc răng miệng — tín hiệu từ thị trường y tế tự nguyện</w:t>
            </w:r>
          </w:p>
        </w:tc>
      </w:tr>
    </w:tbl>
    <w:p>
      <w:pPr>
        <w:spacing w:before="40" w:after="40"/>
        <w:ind w:left="170"/>
      </w:pPr>
      <w:r>
        <w:rPr>
          <w:rFonts w:ascii="Calibri" w:hAnsi="Calibri"/>
          <w:b w:val="0"/>
          <w:i/>
          <w:color w:val="6B7280"/>
          <w:sz w:val="18"/>
        </w:rPr>
        <w:t>TP.HCM ghi nhận doanh thu 3.500 tỉ đồng từ dịch vụ "du lịch làm răng", phản ánh xu hướng người tiêu dùng sẵn sàng chi trả cao cho dịch vụ y tế tự nguyện ngoài hệ thống BHYT. Xu hướng này không trực tiếp tác động đến danh mục ETC của Davipharm, nhưng cho thấy tiềm năng mở rộng kênh OTC/phòng khám tư cho các sản phẩm không kê đơn.</w:t>
      </w:r>
    </w:p>
    <w:p>
      <w:pPr>
        <w:spacing w:before="20" w:after="40"/>
        <w:ind w:left="170"/>
      </w:pPr>
      <w:r>
        <w:rPr>
          <w:rFonts w:ascii="Calibri" w:hAnsi="Calibri"/>
          <w:b/>
          <w:i w:val="0"/>
          <w:color w:val="374151"/>
          <w:sz w:val="17"/>
        </w:rPr>
        <w:t>📊 Không liên quan trực tiếp đến danh mục Davipharm; tín hiệu vĩ mô cho thấy sức chi tiêu y tế tự nguyện tăng, có thể khai thác gián tiếp qua kênh OTC (JANUS, TADALAFIL 20MG, DRYCHES).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OTC có thể tham chiếu xu hướng chi tiêu y tế tự nguyện này để củng cố luận điểm đầu tư vào kênh phòng khám tư và nhà thuốc cao cấp cho nhóm sản phẩm Nam khoa (JANUS, TADALAFIL 20MG, DRYCHES) trong kế hoạch H2/2025. Không cần hành động khẩn cấp — theo dõi định kỳ.</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Y tế hỗ trợ gần 6 tỷ đồng thuốc men, thiết bị y tế cho quân dân Trường Sa</w:t>
            </w:r>
          </w:p>
        </w:tc>
      </w:tr>
    </w:tbl>
    <w:p>
      <w:pPr>
        <w:spacing w:before="40" w:after="40"/>
        <w:ind w:left="170"/>
      </w:pPr>
      <w:r>
        <w:rPr>
          <w:rFonts w:ascii="Calibri" w:hAnsi="Calibri"/>
          <w:b w:val="0"/>
          <w:i/>
          <w:color w:val="6B7280"/>
          <w:sz w:val="18"/>
        </w:rPr>
        <w:t>Bộ Y tế trao tặng thiết bị y tế, thuốc men và nhu yếu phẩm trị giá gần 6 tỷ đồng cho 7 đảo và Nhà giàn DK1/2 tại Trường Sa, trong đó 3,3 tỷ đồng dành cho thiết bị và vật tư y tế. Đây là hoạt động nhân đạo/quốc phòng đặc thù, không liên quan trực tiếp đến kênh đấu thầu ETC thương mại mà Davipharm đang tham gia.</w:t>
      </w:r>
    </w:p>
    <w:p>
      <w:pPr>
        <w:spacing w:before="20" w:after="40"/>
        <w:ind w:left="170"/>
      </w:pPr>
      <w:r>
        <w:rPr>
          <w:rFonts w:ascii="Calibri" w:hAnsi="Calibri"/>
          <w:b/>
          <w:i w:val="0"/>
          <w:color w:val="374151"/>
          <w:sz w:val="17"/>
        </w:rPr>
        <w:t>⚪ Tin không tác động trực tiếp đến doanh thu hoặc danh mục đấu thầu của Davipharm; theo dõi nếu Bộ Y tế mở rộng chương trình hỗ trợ thuốc quốc phòng thành cơ chế mua sắm tập trung có cạnh tranh.</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tức thời. BD/Tender team có thể lưu ý kênh cung ứng thuốc cho hệ thống quân y (Bộ Quốc phòng) như một cơ hội dài hạn tiềm năng, đặc biệt với các sản phẩm thiết yếu như METILONE-4 (Methylprednisolone) hoặc kháng sinh — nhưng cần xác minh quy trình mua sắm riêng của quân đội trước khi triển khai.</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Combo 3 ma túy tổng hợp gây tổn thương thần kinh nghiêm trọng — cảnh báo lạm dụng Ketamine, MDMA, Methamphetamine</w:t>
            </w:r>
          </w:p>
        </w:tc>
      </w:tr>
    </w:tbl>
    <w:p>
      <w:pPr>
        <w:spacing w:before="40" w:after="40"/>
        <w:ind w:left="170"/>
      </w:pPr>
      <w:r>
        <w:rPr>
          <w:rFonts w:ascii="Calibri" w:hAnsi="Calibri"/>
          <w:b w:val="0"/>
          <w:i/>
          <w:color w:val="6B7280"/>
          <w:sz w:val="18"/>
        </w:rPr>
        <w:t>Vụ bắt giữ ca sĩ Miu Lê dương tính đồng thời với Methamphetamine, MDMA và Ketamine làm dấy lên cảnh báo y tế về hậu quả tổn thương thần kinh trung ương, trầm cảm và rối loạn tâm thần kéo dài do lạm dụng chất kích thần. Bài viết không đề cập đến sản phẩm dược phẩm generic hay chính sách đấu thầu, song gián tiếp phản ánh nhu cầu điều trị rối loạn tâm thần (trầm cảm, lo âu, rối loạn hành vi) có thể tăng theo xu hướng lạm dụng chất kích thần trong cộng đồng.</w:t>
      </w:r>
    </w:p>
    <w:p>
      <w:pPr>
        <w:spacing w:before="20" w:after="40"/>
        <w:ind w:left="170"/>
      </w:pPr>
      <w:r>
        <w:rPr>
          <w:rFonts w:ascii="Calibri" w:hAnsi="Calibri"/>
          <w:b/>
          <w:i w:val="0"/>
          <w:color w:val="374151"/>
          <w:sz w:val="17"/>
        </w:rPr>
        <w:t>📊 Tác động gián tiếp, không ảnh hưởng trực tiếp đến doanh thu hay đấu thầu; theo dõi xu hướng gia tăng bệnh nhân tâm thần để đánh giá tiềm năng dài hạn cho SERNAL (Risperidone) và LAFAXOR (Venlafaxine) trong kênh ETC.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&amp; Medical Affairs theo dõi dữ liệu dịch tễ về rối loạn tâm thần liên quan lạm dụng chất kích thần; đánh giá cơ hội mở rộng danh mục SERNAL và LAFAXOR tại các bệnh viện tâm thần/khoa tâm thần bệnh viện đa khoa trong chu kỳ thầu tiếp theo (dự kiến 2025–2026).</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Lính Anh nhảy dù cứu bệnh nhân nghi nhiễm Hantavirus trên đảo hẻo lánh</w:t>
            </w:r>
          </w:p>
        </w:tc>
      </w:tr>
    </w:tbl>
    <w:p>
      <w:pPr>
        <w:spacing w:before="40" w:after="40"/>
        <w:ind w:left="170"/>
      </w:pPr>
      <w:r>
        <w:rPr>
          <w:rFonts w:ascii="Calibri" w:hAnsi="Calibri"/>
          <w:b w:val="0"/>
          <w:i/>
          <w:color w:val="6B7280"/>
          <w:sz w:val="18"/>
        </w:rPr>
        <w:t>Quân đội Anh triển khai chiến dịch nhảy dù khẩn cấp đến đảo Tristan da Cunha để cứu chữa ca nghi nhiễm Hantavirus chủng Andes — chủng có khả năng lây người-người — từ tàu MV Hondius, khiến 3 người tử vong. Đây là sự kiện y tế quốc tế không liên quan trực tiếp đến thị trường dược phẩm Việt Nam hay danh mục sản phẩm của Davipharm.</w:t>
      </w:r>
    </w:p>
    <w:p>
      <w:pPr>
        <w:spacing w:before="20" w:after="40"/>
        <w:ind w:left="170"/>
      </w:pPr>
      <w:r>
        <w:rPr>
          <w:rFonts w:ascii="Calibri" w:hAnsi="Calibri"/>
          <w:b/>
          <w:i w:val="0"/>
          <w:color w:val="374151"/>
          <w:sz w:val="17"/>
        </w:rPr>
        <w:t>⚪ Không có tác động trực tiếp đến Davipharm — bài tin tức y tế quốc tế nằm ngoài phạm vi danh mục sản phẩm và thị trường mục tiêu của công ty.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BOD có thể lưu ý theo dõi nếu WHO/Bộ Y tế Việt Nam phát cảnh báo dịch tễ Hantavirus tại Việt Nam, nhưng hiện tại chưa có sản phẩm nào trong danh mục Davipharm liên quan đến điều trị virus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Cảnh báo ung thư đại trực tràng từ thực phẩm siêu chế biến — Xu hướng tầm soát &amp; nhu cầu điều trị ung thư tăng</w:t>
            </w:r>
          </w:p>
        </w:tc>
      </w:tr>
    </w:tbl>
    <w:p>
      <w:pPr>
        <w:spacing w:before="40" w:after="40"/>
        <w:ind w:left="170"/>
      </w:pPr>
      <w:r>
        <w:rPr>
          <w:rFonts w:ascii="Calibri" w:hAnsi="Calibri"/>
          <w:b w:val="0"/>
          <w:i/>
          <w:color w:val="6B7280"/>
          <w:sz w:val="18"/>
        </w:rPr>
        <w:t>Nghiên cứu đăng trên JAMA Oncology xác nhận tiêu thụ thực phẩm siêu chế biến cao làm tăng rõ rệt nguy cơ polyp tuyến tiền ung thư đại trực tràng, thúc đẩy xu hướng tầm soát và điều trị ung thư sớm hơn tại Việt Nam. Xu hướng này có thể mở rộng thị trường cho nhóm sản phẩm ung thư high-value ETC của Davipharm, đặc biệt HYYR (Erlotinib) và LARRIVEY (Bicalutamide) trong kênh bệnh viện.</w:t>
      </w:r>
    </w:p>
    <w:p>
      <w:pPr>
        <w:spacing w:before="20" w:after="40"/>
        <w:ind w:left="170"/>
      </w:pPr>
      <w:r>
        <w:rPr>
          <w:rFonts w:ascii="Calibri" w:hAnsi="Calibri"/>
          <w:b/>
          <w:i w:val="0"/>
          <w:color w:val="374151"/>
          <w:sz w:val="17"/>
        </w:rPr>
        <w:t>📊 Tín hiệu dài hạn: nhu cầu điều trị ung thư tăng có lợi cho danh mục ETC cao cấp nhưng tác động trực tiếp đến doanh thu ngắn hạn là chưa rõ ràng.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ETC phối hợp với Medical Affairs theo dõi số liệu tầm soát ung thư đại trực tràng tại các bệnh viện trọng điểm; đánh giá tiềm năng mở rộng danh mục HYYR và LARRIVEY trong chu kỳ đấu thầu tiếp theo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Xu hướng kiểm soát huyết áp bằng thực phẩm tự nhiên (củ dền) — tín hiệu cạnh tranh nhẹ với nhóm thuốc tim mạch</w:t>
            </w:r>
          </w:p>
        </w:tc>
      </w:tr>
    </w:tbl>
    <w:p>
      <w:pPr>
        <w:spacing w:before="40" w:after="40"/>
        <w:ind w:left="170"/>
      </w:pPr>
      <w:r>
        <w:rPr>
          <w:rFonts w:ascii="Calibri" w:hAnsi="Calibri"/>
          <w:b w:val="0"/>
          <w:i/>
          <w:color w:val="6B7280"/>
          <w:sz w:val="18"/>
        </w:rPr>
        <w:t>Truyền thông y tế phổ thông đang quảng bá mạnh việc hạ huyết áp bằng nước ép củ dền (giảm ~8/4 mmHg) thay thế dùng thuốc, tạo tâm lý "không cần thuốc" trong nhóm bệnh nhân tăng huyết áp nhẹ — phân khúc khách hàng tiềm năng của PECHAUNOX (Perindopril+Amlodipin), TABAREX (Valsartan) và HATLOP (Irbesartan). Tuy nhiên, đây là thông tin từ kênh truyền thông quốc tế, chưa phản ánh thay đổi hành vi kê đơn tại Việt Nam.</w:t>
      </w:r>
    </w:p>
    <w:p>
      <w:pPr>
        <w:spacing w:before="20" w:after="40"/>
        <w:ind w:left="170"/>
      </w:pPr>
      <w:r>
        <w:rPr>
          <w:rFonts w:ascii="Calibri" w:hAnsi="Calibri"/>
          <w:b/>
          <w:i w:val="0"/>
          <w:color w:val="374151"/>
          <w:sz w:val="17"/>
        </w:rPr>
        <w:t>⚠️ Rủi ro dài hạn thấp — xu hướng "thực phẩm thay thuốc" có thể làm chậm nhận thuốc mới ở bệnh nhân THA nhẹ, nhưng chưa đủ để tác động đến doanh thu ETC kênh bệnh viện của Davipharm trong ngắn hạn.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(tim mạch) theo dõi tần suất nội dung "hạ huyết áp không dùng thuốc" trên mạng xã hội Việt Nam; nếu xu hướng tăng mạnh trong Q3/2025, phối hợp Medical Affairs chuẩn bị tài liệu giáo dục HCP nhấn mạnh vai trò không thể thay thế của thuốc (PECHAUNOX, TABAREX) trong THA độ 2 trở lên và bệnh nhân có bệnh đồng mắc.</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42,000đ/viên</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Theo dõi phê duyệt cơ sở 2 Bạch Mai/Việt Đức; chuẩn bị hồ sơ thầu RAVASTEL, EIMLER-10, PECHAUNOX, HYYR</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ETC</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Cơ sở 2 Bạch Mai &amp; Việt Đức — đơn vị mua sắm mới</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Tiếp cận Ban Dược cơ sở 2 Bạch Mai (Hà Nam) và Việt Đức (Ninh Bình) để đăng ký danh mục HYYR, LARRIVEY</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ETC</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Mở rộng ETC ung thư — bệnh viện tuyến trung ương phía Bắc</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Theo dõi dịch chuyển mô hình điều trị ung thư thực quản sớm; đánh giá tác động dài hạn đến thầu HYYR</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Xu hướng phẫu thuật triệt căn ung thư sớm — giảm bệnh nhân dùng nhắm đích</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&lt;span class="vi-</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