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11–17/05/2026: Làn sóng mở rộng hạ tầng y tế (200+ bệnh viện vệ tinh, chính sách tầm soát toàn dân, BV Thống Nhất lão khoa) tạo cơ hội tăng volume đấu thầu ETC cho danh mục tim mạch–đái tháo đường của Davipharm trong các chu kỳ thầu tới.</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Hạ tầng ETC mở rộng:200+ bệnh viện vệ tinh mới = 200+ điểm thầu tiềm năng cho PECHAUNOX, RAVASTEL, TABAREX, ZABALES, JIRACEK tại tuyến tỉnh/huyện.</w:t>
            </w:r>
          </w:p>
          <w:p>
            <w:pPr>
              <w:spacing w:before="20" w:after="60"/>
              <w:ind w:left="142"/>
            </w:pPr>
            <w:r>
              <w:rPr>
                <w:rFonts w:ascii="Calibri" w:hAnsi="Calibri"/>
                <w:b w:val="0"/>
                <w:i w:val="0"/>
                <w:color w:val="111827"/>
                <w:sz w:val="17"/>
              </w:rPr>
              <w:t>▸  Phễu bệnh nhân mãn tính:Chính sách khám sức khỏe miễn phí toàn dân + sàng lọc khu công nghiệp phía Bắc sẽ gia tăng bệnh nhân THA, rối loạn lipid, ĐTĐ type 2 mới được chẩn đoán — trực tiếp mở rộng thị trường cho RAVASTEL, EIMLER-10, ZLATKO, PECHAUNOX dài hạn.</w:t>
            </w:r>
          </w:p>
          <w:p>
            <w:pPr>
              <w:spacing w:before="20" w:after="60"/>
              <w:ind w:left="142"/>
            </w:pPr>
            <w:r>
              <w:rPr>
                <w:rFonts w:ascii="Calibri" w:hAnsi="Calibri"/>
                <w:b w:val="0"/>
                <w:i w:val="0"/>
                <w:color w:val="111827"/>
                <w:sz w:val="17"/>
              </w:rPr>
              <w:t>▸  Ung thư phổi &amp; lão khoa:Tầm soát NSCLC mở rộng hỗ trợ volume HYYR (Erlotinib); BV Thống Nhất chuyển hướng lão khoa là cơ hội market access ưu tiên tại TP.HCM cho nhóm tim mạch–ĐTĐ.</w:t>
            </w:r>
          </w:p>
          <w:p>
            <w:pPr>
              <w:spacing w:before="20" w:after="60"/>
              <w:ind w:left="142"/>
            </w:pPr>
            <w:r>
              <w:rPr>
                <w:rFonts w:ascii="Calibri" w:hAnsi="Calibri"/>
                <w:b w:val="0"/>
                <w:i w:val="0"/>
                <w:color w:val="111827"/>
                <w:sz w:val="17"/>
              </w:rPr>
              <w:t>▸  P1BD &amp;</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p>
            <w:pPr>
              <w:spacing w:before="20" w:after="60"/>
              <w:ind w:left="142"/>
            </w:pPr>
            <w:r>
              <w:rPr>
                <w:rFonts w:ascii="Calibri" w:hAnsi="Calibri"/>
                <w:b w:val="0"/>
                <w:i w:val="0"/>
                <w:color w:val="0056D2"/>
                <w:sz w:val="17"/>
              </w:rPr>
              <w:t>→  P1BD &amp;</w:t>
            </w:r>
          </w:p>
        </w:tc>
      </w:tr>
    </w:tbl>
    <w:p>
      <w:pPr>
        <w:spacing w:after="12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5</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5</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Bệnh viện tỉnh Khánh Hòa thiếu phòng điều trị — 3 tháng chưa tìm được giải pháp</w:t>
            </w:r>
          </w:p>
        </w:tc>
      </w:tr>
    </w:tbl>
    <w:p>
      <w:pPr>
        <w:spacing w:before="40" w:after="40"/>
        <w:ind w:left="170"/>
      </w:pPr>
      <w:r>
        <w:rPr>
          <w:rFonts w:ascii="Calibri" w:hAnsi="Calibri"/>
          <w:b w:val="0"/>
          <w:i/>
          <w:color w:val="6B7280"/>
          <w:sz w:val="18"/>
        </w:rPr>
        <w:t>Bệnh viện tỉnh Khánh Hòa đang đối mặt với tình trạng thiếu phòng điều trị kéo dài trên 3 tháng chưa có phương án khắc phục rõ ràng, phản ánh áp lực hạ tầng y tế tại tuyến tỉnh. Tình trạng này có thể kéo theo gián đoạn hoạt động khám chữa bệnh và ảnh hưởng gián tiếp đến khả năng thực hiện hợp đồng/giải ngân thuốc ETC tại địa bàn.</w:t>
      </w:r>
    </w:p>
    <w:p>
      <w:pPr>
        <w:spacing w:before="20" w:after="40"/>
        <w:ind w:left="170"/>
      </w:pPr>
      <w:r>
        <w:rPr>
          <w:rFonts w:ascii="Calibri" w:hAnsi="Calibri"/>
          <w:b/>
          <w:i w:val="0"/>
          <w:color w:val="374151"/>
          <w:sz w:val="17"/>
        </w:rPr>
        <w:t>⚠️ Tác động hạn chế nhưng cần theo dõi: gián đoạn hạ tầng bệnh viện tỉnh có thể làm chậm giải ngân hợp đồng ETC cho các sản phẩm tim mạch, đái tháo đường của Davipharm tại Khánh Hòa.</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Sales ETC miền Trung rà soát trạng thái hợp đồng và tiến độ giải ngân tại Bệnh viện tỉnh Khánh Hòa trong tháng 5–6/2026, đặc biệt với các sản phẩm PECHAUNOX, RAVASTEL, EIMLER-10; nếu phát hiện rủi ro tồn kho ứ đọng hoặc chậm thanh toán cần báo cáo sớm lên cấp quản lý vùng.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Y tế cam kết hoàn thiện chế độ đãi ngộ cho y bác sĩ vùng biển đảo</w:t>
            </w:r>
          </w:p>
        </w:tc>
      </w:tr>
    </w:tbl>
    <w:p>
      <w:pPr>
        <w:spacing w:before="40" w:after="40"/>
        <w:ind w:left="170"/>
      </w:pPr>
      <w:r>
        <w:rPr>
          <w:rFonts w:ascii="Calibri" w:hAnsi="Calibri"/>
          <w:b w:val="0"/>
          <w:i/>
          <w:color w:val="6B7280"/>
          <w:sz w:val="18"/>
        </w:rPr>
        <w:t>Thứ trưởng Bộ Y tế cho biết sẽ tham mưu hoàn thiện chính sách đãi ngộ đặc thù cho y bác sĩ công tác tại vùng biển đảo, nhằm thu hút và giữ chân nhân lực y tế tuyến xa. Đây là chính sách nhân sự ngành y tế, không ảnh hưởng trực tiếp đến hoạt động đấu thầu hay danh mục sản phẩm của Davipharm.</w:t>
      </w:r>
    </w:p>
    <w:p>
      <w:pPr>
        <w:spacing w:before="20" w:after="40"/>
        <w:ind w:left="170"/>
      </w:pPr>
      <w:r>
        <w:rPr>
          <w:rFonts w:ascii="Calibri" w:hAnsi="Calibri"/>
          <w:b/>
          <w:i w:val="0"/>
          <w:color w:val="374151"/>
          <w:sz w:val="17"/>
        </w:rPr>
        <w:t>➖ Tin không liên quan trực tiếp đến Davipharm — không có tác động đến doanh thu ETC hay danh mục generic.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ưu tiên; Market Intelligence team lưu hồ sơ theo dõi chính sách y tế vùng sâu/xa nếu xuất hiện cơ hội mở rộng kênh phân phối tuyến huyện/đảo trong tương lai.</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Khám sức khỏe miễn phí hằng năm toàn dân: Cơ hội mở rộng nhu cầu điều trị tim mạch, đái tháo đường</w:t>
            </w:r>
          </w:p>
        </w:tc>
      </w:tr>
    </w:tbl>
    <w:p>
      <w:pPr>
        <w:spacing w:before="40" w:after="40"/>
        <w:ind w:left="170"/>
      </w:pPr>
      <w:r>
        <w:rPr>
          <w:rFonts w:ascii="Calibri" w:hAnsi="Calibri"/>
          <w:b w:val="0"/>
          <w:i/>
          <w:color w:val="6B7280"/>
          <w:sz w:val="18"/>
        </w:rPr>
        <w:t>Chính sách khám sức khỏe miễn phí hằng năm cho người dân dự kiến sẽ gia tăng đáng kể tỷ lệ phát hiện sớm các bệnh mãn tính như tim mạch, tăng huyết áp, đái tháo đường và rối loạn lipid máu. Điều này có thể tạo ra làn sóng bệnh nhân mới được chẩn đoán và kê đơn, thúc đẩy nhu cầu dài hạn đối với danh mục tim mạch–chuyển hóa của Davipharm gồm RAVASTEL (Rosuvastatin), PECHAUNOX (Perindopril+Amlodipin), HATLOP (Irbesartan), TABAREX (Valsartan) và EIMLER-10 (Empagliflozin).</w:t>
      </w:r>
    </w:p>
    <w:p>
      <w:pPr>
        <w:spacing w:before="20" w:after="40"/>
        <w:ind w:left="170"/>
      </w:pPr>
      <w:r>
        <w:rPr>
          <w:rFonts w:ascii="Calibri" w:hAnsi="Calibri"/>
          <w:b/>
          <w:i w:val="0"/>
          <w:color w:val="166534"/>
          <w:sz w:val="17"/>
        </w:rPr>
        <w:t>📈 Cơ hội trung–dài hạn: chính sách tầm soát toàn dân sẽ mở rộng phễu bệnh nhân mãn tính, trực tiếp hỗ trợ tăng trưởng khối lượng đấu thầu ETC cho nhóm tim mạch và đái tháo đường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cần theo dõi phác đồ điều trị được khuyến nghị trong chương trình khám sức khỏe định kỳ (đặc biệt screening lipid, HbA1c, huyết áp) để định vị sớm RAVASTEL, EIMLER-10, ZLATKO (Sitagliptin) và PECHAUNOX trong các tài liệu hỗ trợ bác sĩ; đồng thời phối hợp với Business Development đánh giá khả năng tăng công suất dự phòng cho chu kỳ thầu tiếp theo.</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35.000 ca biến chứng thẩm mỹ/năm — Cảnh báo từ spa "chui" ngoài tầm kiểm soát y tế</w:t>
            </w:r>
          </w:p>
        </w:tc>
      </w:tr>
    </w:tbl>
    <w:p>
      <w:pPr>
        <w:spacing w:before="40" w:after="40"/>
        <w:ind w:left="170"/>
      </w:pPr>
      <w:r>
        <w:rPr>
          <w:rFonts w:ascii="Calibri" w:hAnsi="Calibri"/>
          <w:b w:val="0"/>
          <w:i/>
          <w:color w:val="6B7280"/>
          <w:sz w:val="18"/>
        </w:rPr>
        <w:t>Việt Nam ghi nhận khoảng 35.000 ca biến chứng thẩm mỹ mỗi năm, phần lớn xuất phát từ các cơ sở spa không phép, phản ánh nhu cầu điều trị hậu phẫu và xử lý biến chứng (viêm, nhiễm trùng, đau) ngày càng tăng trong hệ thống bệnh viện. Tác động trực tiếp đến Davipharm còn hạn chế, nhưng đây là tín hiệu về nhu cầu tiềm năng với nhóm thuốc kháng viêm–giảm đau và kháng sinh dùng trong điều trị biến chứng.</w:t>
      </w:r>
    </w:p>
    <w:p>
      <w:pPr>
        <w:spacing w:before="20" w:after="40"/>
        <w:ind w:left="170"/>
      </w:pPr>
      <w:r>
        <w:rPr>
          <w:rFonts w:ascii="Calibri" w:hAnsi="Calibri"/>
          <w:b/>
          <w:i w:val="0"/>
          <w:color w:val="374151"/>
          <w:sz w:val="17"/>
        </w:rPr>
        <w:t>🔎 Tín hiệu thị trường yếu — nhu cầu điều trị biến chứng thẩm mỹ có thể hỗ trợ nhẹ cho MAGRAX (Etoricoxib) và METILONE-4 (Methylprednisolone) tại kênh bệnh viện, nhưng chưa đủ để thay đổi chiến lược ngắn hạn.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ETC theo dõi xu hướng điều trị biến chứng hậu thẩm mỹ (viêm, đau) tại các bệnh viện da liễu và phẫu thuật thẩm mỹ — đánh giá khả năng đưa MAGRAX và METILONE-4 vào danh mục thầu tại phân khúc này trong chu kỳ thầu tiếp theo.</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Hàng nghìn công nhân tại khu công nghiệp phía Bắc được khám sức khỏe miễn phí</w:t>
            </w:r>
          </w:p>
        </w:tc>
      </w:tr>
    </w:tbl>
    <w:p>
      <w:pPr>
        <w:spacing w:before="40" w:after="40"/>
        <w:ind w:left="170"/>
      </w:pPr>
      <w:r>
        <w:rPr>
          <w:rFonts w:ascii="Calibri" w:hAnsi="Calibri"/>
          <w:b w:val="0"/>
          <w:i/>
          <w:color w:val="6B7280"/>
          <w:sz w:val="18"/>
        </w:rPr>
        <w:t>Chương trình khám sức khỏe miễn phí quy mô lớn cho công nhân tại các khu công nghiệp phía Bắc phản ánh xu hướng mở rộng chăm sóc sức khỏe cơ bản cho lực lượng lao động công nghiệp — phân khúc dân số đông nhưng ít tiếp cận y tế chính thức. Hoạt động này có thể thúc đẩy nhu cầu phát hiện và điều trị các bệnh mãn tính phổ biến (tim mạch, đái tháo đường, rối loạn tiêu hóa) vốn là thế mạnh danh mục của Davipharm.</w:t>
      </w:r>
    </w:p>
    <w:p>
      <w:pPr>
        <w:spacing w:before="20" w:after="40"/>
        <w:ind w:left="170"/>
      </w:pPr>
      <w:r>
        <w:rPr>
          <w:rFonts w:ascii="Calibri" w:hAnsi="Calibri"/>
          <w:b/>
          <w:i w:val="0"/>
          <w:color w:val="374151"/>
          <w:sz w:val="17"/>
        </w:rPr>
        <w:t>📊 Tín hiệu thị trường yếu — tiềm năng tăng nhu cầu dài hạn cho RAVASTEL, EIMLER-10, JIRACEK nhưng chưa có tác động trực tiếp đến đấu thầu hoặc doanh thu ngắn hạn.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&amp; Medical Affairs theo dõi tần suất và quy mô các chương trình khám sàng lọc tại khu công nghiệp để đánh giá khả năng hợp tác CSR/giới thiệu sản phẩm (RAVASTEL – Rosuvastatin, EIMLER-10 – Empagliflozin) tới bác sĩ phụ trách; không cần hành động khẩn cấp trong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Sàng lọc ung thư phổi sớm: Xu hướng chẩn đoán mở rộng thị trường điều trị đích</w:t>
            </w:r>
          </w:p>
        </w:tc>
      </w:tr>
    </w:tbl>
    <w:p>
      <w:pPr>
        <w:spacing w:before="40" w:after="40"/>
        <w:ind w:left="170"/>
      </w:pPr>
      <w:r>
        <w:rPr>
          <w:rFonts w:ascii="Calibri" w:hAnsi="Calibri"/>
          <w:b w:val="0"/>
          <w:i/>
          <w:color w:val="6B7280"/>
          <w:sz w:val="18"/>
        </w:rPr>
        <w:t>Bài viết giới thiệu phương pháp sàng lọc và phát hiện ung thư phổi từ giai đoạn rất sớm, phản ánh xu hướng đẩy mạnh tầm soát ung thư tại Việt Nam. Việc phát hiện sớm ung thư phổi gia tăng sẽ mở rộng nhóm bệnh nhân có thể tiếp cận điều trị đích như Erlotinib — hoạt chất của HYYR (Davipharm).</w:t>
      </w:r>
    </w:p>
    <w:p>
      <w:pPr>
        <w:spacing w:before="20" w:after="40"/>
        <w:ind w:left="170"/>
      </w:pPr>
      <w:r>
        <w:rPr>
          <w:rFonts w:ascii="Calibri" w:hAnsi="Calibri"/>
          <w:b/>
          <w:i w:val="0"/>
          <w:color w:val="166534"/>
          <w:sz w:val="17"/>
        </w:rPr>
        <w:t>📈 Tầm soát ung thư phổi mở rộng → gia tăng bệnh nhân NSCLC điều trị đích → cơ hội tăng khối lượng đấu thầu HYYR (Erlotinib) tại kênh ETC bệnh viện.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Medical Affairs &amp; Marketing Ung thư cần chuẩn bị tài liệu khoa học hỗ trợ HYYR (Erlotinib) liên kết với xu hướng phát hiện sớm NSCLC; phối hợp với team Đấu thầu rà soát danh mục bệnh viện tuyến tỉnh/trung ương có khả năng mở gói thầu thuốc ung thư phổi trong chu kỳ 2025–2026.</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Mở rộng ít nhất 200 bệnh viện vệ tinh toàn quốc — cơ hội mở rộng kênh ETC tuyến dưới</w:t>
            </w:r>
          </w:p>
        </w:tc>
      </w:tr>
    </w:tbl>
    <w:p>
      <w:pPr>
        <w:spacing w:before="40" w:after="40"/>
        <w:ind w:left="170"/>
      </w:pPr>
      <w:r>
        <w:rPr>
          <w:rFonts w:ascii="Calibri" w:hAnsi="Calibri"/>
          <w:b w:val="0"/>
          <w:i/>
          <w:color w:val="6B7280"/>
          <w:sz w:val="18"/>
        </w:rPr>
        <w:t>Chính phủ thúc đẩy mở rộng mạng lưới bệnh viện vệ tinh thêm tối thiểu 200 cơ sở trên toàn quốc, tăng cường năng lực khám chữa bệnh tuyến tỉnh/huyện. Điều này trực tiếp mở rộng số lượng cơ sở y tế tham gia đấu thầu thuốc, đặc biệt có lợi cho danh mục tim mạch (PECHAUNOX, RAVASTEL, TABAREX, ZABALES) và tiêu hóa (JIRACEK) vốn có nhu cầu cao ở tuyến cơ sở.</w:t>
      </w:r>
    </w:p>
    <w:p>
      <w:pPr>
        <w:spacing w:before="20" w:after="40"/>
        <w:ind w:left="170"/>
      </w:pPr>
      <w:r>
        <w:rPr>
          <w:rFonts w:ascii="Calibri" w:hAnsi="Calibri"/>
          <w:b/>
          <w:i w:val="0"/>
          <w:color w:val="166534"/>
          <w:sz w:val="17"/>
        </w:rPr>
        <w:t>🟢 Cơ hội tăng volume đấu thầu ETC địa phương — 200+ điểm thầu mới tiềm năng cho các sản phẩm tim mạch và tiêu hóa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Business Development &amp; Tender phối hợp với Medical Affairs lập danh sách các bệnh viện vệ tinh mới được công nhận, ưu tiên tiếp cận sớm cho PECHAUNOX, RAVASTEL và JIRACEK trước khi chu kỳ thầu địa phương tiếp theo mở (Q3–Q4/2025); đồng thời chuẩn bị hồ sơ năng lực GMP/BE để đáp ứng yêu cầu xét duyệt nhà thầu của các cơ sở mới.</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Xu hướng điều trị tăng huyết áp: Kiểm soát toàn diện vượt ra ngoài hạn chế muối</w:t>
            </w:r>
          </w:p>
        </w:tc>
      </w:tr>
    </w:tbl>
    <w:p>
      <w:pPr>
        <w:spacing w:before="40" w:after="40"/>
        <w:ind w:left="170"/>
      </w:pPr>
      <w:r>
        <w:rPr>
          <w:rFonts w:ascii="Calibri" w:hAnsi="Calibri"/>
          <w:b w:val="0"/>
          <w:i/>
          <w:color w:val="6B7280"/>
          <w:sz w:val="18"/>
        </w:rPr>
        <w:t>Truyền thông sức khỏe đại chúng đang nhấn mạnh kiểm soát huyết áp toàn diện (chế độ ăn, vận động, stress) thay vì chỉ giảm muối, phản ánh xu hướng bệnh nhân tăng huyết áp ngày càng nhận thức cao hơn về điều trị lâu dài. Điều này gián tiếp thúc đẩy nhu cầu dùng thuốc kiểm soát huyết áp bền vững trong nhóm bệnh nhân mãn tính — phân khúc cốt lõi của PECHAUNOX (Perindopril+Amlodipin), TABAREX (Valsartan), HATLOP (Irbesartan).</w:t>
      </w:r>
    </w:p>
    <w:p>
      <w:pPr>
        <w:spacing w:before="20" w:after="40"/>
        <w:ind w:left="170"/>
      </w:pPr>
      <w:r>
        <w:rPr>
          <w:rFonts w:ascii="Calibri" w:hAnsi="Calibri"/>
          <w:b/>
          <w:i w:val="0"/>
          <w:color w:val="166534"/>
          <w:sz w:val="17"/>
        </w:rPr>
        <w:t>📈 Nhận thức điều trị tăng huyết áp dài hạn gia tăng củng cố nhu cầu ổn định cho danh mục tim mạch Davipharm, đặc biệt PECHAUNOX và TABAREX trong kênh ETC.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có thể khai thác nội dung truyền thông này để xây dựng tài liệu hỗ trợ trình dược viên (MSL/MR) tại bệnh viện, nhấn mạnh vai trò tuân thủ điều trị thuốc hạ áp phối hợp (PECHAUNOX) bên cạnh thay đổi lối sống — đặc biệt hữu ích trong chu kỳ chuẩn bị thầu ETC tiếp theo.</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BV Thống Nhất phát triển thành Trung tâm Lão khoa hàng đầu — Cơ hội mở rộng danh mục tim mạch &amp; đái tháo đường</w:t>
            </w:r>
          </w:p>
        </w:tc>
      </w:tr>
    </w:tbl>
    <w:p>
      <w:pPr>
        <w:spacing w:before="40" w:after="40"/>
        <w:ind w:left="170"/>
      </w:pPr>
      <w:r>
        <w:rPr>
          <w:rFonts w:ascii="Calibri" w:hAnsi="Calibri"/>
          <w:b w:val="0"/>
          <w:i/>
          <w:color w:val="6B7280"/>
          <w:sz w:val="18"/>
        </w:rPr>
        <w:t>Bệnh viện Thống Nhất (TP.HCM) đang định vị trở thành trung tâm lão khoa hàng đầu, đồng nghĩa với việc gia tăng nhu cầu điều trị dài hạn các bệnh lý mạn tính phổ biến ở người cao tuổi như tim mạch, tăng huyết áp, đái tháo đường type 2 và rối loạn lipid máu. Đây là tín hiệu tích cực cho danh mục ETC của Davipharm, đặc biệt các sản phẩm PECHAUNOX (Perindopril+Amlodipin), RAVASTEL (Rosuvastatin), TABAREX (Valsartan), HATLOP (Irbesartan) và EIMLER-10 (Empagliflozin).</w:t>
      </w:r>
    </w:p>
    <w:p>
      <w:pPr>
        <w:spacing w:before="20" w:after="40"/>
        <w:ind w:left="170"/>
      </w:pPr>
      <w:r>
        <w:rPr>
          <w:rFonts w:ascii="Calibri" w:hAnsi="Calibri"/>
          <w:b/>
          <w:i w:val="0"/>
          <w:color w:val="166534"/>
          <w:sz w:val="17"/>
        </w:rPr>
        <w:t>🟢 Sự phát triển của BV Thống Nhất thành trung tâm lão khoa mở ra cơ hội gia tăng đấu thầu và tiêu thụ dài hạn cho nhóm tim mạch–đái tháo đường của Davipharm tại TP.HCM.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Sales ETC &amp; Market Access cần ưu tiên tiếp cận hội đồng thuốc BV Thống Nhất trong chu kỳ thầu tiếp theo, đặc biệt đẩy mạnh hồ sơ năng lực cho PECHAUNOX, RAVASTEL, EIMLER-10 và ZLATKO (Sitagliptin) nhắm vào phác đồ điều trị bệnh nhân lão khoa mạn tính — khuyến nghị lên kế hoạch trong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Hơn 18.000 ca tay chân miệng tại phía Nam — Bùng phát dịch mùa hè 2026</w:t>
            </w:r>
          </w:p>
        </w:tc>
      </w:tr>
    </w:tbl>
    <w:p>
      <w:pPr>
        <w:spacing w:before="40" w:after="40"/>
        <w:ind w:left="170"/>
      </w:pPr>
      <w:r>
        <w:rPr>
          <w:rFonts w:ascii="Calibri" w:hAnsi="Calibri"/>
          <w:b w:val="0"/>
          <w:i/>
          <w:color w:val="6B7280"/>
          <w:sz w:val="18"/>
        </w:rPr>
        <w:t>Miền Nam ghi nhận hơn 18.000 ca tay chân miệng, chuyên gia đánh giá triển vọng vắc xin mới trong bối cảnh dịch leo thang. Davipharm không có sản phẩm điều trị đặc hiệu tay chân miệng, song bùng phát dịch nhi khoa có thể tăng nhu cầu hỗ trợ điều trị triệu chứng (giảm đau, hạ sốt) tại bệnh viện.</w:t>
      </w:r>
    </w:p>
    <w:p>
      <w:pPr>
        <w:spacing w:before="20" w:after="40"/>
        <w:ind w:left="170"/>
      </w:pPr>
      <w:r>
        <w:rPr>
          <w:rFonts w:ascii="Calibri" w:hAnsi="Calibri"/>
          <w:b/>
          <w:i w:val="0"/>
          <w:color w:val="374151"/>
          <w:sz w:val="17"/>
        </w:rPr>
        <w:t>📊 Tác động gián tiếp, không đáng kể đến danh mục hiện tại của Davipharm — không có hoạt chất nào trong portfolio trực tiếp phục vụ điều trị tay chân miệng.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ưu tiên; Medical Affairs có thể theo dõi xu hướng dịch nhi khoa như tín hiệu nền để đánh giá cơ hội mở rộng danh mục nhi khoa trong dài hạn.</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42,000đ/viên</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Lập danh sách 200+ bệnh viện vệ tinh mới, nộp hồ sơ thầu PECHAUNOX, RAVASTEL, JIRACEK trước Q3/2026</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RA</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Mở rộng 200 bệnh viện vệ tinh</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Ưu tiên tiếp cận hội đồng thuốc BV Thống Nhất cho PECHAUNOX, RAVASTEL, EIMLER-10, ZLATKO trong chu kỳ thầu tới</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BV Thống Nhất — trung tâm lão khoa</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Xây dựng tài liệu khoa học định vị HYYR (Erlotinib) cho bệnh nhân NSCLC phát hiện sớm; rà soát gói thầu ung thư phổi 2026</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RA</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Tầm soát ung thư phổi sớm</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Chuẩn bị tài liệu MSL/MR nhấn mạnh tuân thủ điều trị dài hạn PECHAUNOX, RAVASTEL, EIMLER-10 phục</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