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072"/>
      </w:tblGrid>
      <w:tr>
        <w:tc>
          <w:tcPr>
            <w:tcW w:type="dxa" w:w="9071"/>
            <w:shd w:val="clear" w:color="auto" w:fill="003B71"/>
            <w:tcBorders>
              <w:top w:val="none" w:sz="6" w:color="auto"/>
              <w:bottom w:val="none" w:sz="6" w:color="auto"/>
              <w:left w:val="none" w:sz="6" w:color="auto"/>
              <w:right w:val="none" w:sz="6" w:color="auto"/>
            </w:tcBorders>
          </w:tcPr>
          <w:p>
            <w:pPr>
              <w:spacing w:before="120" w:after="120"/>
              <w:ind w:left="170"/>
            </w:pPr>
            <w:r>
              <w:rPr>
                <w:rFonts w:ascii="Calibri" w:hAnsi="Calibri"/>
                <w:b/>
                <w:i w:val="0"/>
                <w:color w:val="FFFFFF"/>
                <w:sz w:val="16"/>
              </w:rPr>
              <w:t>MARKET INTELLIGENCE  ·  WEEKLY REPORT</w:t>
            </w:r>
          </w:p>
        </w:tc>
      </w:tr>
    </w:tbl>
    <w:p>
      <w:pPr>
        <w:spacing w:before="720" w:after="360"/>
        <w:jc w:val="center"/>
      </w:pPr>
      <w:r>
        <w:drawing>
          <wp:inline xmlns:a="http://schemas.openxmlformats.org/drawingml/2006/main" xmlns:pic="http://schemas.openxmlformats.org/drawingml/2006/picture">
            <wp:extent cx="3060000" cy="484691"/>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3060000" cy="484691"/>
                    </a:xfrm>
                    <a:prstGeom prst="rect"/>
                  </pic:spPr>
                </pic:pic>
              </a:graphicData>
            </a:graphic>
          </wp:inline>
        </w:drawing>
      </w:r>
    </w:p>
    <w:tbl>
      <w:tblPr>
        <w:tblW w:type="auto" w:w="0"/>
        <w:jc w:val="center"/>
        <w:tblLook w:firstColumn="1" w:firstRow="1" w:lastColumn="0" w:lastRow="0" w:noHBand="0" w:noVBand="1" w:val="04A0"/>
      </w:tblPr>
      <w:tblGrid>
        <w:gridCol w:w="4536"/>
        <w:gridCol w:w="4536"/>
      </w:tblGrid>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REPORT</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i w:val="0"/>
                <w:color w:val="003B71"/>
                <w:sz w:val="19"/>
              </w:rPr>
              <w:t>Market Intelligence Report</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WEEK</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12/05 – 18/05/2026</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DATE</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13/05/2026</w:t>
            </w:r>
          </w:p>
        </w:tc>
      </w:tr>
    </w:tbl>
    <w:p>
      <w:pPr>
        <w:spacing w:before="360"/>
        <w:jc w:val="center"/>
      </w:pPr>
      <w:r>
        <w:rPr>
          <w:rFonts w:ascii="Calibri" w:hAnsi="Calibri"/>
          <w:b w:val="0"/>
          <w:i/>
          <w:color w:val="CCCCCC"/>
          <w:sz w:val="16"/>
        </w:rPr>
        <w:t>Adamed Group  ·  Davipharm  ·  CONFIDENTIAL</w:t>
      </w:r>
    </w:p>
    <w:p>
      <w:r>
        <w:br w:type="page"/>
      </w:r>
    </w:p>
    <w:p>
      <w:pPr>
        <w:spacing w:before="320" w:after="120"/>
        <w:pBdr>
          <w:bottom w:val="single" w:sz="8" w:color="003B71"/>
        </w:pBdr>
      </w:pPr>
      <w:r>
        <w:rPr>
          <w:rFonts w:ascii="Calibri" w:hAnsi="Calibri"/>
          <w:b/>
          <w:i w:val="0"/>
          <w:color w:val="003B71"/>
          <w:sz w:val="22"/>
        </w:rPr>
        <w:t>EXECUTIVE SUMMARY</w:t>
      </w:r>
    </w:p>
    <w:tbl>
      <w:tblPr>
        <w:tblStyle w:val="TableGrid"/>
        <w:tblW w:type="auto" w:w="0"/>
        <w:jc w:val="left"/>
        <w:tblLook w:firstColumn="1" w:firstRow="1" w:lastColumn="0" w:lastRow="0" w:noHBand="0" w:noVBand="1" w:val="04A0"/>
      </w:tblPr>
      <w:tblGrid>
        <w:gridCol w:w="9072"/>
      </w:tblGrid>
      <w:tr>
        <w:tc>
          <w:tcPr>
            <w:tcW w:type="dxa" w:w="9071"/>
            <w:shd w:val="clear" w:color="auto" w:fill="EFF6FF"/>
            <w:tcBorders>
              <w:top w:val="none" w:sz="6" w:color="auto"/>
              <w:bottom w:val="none" w:sz="6" w:color="auto"/>
              <w:left w:val="single" w:sz="18" w:color="0056D2"/>
              <w:right w:val="none" w:sz="6" w:color="auto"/>
            </w:tcBorders>
          </w:tcPr>
          <w:p>
            <w:pPr>
              <w:spacing w:before="80" w:after="80"/>
              <w:ind w:left="170"/>
            </w:pPr>
            <w:r>
              <w:rPr>
                <w:rFonts w:ascii="Calibri" w:hAnsi="Calibri"/>
                <w:b/>
                <w:i w:val="0"/>
                <w:color w:val="111827"/>
                <w:sz w:val="20"/>
              </w:rPr>
              <w:t>Week 11–17 May 2026: A convergence of healthcare infrastructure expansion signals — 200+ satellite hospitals, national screening policy, and Thong Nhat geriatric center — creates a structural ETC tender volume opportunity for Davipharm's cardiometabolic portfolio.</w:t>
            </w:r>
          </w:p>
        </w:tc>
      </w:tr>
    </w:tbl>
    <w:p>
      <w:pPr>
        <w:spacing w:before="80"/>
      </w:pPr>
    </w:p>
    <w:p>
      <w:pPr>
        <w:spacing w:after="80"/>
      </w:pPr>
    </w:p>
    <w:tbl>
      <w:tblPr>
        <w:tblStyle w:val="TableGrid"/>
        <w:tblW w:type="auto" w:w="0"/>
        <w:jc w:val="left"/>
        <w:tblLook w:firstColumn="1" w:firstRow="1" w:lastColumn="0" w:lastRow="0" w:noHBand="0" w:noVBand="1" w:val="04A0"/>
      </w:tblPr>
      <w:tblGrid>
        <w:gridCol w:w="4536"/>
        <w:gridCol w:w="4536"/>
      </w:tblGrid>
      <w:tr>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3B71"/>
                <w:sz w:val="17"/>
              </w:rPr>
              <w:t>💡  KEY INSIGHTS</w:t>
            </w:r>
          </w:p>
          <w:p>
            <w:pPr>
              <w:spacing w:before="20" w:after="60"/>
              <w:ind w:left="142"/>
            </w:pPr>
            <w:r>
              <w:rPr>
                <w:rFonts w:ascii="Calibri" w:hAnsi="Calibri"/>
                <w:b w:val="0"/>
                <w:i w:val="0"/>
                <w:color w:val="111827"/>
                <w:sz w:val="17"/>
              </w:rPr>
              <w:t>▸  ETC Infrastructure Expansion:200+ new satellite hospitals = 200+ potential tender sites for PECHAUNOX, RAVASTEL, TABAREX, ZABALES, and JIRACEK at provincial/district level.</w:t>
            </w:r>
          </w:p>
          <w:p>
            <w:pPr>
              <w:spacing w:before="20" w:after="60"/>
              <w:ind w:left="142"/>
            </w:pPr>
            <w:r>
              <w:rPr>
                <w:rFonts w:ascii="Calibri" w:hAnsi="Calibri"/>
                <w:b w:val="0"/>
                <w:i w:val="0"/>
                <w:color w:val="111827"/>
                <w:sz w:val="17"/>
              </w:rPr>
              <w:t>▸  Chronic Patient Funnel:National free checkup policy and northern industrial screenings will generate new hypertension, dyslipidemia, and T2DM diagnoses — directly expanding the long-term market for RAVASTEL, EIMLER-10, ZLATKO, and PECHAUNOX.</w:t>
            </w:r>
          </w:p>
          <w:p>
            <w:pPr>
              <w:spacing w:before="20" w:after="60"/>
              <w:ind w:left="142"/>
            </w:pPr>
            <w:r>
              <w:rPr>
                <w:rFonts w:ascii="Calibri" w:hAnsi="Calibri"/>
                <w:b w:val="0"/>
                <w:i w:val="0"/>
                <w:color w:val="111827"/>
                <w:sz w:val="17"/>
              </w:rPr>
              <w:t>▸  Oncology &amp; Geriatrics:Expanding lung cancer screening supports HYYR (Erlotinib) volume growth; Thong Nhat Hospital's geriatric pivot is a priority market access opportunity in HCMC for the cardiovascular–diabetes lineup.</w:t>
            </w:r>
          </w:p>
        </w:tc>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56D2"/>
                <w:sz w:val="17"/>
              </w:rPr>
              <w:t>⚡  PRIORITY ACTIONS</w:t>
            </w:r>
          </w:p>
        </w:tc>
      </w:tr>
    </w:tbl>
    <w:p>
      <w:pPr>
        <w:spacing w:after="120"/>
      </w:pPr>
    </w:p>
    <w:p>
      <w:pPr>
        <w:spacing w:after="40"/>
      </w:pPr>
    </w:p>
    <w:p>
      <w:pPr>
        <w:spacing w:before="320" w:after="120"/>
        <w:pBdr>
          <w:bottom w:val="single" w:sz="8" w:color="003B71"/>
        </w:pBdr>
      </w:pPr>
      <w:r>
        <w:rPr>
          <w:rFonts w:ascii="Calibri" w:hAnsi="Calibri"/>
          <w:b/>
          <w:i w:val="0"/>
          <w:color w:val="003B71"/>
          <w:sz w:val="22"/>
        </w:rPr>
        <w:t>MARKET SENTIMENT THIS WEEK</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3118"/>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Section</w:t>
            </w:r>
          </w:p>
        </w:tc>
        <w:tc>
          <w:tcPr>
            <w:tcW w:type="dxa" w:w="1701"/>
            <w:shd w:val="clear" w:color="auto" w:fill="166534"/>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Positive</w:t>
            </w:r>
          </w:p>
        </w:tc>
        <w:tc>
          <w:tcPr>
            <w:tcW w:type="dxa" w:w="1984"/>
            <w:shd w:val="clear" w:color="auto" w:fill="37415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Neutral</w:t>
            </w:r>
          </w:p>
        </w:tc>
        <w:tc>
          <w:tcPr>
            <w:tcW w:type="dxa" w:w="2268"/>
            <w:shd w:val="clear" w:color="auto" w:fill="991B1B"/>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Risk / Challenge</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Regulatory &amp; Policy</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5F7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Pharma Industry News</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5</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5</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Competitors</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bl>
    <w:p>
      <w:pPr>
        <w:spacing w:after="80"/>
      </w:pPr>
    </w:p>
    <w:p>
      <w:r>
        <w:br w:type="page"/>
      </w:r>
    </w:p>
    <w:p>
      <w:pPr>
        <w:spacing w:before="320" w:after="120"/>
        <w:pBdr>
          <w:bottom w:val="single" w:sz="8" w:color="003B71"/>
        </w:pBdr>
      </w:pPr>
      <w:r>
        <w:rPr>
          <w:rFonts w:ascii="Calibri" w:hAnsi="Calibri"/>
          <w:b/>
          <w:i w:val="0"/>
          <w:color w:val="003B71"/>
          <w:sz w:val="22"/>
        </w:rPr>
        <w:t>REGULATORY &amp; POLICY</w:t>
      </w:r>
    </w:p>
    <w:p>
      <w:r>
        <w:br w:type="page"/>
      </w:r>
    </w:p>
    <w:p>
      <w:pPr>
        <w:spacing w:before="320" w:after="120"/>
        <w:pBdr>
          <w:bottom w:val="single" w:sz="8" w:color="003B71"/>
        </w:pBdr>
      </w:pPr>
      <w:r>
        <w:rPr>
          <w:rFonts w:ascii="Calibri" w:hAnsi="Calibri"/>
          <w:b/>
          <w:i w:val="0"/>
          <w:color w:val="003B71"/>
          <w:sz w:val="22"/>
        </w:rPr>
        <w:t>PHARMA INDUSTRY NEWS</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Khanh Hoa Provincial Hospital Faces Prolonged Ward Shortage — Infrastructure Bottleneck Signals Procurement Delays</w:t>
            </w:r>
          </w:p>
        </w:tc>
      </w:tr>
    </w:tbl>
    <w:p>
      <w:pPr>
        <w:spacing w:before="40" w:after="40"/>
        <w:ind w:left="170"/>
      </w:pPr>
      <w:r>
        <w:rPr>
          <w:rFonts w:ascii="Calibri" w:hAnsi="Calibri"/>
          <w:b w:val="0"/>
          <w:i/>
          <w:color w:val="6B7280"/>
          <w:sz w:val="18"/>
        </w:rPr>
        <w:t>Khanh Hoa Provincial Hospital has been unable to resolve a critical ward shortage for over 3 months, reflecting infrastructure pressure at provincial-level facilities. This may indirectly disrupt ETC drug procurement execution and disbursement at this facility.[Source]</w:t>
      </w:r>
    </w:p>
    <w:p>
      <w:pPr>
        <w:spacing w:before="20" w:after="40"/>
        <w:ind w:left="170"/>
      </w:pPr>
      <w:r>
        <w:rPr>
          <w:rFonts w:ascii="Calibri" w:hAnsi="Calibri"/>
          <w:b/>
          <w:i w:val="0"/>
          <w:color w:val="374151"/>
          <w:sz w:val="17"/>
        </w:rPr>
        <w:t>⚠️ Limited but watchable impact: hospital infrastructure disruption may slow ETC contract disbursement for Davipharm's cardiovascular and diabetes portfolio in Khanh Hoa province.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The Central Region ETC Sales team should audit contract status and disbursement progress at Khanh Hoa Provincial Hospital in May–June 2026, focusing on PECHAUNOX, RAVASTEL, and EIMLER-10; any risk of inventory backlog or delayed payment should be escalated to regional management promptly.</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Ministry of Health to Improve Compensation Policy for Island-Based Medical Staff</w:t>
            </w:r>
          </w:p>
        </w:tc>
      </w:tr>
    </w:tbl>
    <w:p>
      <w:pPr>
        <w:spacing w:before="40" w:after="40"/>
        <w:ind w:left="170"/>
      </w:pPr>
      <w:r>
        <w:rPr>
          <w:rFonts w:ascii="Calibri" w:hAnsi="Calibri"/>
          <w:b w:val="0"/>
          <w:i/>
          <w:color w:val="6B7280"/>
          <w:sz w:val="18"/>
        </w:rPr>
        <w:t>Vietnam's Deputy Minister of Health announced plans to advise on improved compensation schemes for medical staff serving in remote island areas, aiming to strengthen healthcare workforce retention. This personnel policy has no direct bearing on Davipharm's tendering activities or product portfolio.[Source]</w:t>
      </w:r>
    </w:p>
    <w:p>
      <w:pPr>
        <w:spacing w:before="20" w:after="40"/>
        <w:ind w:left="170"/>
      </w:pPr>
      <w:r>
        <w:rPr>
          <w:rFonts w:ascii="Calibri" w:hAnsi="Calibri"/>
          <w:b/>
          <w:i w:val="0"/>
          <w:color w:val="374151"/>
          <w:sz w:val="17"/>
        </w:rPr>
        <w:t>➖ No direct relevance to Davipharm — no impact on ETC revenue or generic portfolio anticipated.</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No priority action required; Market Intelligence team to file for reference in case future rural/island distribution channel opportunities emerge linked to expanded healthcare infrastructure.</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Annual Free Health Checkup Policy: Potential Demand Surge for Cardiovascular &amp; Diabetes Therapeutics</w:t>
            </w:r>
          </w:p>
        </w:tc>
      </w:tr>
    </w:tbl>
    <w:p>
      <w:pPr>
        <w:spacing w:before="40" w:after="40"/>
        <w:ind w:left="170"/>
      </w:pPr>
      <w:r>
        <w:rPr>
          <w:rFonts w:ascii="Calibri" w:hAnsi="Calibri"/>
          <w:b w:val="0"/>
          <w:i/>
          <w:color w:val="6B7280"/>
          <w:sz w:val="18"/>
        </w:rPr>
        <w:t>A proposed policy of annual free health checkups for all citizens is expected to significantly increase early detection rates for chronic conditions including hypertension, dyslipidemia, cardiovascular disease, and type 2 diabetes. This could generate a new wave of diagnosed and prescribed patients, boosting long-term demand for Davipharm's cardiometabolic portfolio: RAVASTEL (Rosuvastatin), PECHAUNOX (Perindopril+Amlodipine), HATLOP (Irbesartan), TABAREX (Valsartan), and EIMLER-10 (Empagliflozin).[Source]</w:t>
      </w:r>
    </w:p>
    <w:p>
      <w:pPr>
        <w:spacing w:before="20" w:after="40"/>
        <w:ind w:left="170"/>
      </w:pPr>
      <w:r>
        <w:rPr>
          <w:rFonts w:ascii="Calibri" w:hAnsi="Calibri"/>
          <w:b/>
          <w:i w:val="0"/>
          <w:color w:val="166534"/>
          <w:sz w:val="17"/>
        </w:rPr>
        <w:t>📈 Medium-to-long-term opportunity: national screening policy will expand the chronic disease patient funnel, directly supporting ETC tender volume growth for Davipharm's cardiovascular and diabetes portfolios.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Marketing &amp; Medical Affairs should monitor treatment protocols recommended under the annual checkup program (particularly lipid, HbA1c, and blood pressure screening) to proactively position RAVASTEL, EIMLER-10, ZLATKO (Sitagliptin), and</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35,000 Aesthetic Complication Cases Annually — Unregulated Spa Sector Raises Medical Demand Signal</w:t>
            </w:r>
          </w:p>
        </w:tc>
      </w:tr>
    </w:tbl>
    <w:p>
      <w:pPr>
        <w:spacing w:before="40" w:after="40"/>
        <w:ind w:left="170"/>
      </w:pPr>
      <w:r>
        <w:rPr>
          <w:rFonts w:ascii="Calibri" w:hAnsi="Calibri"/>
          <w:b w:val="0"/>
          <w:i/>
          <w:color w:val="6B7280"/>
          <w:sz w:val="18"/>
        </w:rPr>
        <w:t>Vietnam records approximately 35,000 aesthetic complication cases per year, predominantly from unlicensed spa operators, driving growing demand for post-procedure and complication management (inflammation, infection, pain) within hospital settings. Direct impact on Davipharm is limited, but this signals latent demand for anti-inflammatory and analgesic products used in complication treatment protocols.[Source]</w:t>
      </w:r>
    </w:p>
    <w:p>
      <w:pPr>
        <w:spacing w:before="20" w:after="40"/>
        <w:ind w:left="170"/>
      </w:pPr>
      <w:r>
        <w:rPr>
          <w:rFonts w:ascii="Calibri" w:hAnsi="Calibri"/>
          <w:b/>
          <w:i w:val="0"/>
          <w:color w:val="374151"/>
          <w:sz w:val="17"/>
        </w:rPr>
        <w:t>🔎 Weak market signal — rising aesthetic complication burden may provide marginal support for MAGRAX (Etoricoxib) and METILONE-4 (Methylprednisolone) in hospital channels, but insufficient to alter near-term strategy.</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ETC Marketing team to monitor post-aesthetic complication treatment trends (inflammation, pain) in dermatology and plastic surgery hospitals — assess feasibility of positioning MAGRAX and METILONE-4 in tender lists for this segment in the next procurement cycle.</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Mass Free Health Screenings for Industrial Workers in Northern Vietnam</w:t>
            </w:r>
          </w:p>
        </w:tc>
      </w:tr>
    </w:tbl>
    <w:p>
      <w:pPr>
        <w:spacing w:before="40" w:after="40"/>
        <w:ind w:left="170"/>
      </w:pPr>
      <w:r>
        <w:rPr>
          <w:rFonts w:ascii="Calibri" w:hAnsi="Calibri"/>
          <w:b w:val="0"/>
          <w:i/>
          <w:color w:val="6B7280"/>
          <w:sz w:val="18"/>
        </w:rPr>
        <w:t>Large-scale free health screenings for factory workers in northern industrial zones reflect a growing trend of expanding primary healthcare access to Vietnam's industrial labor force — a segment with historically low formal medical engagement. Increased diagnosis rates for chronic conditions (cardiovascular, diabetes, GI) could generate downstream demand relevant to Davipharm's core portfolio.[Source]</w:t>
      </w:r>
    </w:p>
    <w:p>
      <w:pPr>
        <w:spacing w:before="20" w:after="40"/>
        <w:ind w:left="170"/>
      </w:pPr>
      <w:r>
        <w:rPr>
          <w:rFonts w:ascii="Calibri" w:hAnsi="Calibri"/>
          <w:b/>
          <w:i w:val="0"/>
          <w:color w:val="374151"/>
          <w:sz w:val="17"/>
        </w:rPr>
        <w:t>📊 Weak market signal — potential long-term demand uplift for RAVASTEL, EIMLER-10, JIRACEK, but no direct near-term impact on tendering or revenue.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Marketing &amp; Medical Affairs team to monitor frequency and scale of industrial health screening programs, assessing potential CSR partnership or product introduction opportunities (RAVASTEL – Rosuvastatin, EIMLER-10 – Empagliflozin) to on-site physicians; no urgent action required within Q3 2025.</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Early Lung Cancer Screening Trend: Expanding Diagnosis Pipeline for Targeted Therapy Market</w:t>
            </w:r>
          </w:p>
        </w:tc>
      </w:tr>
    </w:tbl>
    <w:p>
      <w:pPr>
        <w:spacing w:before="40" w:after="40"/>
        <w:ind w:left="170"/>
      </w:pPr>
      <w:r>
        <w:rPr>
          <w:rFonts w:ascii="Calibri" w:hAnsi="Calibri"/>
          <w:b w:val="0"/>
          <w:i/>
          <w:color w:val="6B7280"/>
          <w:sz w:val="18"/>
        </w:rPr>
        <w:t>The article highlights methods for early-stage lung cancer screening and detection, reflecting a growing trend of cancer surveillance programs in Vietnam. Broader early detection translates to a larger patient pool eligible for targeted therapies such as Erlotinib — the active ingredient in Davipharm's HYYR.[Source]</w:t>
      </w:r>
    </w:p>
    <w:p>
      <w:pPr>
        <w:spacing w:before="20" w:after="40"/>
        <w:ind w:left="170"/>
      </w:pPr>
      <w:r>
        <w:rPr>
          <w:rFonts w:ascii="Calibri" w:hAnsi="Calibri"/>
          <w:b/>
          <w:i w:val="0"/>
          <w:color w:val="166534"/>
          <w:sz w:val="17"/>
        </w:rPr>
        <w:t>📈 Expanded lung cancer screening → growing NSCLC patient base for targeted therapy → opportunity to increase HYYR (Erlotinib) tender volumes in hospital ETC channel.</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Medical Affairs &amp; Oncology Marketing team should prepare scientific dossiers positioning HYYR (Erlotinib) within the early-detection NSCLC treatment pathway; coordinate with the Tendering team to review provincial and central hospital procurement lists for upcoming oncology drug tenders in the 2025–2026 cycle.</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At Least 200 New Satellite Hospitals Nationwide — ETC Channel Expansion Opportunity</w:t>
            </w:r>
          </w:p>
        </w:tc>
      </w:tr>
    </w:tbl>
    <w:p>
      <w:pPr>
        <w:spacing w:before="40" w:after="40"/>
        <w:ind w:left="170"/>
      </w:pPr>
      <w:r>
        <w:rPr>
          <w:rFonts w:ascii="Calibri" w:hAnsi="Calibri"/>
          <w:b w:val="0"/>
          <w:i/>
          <w:color w:val="6B7280"/>
          <w:sz w:val="18"/>
        </w:rPr>
        <w:t>The government is pushing to establish at least 200 new satellite hospitals nationwide, strengthening healthcare capacity at provincial and district levels. This directly expands the number of tendering institutions, benefiting Davipharm's cardiovascular (PECHAUNOX, RAVASTEL, TABAREX, ZABALES) and GI (JIRACEK) portfolios which have high demand at community care level.[Source]</w:t>
      </w:r>
    </w:p>
    <w:p>
      <w:pPr>
        <w:spacing w:before="20" w:after="40"/>
        <w:ind w:left="170"/>
      </w:pPr>
      <w:r>
        <w:rPr>
          <w:rFonts w:ascii="Calibri" w:hAnsi="Calibri"/>
          <w:b/>
          <w:i w:val="0"/>
          <w:color w:val="166534"/>
          <w:sz w:val="17"/>
        </w:rPr>
        <w:t>🟢 Opportunity to grow local ETC tender volume — 200+ potential new tendering sites for Davipharm's cardiovascular and GI products.</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Business Development &amp; Tender team, in coordination with Medical Affairs, should map newly recognized satellite hospitals and prioritize early engagement for PECHAUNOX, RAVASTEL, and JIRACEK ahead of the next local tender cycle (Q3–Q4/2025); prepare GMP/BE qualification dossiers to meet new facility procurement requirements.</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Hypertension Management Trend: Holistic Lifestyle Approach Beyond Salt Restriction</w:t>
            </w:r>
          </w:p>
        </w:tc>
      </w:tr>
    </w:tbl>
    <w:p>
      <w:pPr>
        <w:spacing w:before="40" w:after="40"/>
        <w:ind w:left="170"/>
      </w:pPr>
      <w:r>
        <w:rPr>
          <w:rFonts w:ascii="Calibri" w:hAnsi="Calibri"/>
          <w:b w:val="0"/>
          <w:i/>
          <w:color w:val="6B7280"/>
          <w:sz w:val="18"/>
        </w:rPr>
        <w:t>Mainstream health media is shifting hypertension messaging toward comprehensive lifestyle management (diet, exercise, stress) beyond salt restriction, reflecting a growing patient awareness of long-term disease control. This indirectly sustains chronic medication demand for PECHAUNOX (Perindopril+Amlodipine), TABAREX (Valsartan), and HATLOP (Irbesartan) in the core ETC patient segment.[Source]</w:t>
      </w:r>
    </w:p>
    <w:p>
      <w:pPr>
        <w:spacing w:before="20" w:after="40"/>
        <w:ind w:left="170"/>
      </w:pPr>
      <w:r>
        <w:rPr>
          <w:rFonts w:ascii="Calibri" w:hAnsi="Calibri"/>
          <w:b/>
          <w:i w:val="0"/>
          <w:color w:val="166534"/>
          <w:sz w:val="17"/>
        </w:rPr>
        <w:t>📈 Growing awareness of long-term hypertension management supports stable demand for Davipharm's cardiovascular portfolio, particularly PECHAUNOX and TABAREX in the ETC channel.</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Marketing team can leverage this media trend to develop MSL/MR support materials for hospital detailing, reinforcing adherence to combination antihypertensive therapy (PECHAUNOX) alongside lifestyle changes — particularly valuable in preparation for the next ETC tender cycle.</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Thong Nhat Hospital Rises as Leading Geriatric Center — ETC Channel Opportunity for Cardiovascular &amp; Diabetes Portfolio</w:t>
            </w:r>
          </w:p>
        </w:tc>
      </w:tr>
    </w:tbl>
    <w:p>
      <w:pPr>
        <w:spacing w:before="40" w:after="40"/>
        <w:ind w:left="170"/>
      </w:pPr>
      <w:r>
        <w:rPr>
          <w:rFonts w:ascii="Calibri" w:hAnsi="Calibri"/>
          <w:b w:val="0"/>
          <w:i/>
          <w:color w:val="6B7280"/>
          <w:sz w:val="18"/>
        </w:rPr>
        <w:t>Thong Nhat Hospital (Ho Chi Minh City) is positioning itself as a leading geriatric center, signaling sustained growth in long-term treatment demand for chronic conditions prevalent in elderly patients — cardiovascular, hypertension, type 2 diabetes, and dyslipidemia. This is a positive signal for Davipharm's ETC portfolio, particularly PECHAUNOX (Perindopril+Amlodipine), RAVASTEL (Rosuvastatin), TABAREX (Valsartan), HATLOP (Irbesartan), and EIMLER-10 (Empagliflozin).[Source]</w:t>
      </w:r>
    </w:p>
    <w:p>
      <w:pPr>
        <w:spacing w:before="20" w:after="40"/>
        <w:ind w:left="170"/>
      </w:pPr>
      <w:r>
        <w:rPr>
          <w:rFonts w:ascii="Calibri" w:hAnsi="Calibri"/>
          <w:b/>
          <w:i w:val="0"/>
          <w:color w:val="166534"/>
          <w:sz w:val="17"/>
        </w:rPr>
        <w:t>🟢 Thong Nhat Hospital's geriatric expansion creates a long-term ETC tendering and volume opportunity for Davipharm's cardiovascular and diabetes lineup in Ho Chi Minh City.</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The ETC Sales &amp; Market Access team should prioritize engagement with Thong Nhat Hospital's drug formulary committee ahead of the next tender cycle, focusing dossier submissions on PECHAUNOX, RAVASTEL, EIMLER-10, and ZLATKO (Sitagliptin) for chronic</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TUỔI TRẺ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18,000+ HFMD Cases in Southern Vietnam — Summer 2026 Outbreak Signal</w:t>
            </w:r>
          </w:p>
        </w:tc>
      </w:tr>
    </w:tbl>
    <w:p>
      <w:pPr>
        <w:spacing w:before="40" w:after="40"/>
        <w:ind w:left="170"/>
      </w:pPr>
      <w:r>
        <w:rPr>
          <w:rFonts w:ascii="Calibri" w:hAnsi="Calibri"/>
          <w:b w:val="0"/>
          <w:i/>
          <w:color w:val="6B7280"/>
          <w:sz w:val="18"/>
        </w:rPr>
        <w:t>Southern Vietnam has recorded over 18,000 HFMD cases, with experts commenting on a new vaccine amid an escalating outbreak. Davipharm has no direct HFMD-specific product, though pediatric hospital surges may marginally lift demand for symptomatic care drugs in ETC channels.[Source]</w:t>
      </w:r>
    </w:p>
    <w:p>
      <w:pPr>
        <w:spacing w:before="20" w:after="40"/>
        <w:ind w:left="170"/>
      </w:pPr>
      <w:r>
        <w:rPr>
          <w:rFonts w:ascii="Calibri" w:hAnsi="Calibri"/>
          <w:b/>
          <w:i w:val="0"/>
          <w:color w:val="374151"/>
          <w:sz w:val="17"/>
        </w:rPr>
        <w:t>📊 Indirect and negligible impact on Davipharm's current portfolio — no active ingredient directly targets HFMD treatment.</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No priority action required; Medical Affairs may monitor pediatric outbreak trends as a background signal for potential long-term portfolio expansion into pediatric care.</w:t>
            </w:r>
          </w:p>
        </w:tc>
      </w:tr>
    </w:tbl>
    <w:p>
      <w:pPr>
        <w:spacing w:before="40" w:after="120"/>
      </w:pPr>
    </w:p>
    <w:p>
      <w:r>
        <w:br w:type="page"/>
      </w:r>
    </w:p>
    <w:p>
      <w:pPr>
        <w:spacing w:before="320" w:after="120"/>
        <w:pBdr>
          <w:bottom w:val="single" w:sz="8" w:color="003B71"/>
        </w:pBdr>
      </w:pPr>
      <w:r>
        <w:rPr>
          <w:rFonts w:ascii="Calibri" w:hAnsi="Calibri"/>
          <w:b/>
          <w:i w:val="0"/>
          <w:color w:val="003B71"/>
          <w:sz w:val="22"/>
        </w:rPr>
        <w:t>COMPETITOR INTELLIGENCE</w:t>
      </w:r>
    </w:p>
    <w:p>
      <w:r>
        <w:br w:type="page"/>
      </w:r>
    </w:p>
    <w:p>
      <w:pPr>
        <w:spacing w:before="320" w:after="120"/>
        <w:pBdr>
          <w:bottom w:val="single" w:sz="8" w:color="003B71"/>
        </w:pBdr>
      </w:pPr>
      <w:r>
        <w:rPr>
          <w:rFonts w:ascii="Calibri" w:hAnsi="Calibri"/>
          <w:b/>
          <w:i w:val="0"/>
          <w:color w:val="003B71"/>
          <w:sz w:val="22"/>
        </w:rPr>
        <w:t>PRODUCT PORTFOLIO</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701"/>
            <w:shd w:val="clear" w:color="auto" w:fill="003B71"/>
          </w:tcPr>
          <w:p>
            <w:pPr>
              <w:spacing w:before="80" w:after="80"/>
              <w:ind w:left="85"/>
            </w:pPr>
            <w:r>
              <w:rPr>
                <w:rFonts w:ascii="Calibri" w:hAnsi="Calibri"/>
                <w:b/>
                <w:i w:val="0"/>
                <w:color w:val="FFFFFF"/>
                <w:sz w:val="17"/>
              </w:rPr>
              <w:t>Product</w:t>
            </w:r>
          </w:p>
        </w:tc>
        <w:tc>
          <w:tcPr>
            <w:tcW w:type="dxa" w:w="2381"/>
            <w:shd w:val="clear" w:color="auto" w:fill="003B71"/>
          </w:tcPr>
          <w:p>
            <w:pPr>
              <w:spacing w:before="80" w:after="80"/>
              <w:ind w:left="85"/>
            </w:pPr>
            <w:r>
              <w:rPr>
                <w:rFonts w:ascii="Calibri" w:hAnsi="Calibri"/>
                <w:b/>
                <w:i w:val="0"/>
                <w:color w:val="FFFFFF"/>
                <w:sz w:val="17"/>
              </w:rPr>
              <w:t>Active · Indication</w:t>
            </w:r>
          </w:p>
        </w:tc>
        <w:tc>
          <w:tcPr>
            <w:tcW w:type="dxa" w:w="1134"/>
            <w:shd w:val="clear" w:color="auto" w:fill="003B71"/>
          </w:tcPr>
          <w:p>
            <w:pPr>
              <w:spacing w:before="80" w:after="80"/>
              <w:ind w:left="85"/>
            </w:pPr>
            <w:r>
              <w:rPr>
                <w:rFonts w:ascii="Calibri" w:hAnsi="Calibri"/>
                <w:b/>
                <w:i w:val="0"/>
                <w:color w:val="FFFFFF"/>
                <w:sz w:val="17"/>
              </w:rPr>
              <w:t>Price</w:t>
            </w:r>
          </w:p>
        </w:tc>
        <w:tc>
          <w:tcPr>
            <w:tcW w:type="dxa" w:w="1247"/>
            <w:shd w:val="clear" w:color="auto" w:fill="003B71"/>
          </w:tcPr>
          <w:p>
            <w:pPr>
              <w:spacing w:before="80" w:after="80"/>
              <w:ind w:left="85"/>
            </w:pPr>
            <w:r>
              <w:rPr>
                <w:rFonts w:ascii="Calibri" w:hAnsi="Calibri"/>
                <w:b/>
                <w:i w:val="0"/>
                <w:color w:val="FFFFFF"/>
                <w:sz w:val="17"/>
              </w:rPr>
              <w:t>Status</w:t>
            </w:r>
          </w:p>
        </w:tc>
        <w:tc>
          <w:tcPr>
            <w:tcW w:type="dxa" w:w="2608"/>
            <w:shd w:val="clear" w:color="auto" w:fill="003B71"/>
          </w:tcPr>
          <w:p>
            <w:pPr>
              <w:spacing w:before="80" w:after="80"/>
              <w:ind w:left="85"/>
            </w:pPr>
            <w:r>
              <w:rPr>
                <w:rFonts w:ascii="Calibri" w:hAnsi="Calibri"/>
                <w:b/>
                <w:i w:val="0"/>
                <w:color w:val="FFFFFF"/>
                <w:sz w:val="17"/>
              </w:rPr>
              <w:t>Strategic Note</w:t>
            </w:r>
          </w:p>
        </w:tc>
      </w:tr>
      <w:tr>
        <w:tc>
          <w:tcPr>
            <w:tcW w:type="dxa" w:w="1701"/>
          </w:tcPr>
          <w:p>
            <w:pPr>
              <w:spacing w:before="60" w:after="60"/>
              <w:ind w:left="85"/>
            </w:pPr>
            <w:r>
              <w:rPr>
                <w:rFonts w:ascii="Calibri" w:hAnsi="Calibri"/>
                <w:b/>
                <w:i w:val="0"/>
                <w:color w:val="003B71"/>
                <w:sz w:val="17"/>
              </w:rPr>
              <w:t>EIMLER-10</w:t>
            </w:r>
          </w:p>
        </w:tc>
        <w:tc>
          <w:tcPr>
            <w:tcW w:type="dxa" w:w="2381"/>
          </w:tcPr>
          <w:p>
            <w:pPr>
              <w:spacing w:before="60" w:after="60"/>
              <w:ind w:left="85"/>
            </w:pPr>
            <w:r>
              <w:rPr>
                <w:rFonts w:ascii="Calibri" w:hAnsi="Calibri"/>
                <w:b w:val="0"/>
                <w:i w:val="0"/>
                <w:color w:val="374151"/>
                <w:sz w:val="17"/>
              </w:rPr>
              <w:t>Empagliflozin 10mg</w:t>
            </w:r>
          </w:p>
        </w:tc>
        <w:tc>
          <w:tcPr>
            <w:tcW w:type="dxa" w:w="1134"/>
          </w:tcPr>
          <w:p>
            <w:pPr>
              <w:spacing w:before="60" w:after="60"/>
              <w:ind w:left="85"/>
            </w:pPr>
            <w:r>
              <w:rPr>
                <w:rFonts w:ascii="Calibri" w:hAnsi="Calibri"/>
                <w:b w:val="0"/>
                <w:i w:val="0"/>
                <w:color w:val="374151"/>
                <w:sz w:val="17"/>
              </w:rPr>
              <w:t>597,000 VND /hộp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Ưu tiên thầu Nhóm 1 – đấu thầu TT 2026</w:t>
            </w:r>
          </w:p>
        </w:tc>
      </w:tr>
      <w:tr>
        <w:tc>
          <w:tcPr>
            <w:tcW w:type="dxa" w:w="1701"/>
          </w:tcPr>
          <w:p>
            <w:pPr>
              <w:spacing w:before="60" w:after="60"/>
              <w:ind w:left="85"/>
            </w:pPr>
            <w:r>
              <w:rPr>
                <w:rFonts w:ascii="Calibri" w:hAnsi="Calibri"/>
                <w:b/>
                <w:i w:val="0"/>
                <w:color w:val="003B71"/>
                <w:sz w:val="17"/>
              </w:rPr>
              <w:t>ZLATKO-50</w:t>
            </w:r>
          </w:p>
        </w:tc>
        <w:tc>
          <w:tcPr>
            <w:tcW w:type="dxa" w:w="2381"/>
          </w:tcPr>
          <w:p>
            <w:pPr>
              <w:spacing w:before="60" w:after="60"/>
              <w:ind w:left="85"/>
            </w:pPr>
            <w:r>
              <w:rPr>
                <w:rFonts w:ascii="Calibri" w:hAnsi="Calibri"/>
                <w:b w:val="0"/>
                <w:i w:val="0"/>
                <w:color w:val="374151"/>
                <w:sz w:val="17"/>
              </w:rPr>
              <w:t>Sitagliptin 50mg</w:t>
            </w:r>
          </w:p>
        </w:tc>
        <w:tc>
          <w:tcPr>
            <w:tcW w:type="dxa" w:w="1134"/>
          </w:tcPr>
          <w:p>
            <w:pPr>
              <w:spacing w:before="60" w:after="60"/>
              <w:ind w:left="85"/>
            </w:pPr>
            <w:r>
              <w:rPr>
                <w:rFonts w:ascii="Calibri" w:hAnsi="Calibri"/>
                <w:b w:val="0"/>
                <w:i w:val="0"/>
                <w:color w:val="374151"/>
                <w:sz w:val="17"/>
              </w:rPr>
              <w:t>217,500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DPP-4 generic cạnh tranh</w:t>
            </w:r>
          </w:p>
        </w:tc>
      </w:tr>
      <w:tr>
        <w:tc>
          <w:tcPr>
            <w:tcW w:type="dxa" w:w="1701"/>
          </w:tcPr>
          <w:p>
            <w:pPr>
              <w:spacing w:before="60" w:after="60"/>
              <w:ind w:left="85"/>
            </w:pPr>
            <w:r>
              <w:rPr>
                <w:rFonts w:ascii="Calibri" w:hAnsi="Calibri"/>
                <w:b/>
                <w:i w:val="0"/>
                <w:color w:val="003B71"/>
                <w:sz w:val="17"/>
              </w:rPr>
              <w:t>JANUS-60</w:t>
            </w:r>
          </w:p>
        </w:tc>
        <w:tc>
          <w:tcPr>
            <w:tcW w:type="dxa" w:w="2381"/>
          </w:tcPr>
          <w:p>
            <w:pPr>
              <w:spacing w:before="60" w:after="60"/>
              <w:ind w:left="85"/>
            </w:pPr>
            <w:r>
              <w:rPr>
                <w:rFonts w:ascii="Calibri" w:hAnsi="Calibri"/>
                <w:b w:val="0"/>
                <w:i w:val="0"/>
                <w:color w:val="374151"/>
                <w:sz w:val="17"/>
              </w:rPr>
              <w:t>Dapoxetine 60mg</w:t>
            </w:r>
          </w:p>
        </w:tc>
        <w:tc>
          <w:tcPr>
            <w:tcW w:type="dxa" w:w="1134"/>
          </w:tcPr>
          <w:p>
            <w:pPr>
              <w:spacing w:before="60" w:after="60"/>
              <w:ind w:left="85"/>
            </w:pPr>
            <w:r>
              <w:rPr>
                <w:rFonts w:ascii="Calibri" w:hAnsi="Calibri"/>
                <w:b w:val="0"/>
                <w:i w:val="0"/>
                <w:color w:val="374151"/>
                <w:sz w:val="17"/>
              </w:rPr>
              <w:t>720,000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Kiểm tra listing Long Châu / Pharmacity</w:t>
            </w:r>
          </w:p>
        </w:tc>
      </w:tr>
      <w:tr>
        <w:tc>
          <w:tcPr>
            <w:tcW w:type="dxa" w:w="1701"/>
          </w:tcPr>
          <w:p>
            <w:pPr>
              <w:spacing w:before="60" w:after="60"/>
              <w:ind w:left="85"/>
            </w:pPr>
            <w:r>
              <w:rPr>
                <w:rFonts w:ascii="Calibri" w:hAnsi="Calibri"/>
                <w:b/>
                <w:i w:val="0"/>
                <w:color w:val="003B71"/>
                <w:sz w:val="17"/>
              </w:rPr>
              <w:t>TADALAFIL 20MG</w:t>
            </w:r>
          </w:p>
        </w:tc>
        <w:tc>
          <w:tcPr>
            <w:tcW w:type="dxa" w:w="2381"/>
          </w:tcPr>
          <w:p>
            <w:pPr>
              <w:spacing w:before="60" w:after="60"/>
              <w:ind w:left="85"/>
            </w:pPr>
            <w:r>
              <w:rPr>
                <w:rFonts w:ascii="Calibri" w:hAnsi="Calibri"/>
                <w:b w:val="0"/>
                <w:i w:val="0"/>
                <w:color w:val="374151"/>
                <w:sz w:val="17"/>
              </w:rPr>
              <w:t>Tadalafil 20mg</w:t>
            </w:r>
          </w:p>
        </w:tc>
        <w:tc>
          <w:tcPr>
            <w:tcW w:type="dxa" w:w="1134"/>
          </w:tcPr>
          <w:p>
            <w:pPr>
              <w:spacing w:before="60" w:after="60"/>
              <w:ind w:left="85"/>
            </w:pPr>
            <w:r>
              <w:rPr>
                <w:rFonts w:ascii="Calibri" w:hAnsi="Calibri"/>
                <w:b w:val="0"/>
                <w:i w:val="0"/>
                <w:color w:val="374151"/>
                <w:sz w:val="17"/>
              </w:rPr>
              <w:t>42,000 VND /tabs</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giá Sun Pharma, Cipla generic</w:t>
            </w:r>
          </w:p>
        </w:tc>
      </w:tr>
      <w:tr>
        <w:tc>
          <w:tcPr>
            <w:tcW w:type="dxa" w:w="1701"/>
          </w:tcPr>
          <w:p>
            <w:pPr>
              <w:spacing w:before="60" w:after="60"/>
              <w:ind w:left="85"/>
            </w:pPr>
            <w:r>
              <w:rPr>
                <w:rFonts w:ascii="Calibri" w:hAnsi="Calibri"/>
                <w:b/>
                <w:i w:val="0"/>
                <w:color w:val="003B71"/>
                <w:sz w:val="17"/>
              </w:rPr>
              <w:t>DRYCHES</w:t>
            </w:r>
          </w:p>
        </w:tc>
        <w:tc>
          <w:tcPr>
            <w:tcW w:type="dxa" w:w="2381"/>
          </w:tcPr>
          <w:p>
            <w:pPr>
              <w:spacing w:before="60" w:after="60"/>
              <w:ind w:left="85"/>
            </w:pPr>
            <w:r>
              <w:rPr>
                <w:rFonts w:ascii="Calibri" w:hAnsi="Calibri"/>
                <w:b w:val="0"/>
                <w:i w:val="0"/>
                <w:color w:val="374151"/>
                <w:sz w:val="17"/>
              </w:rPr>
              <w:t>Dutasteride 0.5mg</w:t>
            </w:r>
          </w:p>
        </w:tc>
        <w:tc>
          <w:tcPr>
            <w:tcW w:type="dxa" w:w="1134"/>
          </w:tcPr>
          <w:p>
            <w:pPr>
              <w:spacing w:before="60" w:after="60"/>
              <w:ind w:left="85"/>
            </w:pPr>
            <w:r>
              <w:rPr>
                <w:rFonts w:ascii="Calibri" w:hAnsi="Calibri"/>
                <w:b w:val="0"/>
                <w:i w:val="0"/>
                <w:color w:val="374151"/>
                <w:sz w:val="17"/>
              </w:rPr>
              <w:t>378,000 VND /hộp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BPH – thị trường còn ít cạnh tranh</w:t>
            </w:r>
          </w:p>
        </w:tc>
      </w:tr>
      <w:tr>
        <w:tc>
          <w:tcPr>
            <w:tcW w:type="dxa" w:w="1701"/>
          </w:tcPr>
          <w:p>
            <w:pPr>
              <w:spacing w:before="60" w:after="60"/>
              <w:ind w:left="85"/>
            </w:pPr>
            <w:r>
              <w:rPr>
                <w:rFonts w:ascii="Calibri" w:hAnsi="Calibri"/>
                <w:b/>
                <w:i w:val="0"/>
                <w:color w:val="003B71"/>
                <w:sz w:val="17"/>
              </w:rPr>
              <w:t>PECHAUNOX 4/10</w:t>
            </w:r>
          </w:p>
        </w:tc>
        <w:tc>
          <w:tcPr>
            <w:tcW w:type="dxa" w:w="2381"/>
          </w:tcPr>
          <w:p>
            <w:pPr>
              <w:spacing w:before="60" w:after="60"/>
              <w:ind w:left="85"/>
            </w:pPr>
            <w:r>
              <w:rPr>
                <w:rFonts w:ascii="Calibri" w:hAnsi="Calibri"/>
                <w:b w:val="0"/>
                <w:i w:val="0"/>
                <w:color w:val="374151"/>
                <w:sz w:val="17"/>
              </w:rPr>
              <w:t>Perindopril + Amlodipin</w:t>
            </w:r>
          </w:p>
        </w:tc>
        <w:tc>
          <w:tcPr>
            <w:tcW w:type="dxa" w:w="1134"/>
          </w:tcPr>
          <w:p>
            <w:pPr>
              <w:spacing w:before="60" w:after="60"/>
              <w:ind w:left="85"/>
            </w:pPr>
            <w:r>
              <w:rPr>
                <w:rFonts w:ascii="Calibri" w:hAnsi="Calibri"/>
                <w:b w:val="0"/>
                <w:i w:val="0"/>
                <w:color w:val="374151"/>
                <w:sz w:val="17"/>
              </w:rPr>
              <w:t>182,070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Combo cạnh tranh – theo dõi generic Amlodipine</w:t>
            </w:r>
          </w:p>
        </w:tc>
      </w:tr>
      <w:tr>
        <w:tc>
          <w:tcPr>
            <w:tcW w:type="dxa" w:w="1701"/>
          </w:tcPr>
          <w:p>
            <w:pPr>
              <w:spacing w:before="60" w:after="60"/>
              <w:ind w:left="85"/>
            </w:pPr>
            <w:r>
              <w:rPr>
                <w:rFonts w:ascii="Calibri" w:hAnsi="Calibri"/>
                <w:b/>
                <w:i w:val="0"/>
                <w:color w:val="003B71"/>
                <w:sz w:val="17"/>
              </w:rPr>
              <w:t>RAVASTEL-20</w:t>
            </w:r>
          </w:p>
        </w:tc>
        <w:tc>
          <w:tcPr>
            <w:tcW w:type="dxa" w:w="2381"/>
          </w:tcPr>
          <w:p>
            <w:pPr>
              <w:spacing w:before="60" w:after="60"/>
              <w:ind w:left="85"/>
            </w:pPr>
            <w:r>
              <w:rPr>
                <w:rFonts w:ascii="Calibri" w:hAnsi="Calibri"/>
                <w:b w:val="0"/>
                <w:i w:val="0"/>
                <w:color w:val="374151"/>
                <w:sz w:val="17"/>
              </w:rPr>
              <w:t>Rosuvastatin 20mg</w:t>
            </w:r>
          </w:p>
        </w:tc>
        <w:tc>
          <w:tcPr>
            <w:tcW w:type="dxa" w:w="1134"/>
          </w:tcPr>
          <w:p>
            <w:pPr>
              <w:spacing w:before="60" w:after="60"/>
              <w:ind w:left="85"/>
            </w:pPr>
            <w:r>
              <w:rPr>
                <w:rFonts w:ascii="Calibri" w:hAnsi="Calibri"/>
                <w:b w:val="0"/>
                <w:i w:val="0"/>
                <w:color w:val="374151"/>
                <w:sz w:val="17"/>
              </w:rPr>
              <w:t>47,250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Statin – cạnh tranh cao với Atorvastatin generic</w:t>
            </w:r>
          </w:p>
        </w:tc>
      </w:tr>
      <w:tr>
        <w:tc>
          <w:tcPr>
            <w:tcW w:type="dxa" w:w="1701"/>
          </w:tcPr>
          <w:p>
            <w:pPr>
              <w:spacing w:before="60" w:after="60"/>
              <w:ind w:left="85"/>
            </w:pPr>
            <w:r>
              <w:rPr>
                <w:rFonts w:ascii="Calibri" w:hAnsi="Calibri"/>
                <w:b/>
                <w:i w:val="0"/>
                <w:color w:val="003B71"/>
                <w:sz w:val="17"/>
              </w:rPr>
              <w:t>TABAREX-160</w:t>
            </w:r>
          </w:p>
        </w:tc>
        <w:tc>
          <w:tcPr>
            <w:tcW w:type="dxa" w:w="2381"/>
          </w:tcPr>
          <w:p>
            <w:pPr>
              <w:spacing w:before="60" w:after="60"/>
              <w:ind w:left="85"/>
            </w:pPr>
            <w:r>
              <w:rPr>
                <w:rFonts w:ascii="Calibri" w:hAnsi="Calibri"/>
                <w:b w:val="0"/>
                <w:i w:val="0"/>
                <w:color w:val="374151"/>
                <w:sz w:val="17"/>
              </w:rPr>
              <w:t>Valsartan 160mg</w:t>
            </w:r>
          </w:p>
        </w:tc>
        <w:tc>
          <w:tcPr>
            <w:tcW w:type="dxa" w:w="1134"/>
          </w:tcPr>
          <w:p>
            <w:pPr>
              <w:spacing w:before="60" w:after="60"/>
              <w:ind w:left="85"/>
            </w:pPr>
            <w:r>
              <w:rPr>
                <w:rFonts w:ascii="Calibri" w:hAnsi="Calibri"/>
                <w:b w:val="0"/>
                <w:i w:val="0"/>
                <w:color w:val="374151"/>
                <w:sz w:val="17"/>
              </w:rPr>
              <w:t>163,800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OTC &amp; ETC tuyến tỉnh</w:t>
            </w:r>
          </w:p>
        </w:tc>
      </w:tr>
      <w:tr>
        <w:tc>
          <w:tcPr>
            <w:tcW w:type="dxa" w:w="1701"/>
          </w:tcPr>
          <w:p>
            <w:pPr>
              <w:spacing w:before="60" w:after="60"/>
              <w:ind w:left="85"/>
            </w:pPr>
            <w:r>
              <w:rPr>
                <w:rFonts w:ascii="Calibri" w:hAnsi="Calibri"/>
                <w:b/>
                <w:i w:val="0"/>
                <w:color w:val="003B71"/>
                <w:sz w:val="17"/>
              </w:rPr>
              <w:t>HATLOP-150</w:t>
            </w:r>
          </w:p>
        </w:tc>
        <w:tc>
          <w:tcPr>
            <w:tcW w:type="dxa" w:w="2381"/>
          </w:tcPr>
          <w:p>
            <w:pPr>
              <w:spacing w:before="60" w:after="60"/>
              <w:ind w:left="85"/>
            </w:pPr>
            <w:r>
              <w:rPr>
                <w:rFonts w:ascii="Calibri" w:hAnsi="Calibri"/>
                <w:b w:val="0"/>
                <w:i w:val="0"/>
                <w:color w:val="374151"/>
                <w:sz w:val="17"/>
              </w:rPr>
              <w:t>Irbesartan 150mg</w:t>
            </w:r>
          </w:p>
        </w:tc>
        <w:tc>
          <w:tcPr>
            <w:tcW w:type="dxa" w:w="1134"/>
          </w:tcPr>
          <w:p>
            <w:pPr>
              <w:spacing w:before="60" w:after="60"/>
              <w:ind w:left="85"/>
            </w:pPr>
            <w:r>
              <w:rPr>
                <w:rFonts w:ascii="Calibri" w:hAnsi="Calibri"/>
                <w:b w:val="0"/>
                <w:i w:val="0"/>
                <w:color w:val="374151"/>
                <w:sz w:val="17"/>
              </w:rPr>
              <w:t>210,000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thầu bệnh viện tuyến tỉnh</w:t>
            </w:r>
          </w:p>
        </w:tc>
      </w:tr>
      <w:tr>
        <w:tc>
          <w:tcPr>
            <w:tcW w:type="dxa" w:w="1701"/>
          </w:tcPr>
          <w:p>
            <w:pPr>
              <w:spacing w:before="60" w:after="60"/>
              <w:ind w:left="85"/>
            </w:pPr>
            <w:r>
              <w:rPr>
                <w:rFonts w:ascii="Calibri" w:hAnsi="Calibri"/>
                <w:b/>
                <w:i w:val="0"/>
                <w:color w:val="003B71"/>
                <w:sz w:val="17"/>
              </w:rPr>
              <w:t>ZABALES</w:t>
            </w:r>
          </w:p>
        </w:tc>
        <w:tc>
          <w:tcPr>
            <w:tcW w:type="dxa" w:w="2381"/>
          </w:tcPr>
          <w:p>
            <w:pPr>
              <w:spacing w:before="60" w:after="60"/>
              <w:ind w:left="85"/>
            </w:pPr>
            <w:r>
              <w:rPr>
                <w:rFonts w:ascii="Calibri" w:hAnsi="Calibri"/>
                <w:b w:val="0"/>
                <w:i w:val="0"/>
                <w:color w:val="374151"/>
                <w:sz w:val="17"/>
              </w:rPr>
              <w:t>Clopidogrel 75mg</w:t>
            </w:r>
          </w:p>
        </w:tc>
        <w:tc>
          <w:tcPr>
            <w:tcW w:type="dxa" w:w="1134"/>
          </w:tcPr>
          <w:p>
            <w:pPr>
              <w:spacing w:before="60" w:after="60"/>
              <w:ind w:left="85"/>
            </w:pPr>
            <w:r>
              <w:rPr>
                <w:rFonts w:ascii="Calibri" w:hAnsi="Calibri"/>
                <w:b w:val="0"/>
                <w:i w:val="0"/>
                <w:color w:val="374151"/>
                <w:sz w:val="17"/>
              </w:rPr>
              <w:t>31,920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Cạnh tranh cao – cần bảo vệ giá thầu</w:t>
            </w:r>
          </w:p>
        </w:tc>
      </w:tr>
      <w:tr>
        <w:tc>
          <w:tcPr>
            <w:tcW w:type="dxa" w:w="1701"/>
          </w:tcPr>
          <w:p>
            <w:pPr>
              <w:spacing w:before="60" w:after="60"/>
              <w:ind w:left="85"/>
            </w:pPr>
            <w:r>
              <w:rPr>
                <w:rFonts w:ascii="Calibri" w:hAnsi="Calibri"/>
                <w:b/>
                <w:i w:val="0"/>
                <w:color w:val="003B71"/>
                <w:sz w:val="17"/>
              </w:rPr>
              <w:t>MAGRAX</w:t>
            </w:r>
          </w:p>
        </w:tc>
        <w:tc>
          <w:tcPr>
            <w:tcW w:type="dxa" w:w="2381"/>
          </w:tcPr>
          <w:p>
            <w:pPr>
              <w:spacing w:before="60" w:after="60"/>
              <w:ind w:left="85"/>
            </w:pPr>
            <w:r>
              <w:rPr>
                <w:rFonts w:ascii="Calibri" w:hAnsi="Calibri"/>
                <w:b w:val="0"/>
                <w:i w:val="0"/>
                <w:color w:val="374151"/>
                <w:sz w:val="17"/>
              </w:rPr>
              <w:t>Etoricoxib 90mg</w:t>
            </w:r>
          </w:p>
        </w:tc>
        <w:tc>
          <w:tcPr>
            <w:tcW w:type="dxa" w:w="1134"/>
          </w:tcPr>
          <w:p>
            <w:pPr>
              <w:spacing w:before="60" w:after="60"/>
              <w:ind w:left="85"/>
            </w:pPr>
            <w:r>
              <w:rPr>
                <w:rFonts w:ascii="Calibri" w:hAnsi="Calibri"/>
                <w:b w:val="0"/>
                <w:i w:val="0"/>
                <w:color w:val="374151"/>
                <w:sz w:val="17"/>
              </w:rPr>
              <w:t>215,000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COX-2 – theo dõi xu hướng điều trị Gout</w:t>
            </w:r>
          </w:p>
        </w:tc>
      </w:tr>
      <w:tr>
        <w:tc>
          <w:tcPr>
            <w:tcW w:type="dxa" w:w="1701"/>
          </w:tcPr>
          <w:p>
            <w:pPr>
              <w:spacing w:before="60" w:after="60"/>
              <w:ind w:left="85"/>
            </w:pPr>
            <w:r>
              <w:rPr>
                <w:rFonts w:ascii="Calibri" w:hAnsi="Calibri"/>
                <w:b/>
                <w:i w:val="0"/>
                <w:color w:val="003B71"/>
                <w:sz w:val="17"/>
              </w:rPr>
              <w:t>ZENTOGOUT-40</w:t>
            </w:r>
          </w:p>
        </w:tc>
        <w:tc>
          <w:tcPr>
            <w:tcW w:type="dxa" w:w="2381"/>
          </w:tcPr>
          <w:p>
            <w:pPr>
              <w:spacing w:before="60" w:after="60"/>
              <w:ind w:left="85"/>
            </w:pPr>
            <w:r>
              <w:rPr>
                <w:rFonts w:ascii="Calibri" w:hAnsi="Calibri"/>
                <w:b w:val="0"/>
                <w:i w:val="0"/>
                <w:color w:val="374151"/>
                <w:sz w:val="17"/>
              </w:rPr>
              <w:t>Febuxostat 40mg</w:t>
            </w:r>
          </w:p>
        </w:tc>
        <w:tc>
          <w:tcPr>
            <w:tcW w:type="dxa" w:w="1134"/>
          </w:tcPr>
          <w:p>
            <w:pPr>
              <w:spacing w:before="60" w:after="60"/>
              <w:ind w:left="85"/>
            </w:pPr>
            <w:r>
              <w:rPr>
                <w:rFonts w:ascii="Calibri" w:hAnsi="Calibri"/>
                <w:b w:val="0"/>
                <w:i w:val="0"/>
                <w:color w:val="374151"/>
                <w:sz w:val="17"/>
              </w:rPr>
              <w:t>240,000 VND /hộp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Thay thế Allopurinol – đang tăng trưởng</w:t>
            </w:r>
          </w:p>
        </w:tc>
      </w:tr>
      <w:tr>
        <w:tc>
          <w:tcPr>
            <w:tcW w:type="dxa" w:w="1701"/>
          </w:tcPr>
          <w:p>
            <w:pPr>
              <w:spacing w:before="60" w:after="60"/>
              <w:ind w:left="85"/>
            </w:pPr>
            <w:r>
              <w:rPr>
                <w:rFonts w:ascii="Calibri" w:hAnsi="Calibri"/>
                <w:b/>
                <w:i w:val="0"/>
                <w:color w:val="003B71"/>
                <w:sz w:val="17"/>
              </w:rPr>
              <w:t>JIRACEK</w:t>
            </w:r>
          </w:p>
        </w:tc>
        <w:tc>
          <w:tcPr>
            <w:tcW w:type="dxa" w:w="2381"/>
          </w:tcPr>
          <w:p>
            <w:pPr>
              <w:spacing w:before="60" w:after="60"/>
              <w:ind w:left="85"/>
            </w:pPr>
            <w:r>
              <w:rPr>
                <w:rFonts w:ascii="Calibri" w:hAnsi="Calibri"/>
                <w:b w:val="0"/>
                <w:i w:val="0"/>
                <w:color w:val="374151"/>
                <w:sz w:val="17"/>
              </w:rPr>
              <w:t>Esomeprazole 40mg</w:t>
            </w:r>
          </w:p>
        </w:tc>
        <w:tc>
          <w:tcPr>
            <w:tcW w:type="dxa" w:w="1134"/>
          </w:tcPr>
          <w:p>
            <w:pPr>
              <w:spacing w:before="60" w:after="60"/>
              <w:ind w:left="85"/>
            </w:pPr>
            <w:r>
              <w:rPr>
                <w:rFonts w:ascii="Calibri" w:hAnsi="Calibri"/>
                <w:b w:val="0"/>
                <w:i w:val="0"/>
                <w:color w:val="374151"/>
                <w:sz w:val="17"/>
              </w:rPr>
              <w:t>89,600 VND /hộp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PPI – thị trường cạnh tranh, bảo vệ ETC</w:t>
            </w:r>
          </w:p>
        </w:tc>
      </w:tr>
      <w:tr>
        <w:tc>
          <w:tcPr>
            <w:tcW w:type="dxa" w:w="1701"/>
          </w:tcPr>
          <w:p>
            <w:pPr>
              <w:spacing w:before="60" w:after="60"/>
              <w:ind w:left="85"/>
            </w:pPr>
            <w:r>
              <w:rPr>
                <w:rFonts w:ascii="Calibri" w:hAnsi="Calibri"/>
                <w:b/>
                <w:i w:val="0"/>
                <w:color w:val="003B71"/>
                <w:sz w:val="17"/>
              </w:rPr>
              <w:t>SERNAL-4</w:t>
            </w:r>
          </w:p>
        </w:tc>
        <w:tc>
          <w:tcPr>
            <w:tcW w:type="dxa" w:w="2381"/>
          </w:tcPr>
          <w:p>
            <w:pPr>
              <w:spacing w:before="60" w:after="60"/>
              <w:ind w:left="85"/>
            </w:pPr>
            <w:r>
              <w:rPr>
                <w:rFonts w:ascii="Calibri" w:hAnsi="Calibri"/>
                <w:b w:val="0"/>
                <w:i w:val="0"/>
                <w:color w:val="374151"/>
                <w:sz w:val="17"/>
              </w:rPr>
              <w:t>Risperidone 4mg</w:t>
            </w:r>
          </w:p>
        </w:tc>
        <w:tc>
          <w:tcPr>
            <w:tcW w:type="dxa" w:w="1134"/>
          </w:tcPr>
          <w:p>
            <w:pPr>
              <w:spacing w:before="60" w:after="60"/>
              <w:ind w:left="85"/>
            </w:pPr>
            <w:r>
              <w:rPr>
                <w:rFonts w:ascii="Calibri" w:hAnsi="Calibri"/>
                <w:b w:val="0"/>
                <w:i w:val="0"/>
                <w:color w:val="374151"/>
                <w:sz w:val="17"/>
              </w:rPr>
              <w:t>315,000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bệnh viện chuyên khoa</w:t>
            </w:r>
          </w:p>
        </w:tc>
      </w:tr>
      <w:tr>
        <w:tc>
          <w:tcPr>
            <w:tcW w:type="dxa" w:w="1701"/>
          </w:tcPr>
          <w:p>
            <w:pPr>
              <w:spacing w:before="60" w:after="60"/>
              <w:ind w:left="85"/>
            </w:pPr>
            <w:r>
              <w:rPr>
                <w:rFonts w:ascii="Calibri" w:hAnsi="Calibri"/>
                <w:b/>
                <w:i w:val="0"/>
                <w:color w:val="003B71"/>
                <w:sz w:val="17"/>
              </w:rPr>
              <w:t>LAFAXOR</w:t>
            </w:r>
          </w:p>
        </w:tc>
        <w:tc>
          <w:tcPr>
            <w:tcW w:type="dxa" w:w="2381"/>
          </w:tcPr>
          <w:p>
            <w:pPr>
              <w:spacing w:before="60" w:after="60"/>
              <w:ind w:left="85"/>
            </w:pPr>
            <w:r>
              <w:rPr>
                <w:rFonts w:ascii="Calibri" w:hAnsi="Calibri"/>
                <w:b w:val="0"/>
                <w:i w:val="0"/>
                <w:color w:val="374151"/>
                <w:sz w:val="17"/>
              </w:rPr>
              <w:t>Venlafaxine</w:t>
            </w:r>
          </w:p>
        </w:tc>
        <w:tc>
          <w:tcPr>
            <w:tcW w:type="dxa" w:w="1134"/>
          </w:tcPr>
          <w:p>
            <w:pPr>
              <w:spacing w:before="60" w:after="60"/>
              <w:ind w:left="85"/>
            </w:pPr>
            <w:r>
              <w:rPr>
                <w:rFonts w:ascii="Calibri" w:hAnsi="Calibri"/>
                <w:b w:val="0"/>
                <w:i w:val="0"/>
                <w:color w:val="374151"/>
                <w:sz w:val="17"/>
              </w:rPr>
              <w:t>159,000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Kênh phòng khám tư nhân – tiềm năng tăng</w:t>
            </w:r>
          </w:p>
        </w:tc>
      </w:tr>
      <w:tr>
        <w:tc>
          <w:tcPr>
            <w:tcW w:type="dxa" w:w="1701"/>
          </w:tcPr>
          <w:p>
            <w:pPr>
              <w:spacing w:before="60" w:after="60"/>
              <w:ind w:left="85"/>
            </w:pPr>
            <w:r>
              <w:rPr>
                <w:rFonts w:ascii="Calibri" w:hAnsi="Calibri"/>
                <w:b/>
                <w:i w:val="0"/>
                <w:color w:val="003B71"/>
                <w:sz w:val="17"/>
              </w:rPr>
              <w:t>HYYR</w:t>
            </w:r>
          </w:p>
        </w:tc>
        <w:tc>
          <w:tcPr>
            <w:tcW w:type="dxa" w:w="2381"/>
          </w:tcPr>
          <w:p>
            <w:pPr>
              <w:spacing w:before="60" w:after="60"/>
              <w:ind w:left="85"/>
            </w:pPr>
            <w:r>
              <w:rPr>
                <w:rFonts w:ascii="Calibri" w:hAnsi="Calibri"/>
                <w:b w:val="0"/>
                <w:i w:val="0"/>
                <w:color w:val="374151"/>
                <w:sz w:val="17"/>
              </w:rPr>
              <w:t>Erlotinib</w:t>
            </w:r>
          </w:p>
        </w:tc>
        <w:tc>
          <w:tcPr>
            <w:tcW w:type="dxa" w:w="1134"/>
          </w:tcPr>
          <w:p>
            <w:pPr>
              <w:spacing w:before="60" w:after="60"/>
              <w:ind w:left="85"/>
            </w:pPr>
            <w:r>
              <w:rPr>
                <w:rFonts w:ascii="Calibri" w:hAnsi="Calibri"/>
                <w:b w:val="0"/>
                <w:i w:val="0"/>
                <w:color w:val="374151"/>
                <w:sz w:val="17"/>
              </w:rPr>
              <w:t>1,500,000 VND /hộp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Thuốc đặc trị – ưu tiên thầu bệnh viện ung bướu</w:t>
            </w:r>
          </w:p>
        </w:tc>
      </w:tr>
      <w:tr>
        <w:tc>
          <w:tcPr>
            <w:tcW w:type="dxa" w:w="1701"/>
          </w:tcPr>
          <w:p>
            <w:pPr>
              <w:spacing w:before="60" w:after="60"/>
              <w:ind w:left="85"/>
            </w:pPr>
            <w:r>
              <w:rPr>
                <w:rFonts w:ascii="Calibri" w:hAnsi="Calibri"/>
                <w:b/>
                <w:i w:val="0"/>
                <w:color w:val="003B71"/>
                <w:sz w:val="17"/>
              </w:rPr>
              <w:t>LARRIVEY</w:t>
            </w:r>
          </w:p>
        </w:tc>
        <w:tc>
          <w:tcPr>
            <w:tcW w:type="dxa" w:w="2381"/>
          </w:tcPr>
          <w:p>
            <w:pPr>
              <w:spacing w:before="60" w:after="60"/>
              <w:ind w:left="85"/>
            </w:pPr>
            <w:r>
              <w:rPr>
                <w:rFonts w:ascii="Calibri" w:hAnsi="Calibri"/>
                <w:b w:val="0"/>
                <w:i w:val="0"/>
                <w:color w:val="374151"/>
                <w:sz w:val="17"/>
              </w:rPr>
              <w:t>Bicalutamide</w:t>
            </w:r>
          </w:p>
        </w:tc>
        <w:tc>
          <w:tcPr>
            <w:tcW w:type="dxa" w:w="1134"/>
          </w:tcPr>
          <w:p>
            <w:pPr>
              <w:spacing w:before="60" w:after="60"/>
              <w:ind w:left="85"/>
            </w:pPr>
            <w:r>
              <w:rPr>
                <w:rFonts w:ascii="Calibri" w:hAnsi="Calibri"/>
                <w:b w:val="0"/>
                <w:i w:val="0"/>
                <w:color w:val="374151"/>
                <w:sz w:val="17"/>
              </w:rPr>
              <w:t>823,200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Theo dõi phác đồ bệnh viện – biên lợi nhuận cao</w:t>
            </w:r>
          </w:p>
        </w:tc>
      </w:tr>
      <w:tr>
        <w:tc>
          <w:tcPr>
            <w:tcW w:type="dxa" w:w="1701"/>
          </w:tcPr>
          <w:p>
            <w:pPr>
              <w:spacing w:before="60" w:after="60"/>
              <w:ind w:left="85"/>
            </w:pPr>
            <w:r>
              <w:rPr>
                <w:rFonts w:ascii="Calibri" w:hAnsi="Calibri"/>
                <w:b/>
                <w:i w:val="0"/>
                <w:color w:val="003B71"/>
                <w:sz w:val="17"/>
              </w:rPr>
              <w:t>METILONE-4</w:t>
            </w:r>
          </w:p>
        </w:tc>
        <w:tc>
          <w:tcPr>
            <w:tcW w:type="dxa" w:w="2381"/>
          </w:tcPr>
          <w:p>
            <w:pPr>
              <w:spacing w:before="60" w:after="60"/>
              <w:ind w:left="85"/>
            </w:pPr>
            <w:r>
              <w:rPr>
                <w:rFonts w:ascii="Calibri" w:hAnsi="Calibri"/>
                <w:b w:val="0"/>
                <w:i w:val="0"/>
                <w:color w:val="374151"/>
                <w:sz w:val="17"/>
              </w:rPr>
              <w:t>Methylprednisolone 4mg</w:t>
            </w:r>
          </w:p>
        </w:tc>
        <w:tc>
          <w:tcPr>
            <w:tcW w:type="dxa" w:w="1134"/>
          </w:tcPr>
          <w:p>
            <w:pPr>
              <w:spacing w:before="60" w:after="60"/>
              <w:ind w:left="85"/>
            </w:pPr>
            <w:r>
              <w:rPr>
                <w:rFonts w:ascii="Calibri" w:hAnsi="Calibri"/>
                <w:b w:val="0"/>
                <w:i w:val="0"/>
                <w:color w:val="374151"/>
                <w:sz w:val="17"/>
              </w:rPr>
              <w:t>74,000 VND /hộp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 theo dõi thầu TT Corticoid</w:t>
            </w:r>
          </w:p>
        </w:tc>
      </w:tr>
    </w:tbl>
    <w:p>
      <w:pPr>
        <w:spacing w:after="200"/>
      </w:pPr>
    </w:p>
    <w:p>
      <w:pPr>
        <w:spacing w:before="320" w:after="120"/>
        <w:pBdr>
          <w:bottom w:val="single" w:sz="8" w:color="003B71"/>
        </w:pBdr>
      </w:pPr>
      <w:r>
        <w:rPr>
          <w:rFonts w:ascii="Calibri" w:hAnsi="Calibri"/>
          <w:b/>
          <w:i w:val="0"/>
          <w:color w:val="003B71"/>
          <w:sz w:val="22"/>
        </w:rPr>
        <w:t>TOP 5 MOST SEARCHED PRODUCTS — DAVIPHARM.INFO</w:t>
      </w:r>
    </w:p>
    <w:p>
      <w:pPr>
        <w:spacing w:before="40" w:after="60"/>
      </w:pPr>
      <w:r>
        <w:rPr>
          <w:rFonts w:ascii="Calibri" w:hAnsi="Calibri"/>
          <w:b w:val="0"/>
          <w:i/>
          <w:color w:val="9CA3AF"/>
          <w:sz w:val="17"/>
        </w:rPr>
        <w:t>Google Search Console  ·  Last 30 days  ·  Data: 13/05/2026</w:t>
      </w:r>
    </w:p>
    <w:p>
      <w:pPr>
        <w:spacing w:before="120" w:after="120"/>
        <w:jc w:val="center"/>
      </w:pPr>
      <w:r>
        <w:drawing>
          <wp:inline xmlns:a="http://schemas.openxmlformats.org/drawingml/2006/main" xmlns:pic="http://schemas.openxmlformats.org/drawingml/2006/picture">
            <wp:extent cx="5580000" cy="244421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444219"/>
                    </a:xfrm>
                    <a:prstGeom prst="rect"/>
                  </pic:spPr>
                </pic:pic>
              </a:graphicData>
            </a:graphic>
          </wp:inline>
        </w:drawing>
      </w:r>
    </w:p>
    <w:p>
      <w:r>
        <w:br w:type="page"/>
      </w:r>
    </w:p>
    <w:p>
      <w:pPr>
        <w:spacing w:before="320" w:after="120"/>
        <w:pBdr>
          <w:bottom w:val="single" w:sz="8" w:color="003B71"/>
        </w:pBdr>
      </w:pPr>
      <w:r>
        <w:rPr>
          <w:rFonts w:ascii="Calibri" w:hAnsi="Calibri"/>
          <w:b/>
          <w:i w:val="0"/>
          <w:color w:val="003B71"/>
          <w:sz w:val="22"/>
        </w:rPr>
        <w:t>ACTION RECOMMENDATIONS</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454"/>
            <w:shd w:val="clear" w:color="auto" w:fill="003B71"/>
            <w:tcBorders>
              <w:top w:val="none" w:sz="6" w:color="auto"/>
              <w:bottom w:val="none" w:sz="6" w:color="auto"/>
              <w:left w:val="none" w:sz="6" w:color="auto"/>
              <w:right w:val="none" w:sz="6" w:color="auto"/>
            </w:tcBorders>
          </w:tcPr>
          <w:p>
            <w:pPr>
              <w:spacing w:before="80" w:after="80"/>
              <w:ind w:left="0"/>
              <w:jc w:val="center"/>
            </w:pPr>
          </w:p>
        </w:tc>
        <w:tc>
          <w:tcPr>
            <w:tcW w:type="dxa" w:w="4422"/>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Strategic Action</w:t>
            </w:r>
          </w:p>
        </w:tc>
        <w:tc>
          <w:tcPr>
            <w:tcW w:type="dxa" w:w="1417"/>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Team</w:t>
            </w:r>
          </w:p>
        </w:tc>
        <w:tc>
          <w:tcPr>
            <w:tcW w:type="dxa" w:w="113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Source</w:t>
            </w:r>
          </w:p>
        </w:tc>
        <w:tc>
          <w:tcPr>
            <w:tcW w:type="dxa" w:w="164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Priority</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Map 200+ new satellite hospitals; submit PECHAUNOX, RAVASTEL, JIRACEK tender dossiers before Q3/2026</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Sales / RA</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200 Satellite Hospital Expansion</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High</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Prioritize Thong Nhat Hospital formulary engagement for PECHAUNOX, RAVASTEL, EIMLER-10, ZLATKO</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Sales / Marketing</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Thong Nhat Geriatric Center</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High</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Develop HYYR (Erlotinib) scientific dossier for early-detection NSCLC; review 2026 oncology tender lists</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 / RA</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Early Lung Cancer Screening Trend</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Medium</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Chuẩn bị tài liệu MSL/MR nhấn mạnh tuân thủ điều trị dài hạn PECHAUNOX, RAVASTEL, EIMLER-10 phục</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r>
          </w:p>
        </w:tc>
      </w:tr>
    </w:tbl>
    <w:p>
      <w:pPr>
        <w:spacing w:after="200"/>
      </w:pPr>
    </w:p>
    <w:tbl>
      <w:tblPr>
        <w:tblStyle w:val="TableGrid"/>
        <w:tblW w:type="auto" w:w="0"/>
        <w:tblLook w:firstColumn="1" w:firstRow="1" w:lastColumn="0" w:lastRow="0" w:noHBand="0" w:noVBand="1" w:val="04A0"/>
      </w:tblPr>
      <w:tblGrid>
        <w:gridCol w:w="9072"/>
      </w:tblGrid>
      <w:tr>
        <w:tc>
          <w:tcPr>
            <w:tcW w:type="dxa" w:w="9072"/>
            <w:shd w:val="clear" w:color="auto" w:fill="F1F5F9"/>
            <w:tcBorders>
              <w:top w:val="none" w:sz="6" w:color="auto"/>
              <w:bottom w:val="none" w:sz="6" w:color="auto"/>
              <w:left w:val="none" w:sz="6" w:color="auto"/>
              <w:right w:val="none" w:sz="6" w:color="auto"/>
            </w:tcBorders>
          </w:tcPr>
          <w:p>
            <w:pPr>
              <w:spacing w:before="120" w:after="120"/>
              <w:jc w:val="center"/>
            </w:pPr>
            <w:r>
              <w:rPr>
                <w:rFonts w:ascii="Calibri" w:hAnsi="Calibri"/>
                <w:b w:val="0"/>
                <w:i/>
                <w:color w:val="9CA3AF"/>
                <w:sz w:val="15"/>
              </w:rPr>
              <w:t>Davipharm Market Intelligence System  ·  Powered by Claude Sonnet 4.6  ·  13/05/2026  ·  CONFIDENTIAL</w:t>
            </w:r>
          </w:p>
        </w:tc>
      </w:tr>
    </w:tbl>
    <w:sectPr w:rsidR="00FC693F" w:rsidRPr="0006063C" w:rsidSect="00034616">
      <w:footerReference w:type="default" r:id="rId9"/>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9CA3AF"/>
        <w:sz w:val="16"/>
      </w:rPr>
      <w:fldChar w:fldCharType="begin"/>
      <w:instrText xml:space="preserve">PAGE</w:instrText>
      <w:fldChar w:fldCharType="separate"/>
      <w:fldChar w:fldCharType="end"/>
    </w:r>
    <w:r>
      <w:rPr>
        <w:rFonts w:ascii="Calibri" w:hAnsi="Calibri"/>
        <w:b w:val="0"/>
        <w:i w:val="0"/>
        <w:color w:val="9CA3AF"/>
        <w:sz w:val="16"/>
      </w:rPr>
      <w:t xml:space="preserve"> / </w:t>
    </w:r>
    <w:r>
      <w:rPr>
        <w:rFonts w:ascii="Calibri" w:hAnsi="Calibri"/>
        <w:b w:val="0"/>
        <w:i w:val="0"/>
        <w:color w:val="9CA3AF"/>
        <w:sz w:val="16"/>
      </w:rPr>
      <w:fldChar w:fldCharType="begin"/>
      <w:instrText xml:space="preserve">NUMPAGES</w:instrText>
      <w:fldChar w:fldCharType="separate"/>
      <w:fldChar w:fldCharType="end"/>
    </w:r>
    <w:r>
      <w:rPr>
        <w:rFonts w:ascii="Calibri" w:hAnsi="Calibri"/>
        <w:b w:val="0"/>
        <w:i w:val="0"/>
        <w:color w:val="9CA3AF"/>
        <w:sz w:val="14"/>
      </w:rPr>
      <w:t xml:space="preserve">  |  Davipharm Market Intelligence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