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Quản lý hồ sơ cá nhân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Người dùng có thể cập nhật thông tin cá nhân của mình thông qua một quy trình bảo mật yêu cầu xác minh bằng mã OTP.</w:t>
        <w:br w:type="textWrapping"/>
      </w:r>
      <w:r w:rsidDel="00000000" w:rsidR="00000000" w:rsidRPr="00000000">
        <w:rPr>
          <w:b w:val="1"/>
          <w:rtl w:val="0"/>
        </w:rPr>
        <w:t xml:space="preserve">Luồng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325833" cy="23519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5833" cy="2351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