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Quản lý mật khẩu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Hệ thống bao gồm các tính năng mật khẩu toàn diện nhằm duy trì tính bảo mật, bao gồm mã hóa, xác minh và tạo mật khẩu an toàn.</w:t>
        <w:br w:type="textWrapping"/>
      </w:r>
      <w:r w:rsidDel="00000000" w:rsidR="00000000" w:rsidRPr="00000000">
        <w:rPr>
          <w:b w:val="1"/>
          <w:rtl w:val="0"/>
        </w:rPr>
        <w:t xml:space="preserve">Luồng quản lý mật khẩu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415088" cy="34131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3413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